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CC" w:rsidRDefault="00577ACC"/>
    <w:p w:rsidR="00577ACC" w:rsidRDefault="00577ACC">
      <w:pPr>
        <w:widowControl/>
        <w:rPr>
          <w:sz w:val="28"/>
          <w:szCs w:val="28"/>
        </w:rPr>
      </w:pPr>
    </w:p>
    <w:p w:rsidR="00577ACC" w:rsidRDefault="00577ACC">
      <w:pPr>
        <w:widowControl/>
        <w:rPr>
          <w:bCs/>
          <w:sz w:val="28"/>
          <w:szCs w:val="28"/>
        </w:rPr>
      </w:pPr>
    </w:p>
    <w:p w:rsidR="00577ACC" w:rsidRDefault="00450C16">
      <w:pPr>
        <w:widowControl/>
        <w:jc w:val="center"/>
        <w:rPr>
          <w:rFonts w:ascii="黑体" w:eastAsia="黑体" w:hAnsi="黑体"/>
          <w:bCs/>
          <w:sz w:val="44"/>
          <w:szCs w:val="44"/>
        </w:rPr>
      </w:pPr>
      <w:r>
        <w:rPr>
          <w:rFonts w:ascii="黑体" w:eastAsia="黑体" w:hAnsi="黑体" w:hint="eastAsia"/>
          <w:bCs/>
          <w:sz w:val="44"/>
          <w:szCs w:val="44"/>
        </w:rPr>
        <w:t xml:space="preserve">团 体 </w:t>
      </w:r>
      <w:r>
        <w:rPr>
          <w:rFonts w:ascii="黑体" w:eastAsia="黑体" w:hAnsi="黑体"/>
          <w:bCs/>
          <w:sz w:val="44"/>
          <w:szCs w:val="44"/>
        </w:rPr>
        <w:t>标准</w:t>
      </w:r>
    </w:p>
    <w:p w:rsidR="00577ACC" w:rsidRDefault="00577ACC">
      <w:pPr>
        <w:widowControl/>
        <w:jc w:val="center"/>
        <w:rPr>
          <w:rFonts w:ascii="黑体" w:eastAsia="黑体" w:hAnsi="黑体"/>
          <w:bCs/>
          <w:sz w:val="44"/>
          <w:szCs w:val="44"/>
        </w:rPr>
      </w:pPr>
    </w:p>
    <w:p w:rsidR="00577ACC" w:rsidRDefault="00450C16">
      <w:pPr>
        <w:spacing w:line="360" w:lineRule="auto"/>
        <w:jc w:val="center"/>
        <w:rPr>
          <w:rFonts w:ascii="黑体" w:eastAsia="黑体" w:hAnsi="黑体"/>
          <w:bCs/>
          <w:sz w:val="44"/>
          <w:szCs w:val="44"/>
        </w:rPr>
      </w:pPr>
      <w:r>
        <w:rPr>
          <w:rFonts w:ascii="黑体" w:eastAsia="黑体" w:hAnsi="黑体" w:hint="eastAsia"/>
          <w:bCs/>
          <w:sz w:val="44"/>
          <w:szCs w:val="44"/>
        </w:rPr>
        <w:t>集装箱电子装箱单</w:t>
      </w:r>
    </w:p>
    <w:p w:rsidR="00577ACC" w:rsidRDefault="00450C16">
      <w:pPr>
        <w:spacing w:line="360" w:lineRule="auto"/>
        <w:jc w:val="center"/>
        <w:rPr>
          <w:rFonts w:eastAsia="黑体"/>
          <w:bCs/>
          <w:sz w:val="44"/>
          <w:szCs w:val="44"/>
        </w:rPr>
      </w:pPr>
      <w:r>
        <w:rPr>
          <w:rFonts w:eastAsia="黑体"/>
          <w:bCs/>
          <w:sz w:val="44"/>
          <w:szCs w:val="44"/>
        </w:rPr>
        <w:t>Electronic Load Plan of Container</w:t>
      </w:r>
    </w:p>
    <w:p w:rsidR="00577ACC" w:rsidRDefault="00577ACC">
      <w:pPr>
        <w:spacing w:line="360" w:lineRule="auto"/>
        <w:jc w:val="center"/>
        <w:rPr>
          <w:rFonts w:eastAsia="黑体"/>
          <w:bCs/>
          <w:sz w:val="44"/>
          <w:szCs w:val="44"/>
        </w:rPr>
      </w:pPr>
    </w:p>
    <w:p w:rsidR="00577ACC" w:rsidRDefault="00450C16">
      <w:pPr>
        <w:spacing w:line="360" w:lineRule="auto"/>
        <w:jc w:val="center"/>
        <w:rPr>
          <w:rFonts w:ascii="黑体" w:eastAsia="黑体" w:hAnsi="黑体"/>
          <w:bCs/>
          <w:sz w:val="32"/>
          <w:szCs w:val="32"/>
        </w:rPr>
      </w:pPr>
      <w:r>
        <w:rPr>
          <w:rFonts w:ascii="黑体" w:eastAsia="黑体" w:hAnsi="黑体" w:hint="eastAsia"/>
          <w:bCs/>
          <w:sz w:val="32"/>
          <w:szCs w:val="32"/>
        </w:rPr>
        <w:t>（征求意见稿）</w:t>
      </w:r>
    </w:p>
    <w:p w:rsidR="00577ACC" w:rsidRDefault="00577ACC">
      <w:pPr>
        <w:widowControl/>
        <w:rPr>
          <w:rFonts w:ascii="黑体" w:eastAsia="黑体" w:hAnsi="黑体"/>
          <w:b/>
          <w:sz w:val="44"/>
          <w:szCs w:val="44"/>
        </w:rPr>
      </w:pPr>
    </w:p>
    <w:p w:rsidR="00577ACC" w:rsidRDefault="00577ACC">
      <w:pPr>
        <w:widowControl/>
        <w:rPr>
          <w:rFonts w:ascii="黑体" w:eastAsia="黑体" w:hAnsi="黑体"/>
          <w:b/>
          <w:sz w:val="44"/>
          <w:szCs w:val="44"/>
        </w:rPr>
      </w:pPr>
    </w:p>
    <w:p w:rsidR="00577ACC" w:rsidRDefault="00577ACC">
      <w:pPr>
        <w:widowControl/>
        <w:rPr>
          <w:rFonts w:ascii="黑体" w:eastAsia="黑体" w:hAnsi="黑体"/>
          <w:b/>
          <w:sz w:val="44"/>
          <w:szCs w:val="44"/>
        </w:rPr>
      </w:pPr>
    </w:p>
    <w:p w:rsidR="00577ACC" w:rsidRDefault="00450C16">
      <w:pPr>
        <w:widowControl/>
        <w:jc w:val="center"/>
        <w:rPr>
          <w:rFonts w:ascii="黑体" w:eastAsia="黑体" w:hAnsi="黑体"/>
          <w:bCs/>
          <w:sz w:val="44"/>
          <w:szCs w:val="44"/>
        </w:rPr>
      </w:pPr>
      <w:r>
        <w:rPr>
          <w:rFonts w:ascii="黑体" w:eastAsia="黑体" w:hAnsi="黑体"/>
          <w:bCs/>
          <w:sz w:val="44"/>
          <w:szCs w:val="44"/>
        </w:rPr>
        <w:t>编制说明</w:t>
      </w:r>
    </w:p>
    <w:p w:rsidR="00577ACC" w:rsidRDefault="00577ACC">
      <w:pPr>
        <w:widowControl/>
        <w:rPr>
          <w:szCs w:val="21"/>
        </w:rPr>
      </w:pPr>
    </w:p>
    <w:p w:rsidR="00577ACC" w:rsidRDefault="00577ACC">
      <w:pPr>
        <w:widowControl/>
        <w:rPr>
          <w:szCs w:val="21"/>
        </w:rPr>
      </w:pPr>
    </w:p>
    <w:p w:rsidR="00577ACC" w:rsidRDefault="00577ACC">
      <w:pPr>
        <w:widowControl/>
        <w:rPr>
          <w:szCs w:val="21"/>
        </w:rPr>
      </w:pPr>
    </w:p>
    <w:p w:rsidR="00577ACC" w:rsidRDefault="00577ACC">
      <w:pPr>
        <w:widowControl/>
        <w:rPr>
          <w:szCs w:val="21"/>
        </w:rPr>
      </w:pPr>
    </w:p>
    <w:p w:rsidR="00577ACC" w:rsidRDefault="00577ACC">
      <w:pPr>
        <w:widowControl/>
        <w:rPr>
          <w:szCs w:val="21"/>
        </w:rPr>
      </w:pPr>
    </w:p>
    <w:p w:rsidR="00577ACC" w:rsidRDefault="00577ACC">
      <w:pPr>
        <w:widowControl/>
        <w:rPr>
          <w:szCs w:val="21"/>
        </w:rPr>
      </w:pPr>
    </w:p>
    <w:p w:rsidR="00577ACC" w:rsidRDefault="00577ACC">
      <w:pPr>
        <w:widowControl/>
        <w:rPr>
          <w:szCs w:val="21"/>
        </w:rPr>
      </w:pPr>
    </w:p>
    <w:p w:rsidR="00577ACC" w:rsidRDefault="00577ACC">
      <w:pPr>
        <w:widowControl/>
        <w:rPr>
          <w:szCs w:val="21"/>
        </w:rPr>
      </w:pPr>
    </w:p>
    <w:p w:rsidR="00577ACC" w:rsidRDefault="00577ACC">
      <w:pPr>
        <w:widowControl/>
        <w:rPr>
          <w:szCs w:val="21"/>
        </w:rPr>
      </w:pPr>
    </w:p>
    <w:p w:rsidR="00577ACC" w:rsidRDefault="00577ACC">
      <w:pPr>
        <w:widowControl/>
        <w:rPr>
          <w:szCs w:val="21"/>
        </w:rPr>
      </w:pPr>
    </w:p>
    <w:p w:rsidR="00577ACC" w:rsidRDefault="00577ACC">
      <w:pPr>
        <w:widowControl/>
        <w:rPr>
          <w:szCs w:val="21"/>
        </w:rPr>
      </w:pPr>
    </w:p>
    <w:p w:rsidR="00577ACC" w:rsidRDefault="00450C16">
      <w:pPr>
        <w:widowControl/>
        <w:jc w:val="center"/>
        <w:rPr>
          <w:rFonts w:ascii="黑体" w:eastAsia="黑体" w:hAnsi="黑体"/>
          <w:b/>
          <w:sz w:val="32"/>
          <w:szCs w:val="32"/>
        </w:rPr>
      </w:pPr>
      <w:r>
        <w:rPr>
          <w:rFonts w:ascii="黑体" w:eastAsia="黑体" w:hAnsi="黑体"/>
          <w:b/>
          <w:sz w:val="32"/>
          <w:szCs w:val="32"/>
        </w:rPr>
        <w:t>标准起草组</w:t>
      </w:r>
    </w:p>
    <w:p w:rsidR="00577ACC" w:rsidRDefault="00450C16">
      <w:pPr>
        <w:widowControl/>
        <w:jc w:val="center"/>
        <w:rPr>
          <w:rFonts w:ascii="黑体" w:eastAsia="黑体" w:hAnsi="黑体" w:cs="Arial"/>
          <w:b/>
          <w:sz w:val="32"/>
          <w:szCs w:val="32"/>
        </w:rPr>
      </w:pPr>
      <w:r>
        <w:rPr>
          <w:rFonts w:ascii="黑体" w:eastAsia="黑体" w:hAnsi="黑体" w:cs="Arial"/>
          <w:b/>
          <w:sz w:val="32"/>
          <w:szCs w:val="32"/>
        </w:rPr>
        <w:t>2020年</w:t>
      </w:r>
      <w:r>
        <w:rPr>
          <w:rFonts w:ascii="黑体" w:eastAsia="黑体" w:hAnsi="黑体" w:cs="Arial" w:hint="eastAsia"/>
          <w:b/>
          <w:sz w:val="32"/>
          <w:szCs w:val="32"/>
        </w:rPr>
        <w:t xml:space="preserve">6 </w:t>
      </w:r>
      <w:r>
        <w:rPr>
          <w:rFonts w:ascii="黑体" w:eastAsia="黑体" w:hAnsi="黑体" w:cs="Arial"/>
          <w:b/>
          <w:sz w:val="32"/>
          <w:szCs w:val="32"/>
        </w:rPr>
        <w:t>月19日</w:t>
      </w:r>
    </w:p>
    <w:p w:rsidR="00577ACC" w:rsidRDefault="00577ACC"/>
    <w:p w:rsidR="00577ACC" w:rsidRDefault="00577ACC"/>
    <w:p w:rsidR="00577ACC" w:rsidRDefault="00577ACC">
      <w:pPr>
        <w:sectPr w:rsidR="00577ACC">
          <w:headerReference w:type="even" r:id="rId9"/>
          <w:headerReference w:type="default" r:id="rId10"/>
          <w:footerReference w:type="even" r:id="rId11"/>
          <w:footerReference w:type="default" r:id="rId12"/>
          <w:headerReference w:type="first" r:id="rId13"/>
          <w:footerReference w:type="first" r:id="rId14"/>
          <w:pgSz w:w="11906" w:h="16838"/>
          <w:pgMar w:top="1588" w:right="1814" w:bottom="1588" w:left="1814" w:header="851" w:footer="992" w:gutter="0"/>
          <w:cols w:space="425"/>
          <w:titlePg/>
          <w:docGrid w:type="lines" w:linePitch="312"/>
        </w:sectPr>
      </w:pPr>
    </w:p>
    <w:sdt>
      <w:sdtPr>
        <w:rPr>
          <w:rFonts w:ascii="Times New Roman" w:eastAsia="宋体" w:hAnsi="Times New Roman" w:cs="Times New Roman"/>
          <w:b w:val="0"/>
          <w:bCs w:val="0"/>
          <w:color w:val="auto"/>
          <w:kern w:val="2"/>
          <w:sz w:val="21"/>
          <w:szCs w:val="20"/>
          <w:lang w:val="zh-CN"/>
        </w:rPr>
        <w:id w:val="-1088998016"/>
        <w:docPartObj>
          <w:docPartGallery w:val="Table of Contents"/>
          <w:docPartUnique/>
        </w:docPartObj>
      </w:sdtPr>
      <w:sdtEndPr>
        <w:rPr>
          <w:lang w:val="en-US"/>
        </w:rPr>
      </w:sdtEndPr>
      <w:sdtContent>
        <w:p w:rsidR="00577ACC" w:rsidRDefault="00450C16">
          <w:pPr>
            <w:pStyle w:val="TOC1"/>
            <w:jc w:val="center"/>
          </w:pPr>
          <w:r>
            <w:rPr>
              <w:lang w:val="zh-CN"/>
            </w:rPr>
            <w:t>目</w:t>
          </w:r>
          <w:r>
            <w:rPr>
              <w:lang w:val="zh-CN"/>
            </w:rPr>
            <w:t xml:space="preserve">  </w:t>
          </w:r>
          <w:r>
            <w:rPr>
              <w:lang w:val="zh-CN"/>
            </w:rPr>
            <w:t>录</w:t>
          </w:r>
        </w:p>
        <w:p w:rsidR="00577ACC" w:rsidRDefault="0055440D">
          <w:pPr>
            <w:pStyle w:val="10"/>
            <w:tabs>
              <w:tab w:val="right" w:leader="dot" w:pos="8268"/>
            </w:tabs>
            <w:spacing w:line="360" w:lineRule="auto"/>
            <w:rPr>
              <w:rFonts w:ascii="宋体" w:hAnsi="宋体" w:cstheme="minorBidi"/>
              <w:b w:val="0"/>
              <w:bCs w:val="0"/>
              <w:caps w:val="0"/>
              <w:sz w:val="24"/>
              <w:szCs w:val="24"/>
            </w:rPr>
          </w:pPr>
          <w:r w:rsidRPr="0055440D">
            <w:rPr>
              <w:rFonts w:ascii="宋体" w:hAnsi="宋体"/>
              <w:b w:val="0"/>
              <w:bCs w:val="0"/>
              <w:sz w:val="24"/>
              <w:szCs w:val="24"/>
            </w:rPr>
            <w:fldChar w:fldCharType="begin"/>
          </w:r>
          <w:r w:rsidR="00450C16">
            <w:rPr>
              <w:rFonts w:ascii="宋体" w:hAnsi="宋体"/>
              <w:b w:val="0"/>
              <w:bCs w:val="0"/>
              <w:sz w:val="24"/>
              <w:szCs w:val="24"/>
            </w:rPr>
            <w:instrText>TOC \o "1-3" \h \z \u</w:instrText>
          </w:r>
          <w:r w:rsidRPr="0055440D">
            <w:rPr>
              <w:rFonts w:ascii="宋体" w:hAnsi="宋体"/>
              <w:b w:val="0"/>
              <w:bCs w:val="0"/>
              <w:sz w:val="24"/>
              <w:szCs w:val="24"/>
            </w:rPr>
            <w:fldChar w:fldCharType="separate"/>
          </w:r>
          <w:hyperlink w:anchor="_Toc46097927" w:history="1">
            <w:r w:rsidR="00450C16">
              <w:rPr>
                <w:rStyle w:val="ab"/>
                <w:rFonts w:ascii="宋体" w:hAnsi="宋体"/>
                <w:b w:val="0"/>
                <w:bCs w:val="0"/>
                <w:sz w:val="24"/>
                <w:szCs w:val="24"/>
              </w:rPr>
              <w:t>一、工</w:t>
            </w:r>
            <w:r w:rsidR="00450C16">
              <w:rPr>
                <w:rStyle w:val="ab"/>
                <w:rFonts w:ascii="宋体" w:hAnsi="宋体" w:cs="Arial"/>
                <w:b w:val="0"/>
                <w:bCs w:val="0"/>
                <w:sz w:val="24"/>
                <w:szCs w:val="24"/>
              </w:rPr>
              <w:t>作简况</w:t>
            </w:r>
            <w:r w:rsidR="00450C16">
              <w:rPr>
                <w:rFonts w:ascii="宋体" w:hAnsi="宋体"/>
                <w:b w:val="0"/>
                <w:bCs w:val="0"/>
                <w:sz w:val="24"/>
                <w:szCs w:val="24"/>
              </w:rPr>
              <w:tab/>
            </w:r>
            <w:r>
              <w:rPr>
                <w:rFonts w:ascii="宋体" w:hAnsi="宋体"/>
                <w:b w:val="0"/>
                <w:bCs w:val="0"/>
                <w:sz w:val="24"/>
                <w:szCs w:val="24"/>
              </w:rPr>
              <w:fldChar w:fldCharType="begin"/>
            </w:r>
            <w:r w:rsidR="00450C16">
              <w:rPr>
                <w:rFonts w:ascii="宋体" w:hAnsi="宋体"/>
                <w:b w:val="0"/>
                <w:bCs w:val="0"/>
                <w:sz w:val="24"/>
                <w:szCs w:val="24"/>
              </w:rPr>
              <w:instrText xml:space="preserve"> PAGEREF _Toc46097927 \h </w:instrText>
            </w:r>
            <w:r>
              <w:rPr>
                <w:rFonts w:ascii="宋体" w:hAnsi="宋体"/>
                <w:b w:val="0"/>
                <w:bCs w:val="0"/>
                <w:sz w:val="24"/>
                <w:szCs w:val="24"/>
              </w:rPr>
            </w:r>
            <w:r>
              <w:rPr>
                <w:rFonts w:ascii="宋体" w:hAnsi="宋体"/>
                <w:b w:val="0"/>
                <w:bCs w:val="0"/>
                <w:sz w:val="24"/>
                <w:szCs w:val="24"/>
              </w:rPr>
              <w:fldChar w:fldCharType="separate"/>
            </w:r>
            <w:r w:rsidR="00450C16">
              <w:rPr>
                <w:rFonts w:ascii="宋体" w:hAnsi="宋体"/>
                <w:b w:val="0"/>
                <w:bCs w:val="0"/>
                <w:sz w:val="24"/>
                <w:szCs w:val="24"/>
              </w:rPr>
              <w:t>1</w:t>
            </w:r>
            <w:r>
              <w:rPr>
                <w:rFonts w:ascii="宋体" w:hAnsi="宋体"/>
                <w:b w:val="0"/>
                <w:bCs w:val="0"/>
                <w:sz w:val="24"/>
                <w:szCs w:val="24"/>
              </w:rPr>
              <w:fldChar w:fldCharType="end"/>
            </w:r>
          </w:hyperlink>
        </w:p>
        <w:p w:rsidR="00577ACC" w:rsidRDefault="0055440D">
          <w:pPr>
            <w:pStyle w:val="10"/>
            <w:tabs>
              <w:tab w:val="right" w:leader="dot" w:pos="8268"/>
            </w:tabs>
            <w:spacing w:line="360" w:lineRule="auto"/>
            <w:rPr>
              <w:rFonts w:ascii="宋体" w:hAnsi="宋体" w:cstheme="minorBidi"/>
              <w:b w:val="0"/>
              <w:bCs w:val="0"/>
              <w:caps w:val="0"/>
              <w:sz w:val="24"/>
              <w:szCs w:val="24"/>
            </w:rPr>
          </w:pPr>
          <w:hyperlink w:anchor="_Toc46097928" w:history="1">
            <w:r w:rsidR="00450C16">
              <w:rPr>
                <w:rStyle w:val="ab"/>
                <w:rFonts w:ascii="宋体" w:hAnsi="宋体"/>
                <w:b w:val="0"/>
                <w:bCs w:val="0"/>
                <w:sz w:val="24"/>
                <w:szCs w:val="24"/>
              </w:rPr>
              <w:t>二、标准编制原则和确定标准主要内容的论据</w:t>
            </w:r>
            <w:r w:rsidR="00450C16">
              <w:rPr>
                <w:rFonts w:ascii="宋体" w:hAnsi="宋体"/>
                <w:b w:val="0"/>
                <w:bCs w:val="0"/>
                <w:sz w:val="24"/>
                <w:szCs w:val="24"/>
              </w:rPr>
              <w:tab/>
            </w:r>
            <w:r>
              <w:rPr>
                <w:rFonts w:ascii="宋体" w:hAnsi="宋体"/>
                <w:b w:val="0"/>
                <w:bCs w:val="0"/>
                <w:sz w:val="24"/>
                <w:szCs w:val="24"/>
              </w:rPr>
              <w:fldChar w:fldCharType="begin"/>
            </w:r>
            <w:r w:rsidR="00450C16">
              <w:rPr>
                <w:rFonts w:ascii="宋体" w:hAnsi="宋体"/>
                <w:b w:val="0"/>
                <w:bCs w:val="0"/>
                <w:sz w:val="24"/>
                <w:szCs w:val="24"/>
              </w:rPr>
              <w:instrText xml:space="preserve"> PAGEREF _Toc46097928 \h </w:instrText>
            </w:r>
            <w:r>
              <w:rPr>
                <w:rFonts w:ascii="宋体" w:hAnsi="宋体"/>
                <w:b w:val="0"/>
                <w:bCs w:val="0"/>
                <w:sz w:val="24"/>
                <w:szCs w:val="24"/>
              </w:rPr>
            </w:r>
            <w:r>
              <w:rPr>
                <w:rFonts w:ascii="宋体" w:hAnsi="宋体"/>
                <w:b w:val="0"/>
                <w:bCs w:val="0"/>
                <w:sz w:val="24"/>
                <w:szCs w:val="24"/>
              </w:rPr>
              <w:fldChar w:fldCharType="separate"/>
            </w:r>
            <w:r w:rsidR="00450C16">
              <w:rPr>
                <w:rFonts w:ascii="宋体" w:hAnsi="宋体"/>
                <w:b w:val="0"/>
                <w:bCs w:val="0"/>
                <w:sz w:val="24"/>
                <w:szCs w:val="24"/>
              </w:rPr>
              <w:t>3</w:t>
            </w:r>
            <w:r>
              <w:rPr>
                <w:rFonts w:ascii="宋体" w:hAnsi="宋体"/>
                <w:b w:val="0"/>
                <w:bCs w:val="0"/>
                <w:sz w:val="24"/>
                <w:szCs w:val="24"/>
              </w:rPr>
              <w:fldChar w:fldCharType="end"/>
            </w:r>
          </w:hyperlink>
        </w:p>
        <w:p w:rsidR="00577ACC" w:rsidRDefault="0055440D">
          <w:pPr>
            <w:pStyle w:val="10"/>
            <w:tabs>
              <w:tab w:val="right" w:leader="dot" w:pos="8268"/>
            </w:tabs>
            <w:spacing w:line="360" w:lineRule="auto"/>
            <w:rPr>
              <w:rFonts w:ascii="宋体" w:hAnsi="宋体" w:cstheme="minorBidi"/>
              <w:b w:val="0"/>
              <w:bCs w:val="0"/>
              <w:caps w:val="0"/>
              <w:sz w:val="24"/>
              <w:szCs w:val="24"/>
            </w:rPr>
          </w:pPr>
          <w:hyperlink w:anchor="_Toc46097929" w:history="1">
            <w:r w:rsidR="00450C16">
              <w:rPr>
                <w:rStyle w:val="ab"/>
                <w:rFonts w:ascii="宋体" w:hAnsi="宋体"/>
                <w:b w:val="0"/>
                <w:bCs w:val="0"/>
                <w:sz w:val="24"/>
                <w:szCs w:val="24"/>
              </w:rPr>
              <w:t>三、主要试验（或验证）的分析、综述报告，技术经济论证，预期的经济效果</w:t>
            </w:r>
            <w:r w:rsidR="00450C16">
              <w:rPr>
                <w:rFonts w:ascii="宋体" w:hAnsi="宋体"/>
                <w:b w:val="0"/>
                <w:bCs w:val="0"/>
                <w:sz w:val="24"/>
                <w:szCs w:val="24"/>
              </w:rPr>
              <w:tab/>
            </w:r>
            <w:r>
              <w:rPr>
                <w:rFonts w:ascii="宋体" w:hAnsi="宋体"/>
                <w:b w:val="0"/>
                <w:bCs w:val="0"/>
                <w:sz w:val="24"/>
                <w:szCs w:val="24"/>
              </w:rPr>
              <w:fldChar w:fldCharType="begin"/>
            </w:r>
            <w:r w:rsidR="00450C16">
              <w:rPr>
                <w:rFonts w:ascii="宋体" w:hAnsi="宋体"/>
                <w:b w:val="0"/>
                <w:bCs w:val="0"/>
                <w:sz w:val="24"/>
                <w:szCs w:val="24"/>
              </w:rPr>
              <w:instrText xml:space="preserve"> PAGEREF _Toc46097929 \h </w:instrText>
            </w:r>
            <w:r>
              <w:rPr>
                <w:rFonts w:ascii="宋体" w:hAnsi="宋体"/>
                <w:b w:val="0"/>
                <w:bCs w:val="0"/>
                <w:sz w:val="24"/>
                <w:szCs w:val="24"/>
              </w:rPr>
            </w:r>
            <w:r>
              <w:rPr>
                <w:rFonts w:ascii="宋体" w:hAnsi="宋体"/>
                <w:b w:val="0"/>
                <w:bCs w:val="0"/>
                <w:sz w:val="24"/>
                <w:szCs w:val="24"/>
              </w:rPr>
              <w:fldChar w:fldCharType="separate"/>
            </w:r>
            <w:r w:rsidR="00450C16">
              <w:rPr>
                <w:rFonts w:ascii="宋体" w:hAnsi="宋体"/>
                <w:b w:val="0"/>
                <w:bCs w:val="0"/>
                <w:sz w:val="24"/>
                <w:szCs w:val="24"/>
              </w:rPr>
              <w:t>6</w:t>
            </w:r>
            <w:r>
              <w:rPr>
                <w:rFonts w:ascii="宋体" w:hAnsi="宋体"/>
                <w:b w:val="0"/>
                <w:bCs w:val="0"/>
                <w:sz w:val="24"/>
                <w:szCs w:val="24"/>
              </w:rPr>
              <w:fldChar w:fldCharType="end"/>
            </w:r>
          </w:hyperlink>
        </w:p>
        <w:p w:rsidR="00577ACC" w:rsidRDefault="0055440D">
          <w:pPr>
            <w:pStyle w:val="10"/>
            <w:tabs>
              <w:tab w:val="right" w:leader="dot" w:pos="8268"/>
            </w:tabs>
            <w:spacing w:line="360" w:lineRule="auto"/>
            <w:rPr>
              <w:rFonts w:ascii="宋体" w:hAnsi="宋体" w:cstheme="minorBidi"/>
              <w:b w:val="0"/>
              <w:bCs w:val="0"/>
              <w:caps w:val="0"/>
              <w:sz w:val="24"/>
              <w:szCs w:val="24"/>
            </w:rPr>
          </w:pPr>
          <w:hyperlink w:anchor="_Toc46097930" w:history="1">
            <w:r w:rsidR="00450C16">
              <w:rPr>
                <w:rStyle w:val="ab"/>
                <w:rFonts w:ascii="宋体" w:hAnsi="宋体"/>
                <w:b w:val="0"/>
                <w:bCs w:val="0"/>
                <w:sz w:val="24"/>
                <w:szCs w:val="24"/>
              </w:rPr>
              <w:t>四、采用国际标准和国外先进标准的程度，以及与国际、国外同类标准水平的对比情况，或与测试的国外样品、样机的有关数据对比情况</w:t>
            </w:r>
            <w:r w:rsidR="00450C16">
              <w:rPr>
                <w:rFonts w:ascii="宋体" w:hAnsi="宋体"/>
                <w:b w:val="0"/>
                <w:bCs w:val="0"/>
                <w:sz w:val="24"/>
                <w:szCs w:val="24"/>
              </w:rPr>
              <w:tab/>
            </w:r>
            <w:r>
              <w:rPr>
                <w:rFonts w:ascii="宋体" w:hAnsi="宋体"/>
                <w:b w:val="0"/>
                <w:bCs w:val="0"/>
                <w:sz w:val="24"/>
                <w:szCs w:val="24"/>
              </w:rPr>
              <w:fldChar w:fldCharType="begin"/>
            </w:r>
            <w:r w:rsidR="00450C16">
              <w:rPr>
                <w:rFonts w:ascii="宋体" w:hAnsi="宋体"/>
                <w:b w:val="0"/>
                <w:bCs w:val="0"/>
                <w:sz w:val="24"/>
                <w:szCs w:val="24"/>
              </w:rPr>
              <w:instrText xml:space="preserve"> PAGEREF _Toc46097930 \h </w:instrText>
            </w:r>
            <w:r>
              <w:rPr>
                <w:rFonts w:ascii="宋体" w:hAnsi="宋体"/>
                <w:b w:val="0"/>
                <w:bCs w:val="0"/>
                <w:sz w:val="24"/>
                <w:szCs w:val="24"/>
              </w:rPr>
            </w:r>
            <w:r>
              <w:rPr>
                <w:rFonts w:ascii="宋体" w:hAnsi="宋体"/>
                <w:b w:val="0"/>
                <w:bCs w:val="0"/>
                <w:sz w:val="24"/>
                <w:szCs w:val="24"/>
              </w:rPr>
              <w:fldChar w:fldCharType="separate"/>
            </w:r>
            <w:r w:rsidR="00450C16">
              <w:rPr>
                <w:rFonts w:ascii="宋体" w:hAnsi="宋体"/>
                <w:b w:val="0"/>
                <w:bCs w:val="0"/>
                <w:sz w:val="24"/>
                <w:szCs w:val="24"/>
              </w:rPr>
              <w:t>6</w:t>
            </w:r>
            <w:r>
              <w:rPr>
                <w:rFonts w:ascii="宋体" w:hAnsi="宋体"/>
                <w:b w:val="0"/>
                <w:bCs w:val="0"/>
                <w:sz w:val="24"/>
                <w:szCs w:val="24"/>
              </w:rPr>
              <w:fldChar w:fldCharType="end"/>
            </w:r>
          </w:hyperlink>
        </w:p>
        <w:p w:rsidR="00577ACC" w:rsidRDefault="0055440D">
          <w:pPr>
            <w:pStyle w:val="10"/>
            <w:tabs>
              <w:tab w:val="right" w:leader="dot" w:pos="8268"/>
            </w:tabs>
            <w:spacing w:line="360" w:lineRule="auto"/>
            <w:rPr>
              <w:rFonts w:ascii="宋体" w:hAnsi="宋体" w:cstheme="minorBidi"/>
              <w:b w:val="0"/>
              <w:bCs w:val="0"/>
              <w:caps w:val="0"/>
              <w:sz w:val="24"/>
              <w:szCs w:val="24"/>
            </w:rPr>
          </w:pPr>
          <w:hyperlink w:anchor="_Toc46097931" w:history="1">
            <w:r w:rsidR="00450C16">
              <w:rPr>
                <w:rStyle w:val="ab"/>
                <w:rFonts w:ascii="宋体" w:hAnsi="宋体"/>
                <w:b w:val="0"/>
                <w:bCs w:val="0"/>
                <w:sz w:val="24"/>
                <w:szCs w:val="24"/>
              </w:rPr>
              <w:t>五、与有关的现行法律、法规和强制性标准的关系</w:t>
            </w:r>
            <w:r w:rsidR="00450C16">
              <w:rPr>
                <w:rFonts w:ascii="宋体" w:hAnsi="宋体"/>
                <w:b w:val="0"/>
                <w:bCs w:val="0"/>
                <w:sz w:val="24"/>
                <w:szCs w:val="24"/>
              </w:rPr>
              <w:tab/>
            </w:r>
            <w:r>
              <w:rPr>
                <w:rFonts w:ascii="宋体" w:hAnsi="宋体"/>
                <w:b w:val="0"/>
                <w:bCs w:val="0"/>
                <w:sz w:val="24"/>
                <w:szCs w:val="24"/>
              </w:rPr>
              <w:fldChar w:fldCharType="begin"/>
            </w:r>
            <w:r w:rsidR="00450C16">
              <w:rPr>
                <w:rFonts w:ascii="宋体" w:hAnsi="宋体"/>
                <w:b w:val="0"/>
                <w:bCs w:val="0"/>
                <w:sz w:val="24"/>
                <w:szCs w:val="24"/>
              </w:rPr>
              <w:instrText xml:space="preserve"> PAGEREF _Toc46097931 \h </w:instrText>
            </w:r>
            <w:r>
              <w:rPr>
                <w:rFonts w:ascii="宋体" w:hAnsi="宋体"/>
                <w:b w:val="0"/>
                <w:bCs w:val="0"/>
                <w:sz w:val="24"/>
                <w:szCs w:val="24"/>
              </w:rPr>
            </w:r>
            <w:r>
              <w:rPr>
                <w:rFonts w:ascii="宋体" w:hAnsi="宋体"/>
                <w:b w:val="0"/>
                <w:bCs w:val="0"/>
                <w:sz w:val="24"/>
                <w:szCs w:val="24"/>
              </w:rPr>
              <w:fldChar w:fldCharType="separate"/>
            </w:r>
            <w:r w:rsidR="00450C16">
              <w:rPr>
                <w:rFonts w:ascii="宋体" w:hAnsi="宋体"/>
                <w:b w:val="0"/>
                <w:bCs w:val="0"/>
                <w:sz w:val="24"/>
                <w:szCs w:val="24"/>
              </w:rPr>
              <w:t>6</w:t>
            </w:r>
            <w:r>
              <w:rPr>
                <w:rFonts w:ascii="宋体" w:hAnsi="宋体"/>
                <w:b w:val="0"/>
                <w:bCs w:val="0"/>
                <w:sz w:val="24"/>
                <w:szCs w:val="24"/>
              </w:rPr>
              <w:fldChar w:fldCharType="end"/>
            </w:r>
          </w:hyperlink>
        </w:p>
        <w:p w:rsidR="00577ACC" w:rsidRDefault="0055440D">
          <w:pPr>
            <w:pStyle w:val="10"/>
            <w:tabs>
              <w:tab w:val="right" w:leader="dot" w:pos="8268"/>
            </w:tabs>
            <w:spacing w:line="360" w:lineRule="auto"/>
            <w:rPr>
              <w:rFonts w:ascii="宋体" w:hAnsi="宋体" w:cstheme="minorBidi"/>
              <w:b w:val="0"/>
              <w:bCs w:val="0"/>
              <w:caps w:val="0"/>
              <w:sz w:val="24"/>
              <w:szCs w:val="24"/>
            </w:rPr>
          </w:pPr>
          <w:hyperlink w:anchor="_Toc46097932" w:history="1">
            <w:r w:rsidR="00450C16">
              <w:rPr>
                <w:rStyle w:val="ab"/>
                <w:rFonts w:ascii="宋体" w:hAnsi="宋体"/>
                <w:b w:val="0"/>
                <w:bCs w:val="0"/>
                <w:sz w:val="24"/>
                <w:szCs w:val="24"/>
              </w:rPr>
              <w:t>六、重大分歧意见的处理经过和依据</w:t>
            </w:r>
            <w:r w:rsidR="00450C16">
              <w:rPr>
                <w:rFonts w:ascii="宋体" w:hAnsi="宋体"/>
                <w:b w:val="0"/>
                <w:bCs w:val="0"/>
                <w:sz w:val="24"/>
                <w:szCs w:val="24"/>
              </w:rPr>
              <w:tab/>
            </w:r>
            <w:r>
              <w:rPr>
                <w:rFonts w:ascii="宋体" w:hAnsi="宋体"/>
                <w:b w:val="0"/>
                <w:bCs w:val="0"/>
                <w:sz w:val="24"/>
                <w:szCs w:val="24"/>
              </w:rPr>
              <w:fldChar w:fldCharType="begin"/>
            </w:r>
            <w:r w:rsidR="00450C16">
              <w:rPr>
                <w:rFonts w:ascii="宋体" w:hAnsi="宋体"/>
                <w:b w:val="0"/>
                <w:bCs w:val="0"/>
                <w:sz w:val="24"/>
                <w:szCs w:val="24"/>
              </w:rPr>
              <w:instrText xml:space="preserve"> PAGEREF _Toc46097932 \h </w:instrText>
            </w:r>
            <w:r>
              <w:rPr>
                <w:rFonts w:ascii="宋体" w:hAnsi="宋体"/>
                <w:b w:val="0"/>
                <w:bCs w:val="0"/>
                <w:sz w:val="24"/>
                <w:szCs w:val="24"/>
              </w:rPr>
            </w:r>
            <w:r>
              <w:rPr>
                <w:rFonts w:ascii="宋体" w:hAnsi="宋体"/>
                <w:b w:val="0"/>
                <w:bCs w:val="0"/>
                <w:sz w:val="24"/>
                <w:szCs w:val="24"/>
              </w:rPr>
              <w:fldChar w:fldCharType="separate"/>
            </w:r>
            <w:r w:rsidR="00450C16">
              <w:rPr>
                <w:rFonts w:ascii="宋体" w:hAnsi="宋体"/>
                <w:b w:val="0"/>
                <w:bCs w:val="0"/>
                <w:sz w:val="24"/>
                <w:szCs w:val="24"/>
              </w:rPr>
              <w:t>7</w:t>
            </w:r>
            <w:r>
              <w:rPr>
                <w:rFonts w:ascii="宋体" w:hAnsi="宋体"/>
                <w:b w:val="0"/>
                <w:bCs w:val="0"/>
                <w:sz w:val="24"/>
                <w:szCs w:val="24"/>
              </w:rPr>
              <w:fldChar w:fldCharType="end"/>
            </w:r>
          </w:hyperlink>
        </w:p>
        <w:p w:rsidR="00577ACC" w:rsidRDefault="0055440D">
          <w:pPr>
            <w:pStyle w:val="10"/>
            <w:tabs>
              <w:tab w:val="right" w:leader="dot" w:pos="8268"/>
            </w:tabs>
            <w:spacing w:line="360" w:lineRule="auto"/>
            <w:rPr>
              <w:rFonts w:ascii="宋体" w:hAnsi="宋体" w:cstheme="minorBidi"/>
              <w:b w:val="0"/>
              <w:bCs w:val="0"/>
              <w:caps w:val="0"/>
              <w:sz w:val="24"/>
              <w:szCs w:val="24"/>
            </w:rPr>
          </w:pPr>
          <w:hyperlink w:anchor="_Toc46097933" w:history="1">
            <w:r w:rsidR="00450C16">
              <w:rPr>
                <w:rStyle w:val="ab"/>
                <w:rFonts w:ascii="宋体" w:hAnsi="宋体"/>
                <w:b w:val="0"/>
                <w:bCs w:val="0"/>
                <w:sz w:val="24"/>
                <w:szCs w:val="24"/>
              </w:rPr>
              <w:t>七、贯彻标准的要求和措施建议（包括组织措施、技术措施、过渡办法等内容）</w:t>
            </w:r>
            <w:r w:rsidR="00450C16">
              <w:rPr>
                <w:rFonts w:ascii="宋体" w:hAnsi="宋体"/>
                <w:b w:val="0"/>
                <w:bCs w:val="0"/>
                <w:sz w:val="24"/>
                <w:szCs w:val="24"/>
              </w:rPr>
              <w:tab/>
            </w:r>
            <w:r>
              <w:rPr>
                <w:rFonts w:ascii="宋体" w:hAnsi="宋体"/>
                <w:b w:val="0"/>
                <w:bCs w:val="0"/>
                <w:sz w:val="24"/>
                <w:szCs w:val="24"/>
              </w:rPr>
              <w:fldChar w:fldCharType="begin"/>
            </w:r>
            <w:r w:rsidR="00450C16">
              <w:rPr>
                <w:rFonts w:ascii="宋体" w:hAnsi="宋体"/>
                <w:b w:val="0"/>
                <w:bCs w:val="0"/>
                <w:sz w:val="24"/>
                <w:szCs w:val="24"/>
              </w:rPr>
              <w:instrText xml:space="preserve"> PAGEREF _Toc46097933 \h </w:instrText>
            </w:r>
            <w:r>
              <w:rPr>
                <w:rFonts w:ascii="宋体" w:hAnsi="宋体"/>
                <w:b w:val="0"/>
                <w:bCs w:val="0"/>
                <w:sz w:val="24"/>
                <w:szCs w:val="24"/>
              </w:rPr>
            </w:r>
            <w:r>
              <w:rPr>
                <w:rFonts w:ascii="宋体" w:hAnsi="宋体"/>
                <w:b w:val="0"/>
                <w:bCs w:val="0"/>
                <w:sz w:val="24"/>
                <w:szCs w:val="24"/>
              </w:rPr>
              <w:fldChar w:fldCharType="separate"/>
            </w:r>
            <w:r w:rsidR="00450C16">
              <w:rPr>
                <w:rFonts w:ascii="宋体" w:hAnsi="宋体"/>
                <w:b w:val="0"/>
                <w:bCs w:val="0"/>
                <w:sz w:val="24"/>
                <w:szCs w:val="24"/>
              </w:rPr>
              <w:t>7</w:t>
            </w:r>
            <w:r>
              <w:rPr>
                <w:rFonts w:ascii="宋体" w:hAnsi="宋体"/>
                <w:b w:val="0"/>
                <w:bCs w:val="0"/>
                <w:sz w:val="24"/>
                <w:szCs w:val="24"/>
              </w:rPr>
              <w:fldChar w:fldCharType="end"/>
            </w:r>
          </w:hyperlink>
        </w:p>
        <w:p w:rsidR="00577ACC" w:rsidRDefault="0055440D">
          <w:pPr>
            <w:pStyle w:val="10"/>
            <w:tabs>
              <w:tab w:val="right" w:leader="dot" w:pos="8268"/>
            </w:tabs>
            <w:spacing w:line="360" w:lineRule="auto"/>
            <w:rPr>
              <w:rFonts w:ascii="宋体" w:hAnsi="宋体" w:cstheme="minorBidi"/>
              <w:b w:val="0"/>
              <w:bCs w:val="0"/>
              <w:caps w:val="0"/>
              <w:sz w:val="24"/>
              <w:szCs w:val="24"/>
            </w:rPr>
          </w:pPr>
          <w:hyperlink w:anchor="_Toc46097934" w:history="1">
            <w:r w:rsidR="00450C16">
              <w:rPr>
                <w:rStyle w:val="ab"/>
                <w:rFonts w:ascii="宋体" w:hAnsi="宋体"/>
                <w:b w:val="0"/>
                <w:bCs w:val="0"/>
                <w:sz w:val="24"/>
                <w:szCs w:val="24"/>
              </w:rPr>
              <w:t>八、废止现行有关标准的建议</w:t>
            </w:r>
            <w:r w:rsidR="00450C16">
              <w:rPr>
                <w:rFonts w:ascii="宋体" w:hAnsi="宋体"/>
                <w:b w:val="0"/>
                <w:bCs w:val="0"/>
                <w:sz w:val="24"/>
                <w:szCs w:val="24"/>
              </w:rPr>
              <w:tab/>
            </w:r>
            <w:r>
              <w:rPr>
                <w:rFonts w:ascii="宋体" w:hAnsi="宋体"/>
                <w:b w:val="0"/>
                <w:bCs w:val="0"/>
                <w:sz w:val="24"/>
                <w:szCs w:val="24"/>
              </w:rPr>
              <w:fldChar w:fldCharType="begin"/>
            </w:r>
            <w:r w:rsidR="00450C16">
              <w:rPr>
                <w:rFonts w:ascii="宋体" w:hAnsi="宋体"/>
                <w:b w:val="0"/>
                <w:bCs w:val="0"/>
                <w:sz w:val="24"/>
                <w:szCs w:val="24"/>
              </w:rPr>
              <w:instrText xml:space="preserve"> PAGEREF _Toc46097934 \h </w:instrText>
            </w:r>
            <w:r>
              <w:rPr>
                <w:rFonts w:ascii="宋体" w:hAnsi="宋体"/>
                <w:b w:val="0"/>
                <w:bCs w:val="0"/>
                <w:sz w:val="24"/>
                <w:szCs w:val="24"/>
              </w:rPr>
            </w:r>
            <w:r>
              <w:rPr>
                <w:rFonts w:ascii="宋体" w:hAnsi="宋体"/>
                <w:b w:val="0"/>
                <w:bCs w:val="0"/>
                <w:sz w:val="24"/>
                <w:szCs w:val="24"/>
              </w:rPr>
              <w:fldChar w:fldCharType="separate"/>
            </w:r>
            <w:r w:rsidR="00450C16">
              <w:rPr>
                <w:rFonts w:ascii="宋体" w:hAnsi="宋体"/>
                <w:b w:val="0"/>
                <w:bCs w:val="0"/>
                <w:sz w:val="24"/>
                <w:szCs w:val="24"/>
              </w:rPr>
              <w:t>7</w:t>
            </w:r>
            <w:r>
              <w:rPr>
                <w:rFonts w:ascii="宋体" w:hAnsi="宋体"/>
                <w:b w:val="0"/>
                <w:bCs w:val="0"/>
                <w:sz w:val="24"/>
                <w:szCs w:val="24"/>
              </w:rPr>
              <w:fldChar w:fldCharType="end"/>
            </w:r>
          </w:hyperlink>
        </w:p>
        <w:p w:rsidR="00577ACC" w:rsidRDefault="0055440D">
          <w:pPr>
            <w:pStyle w:val="10"/>
            <w:tabs>
              <w:tab w:val="right" w:leader="dot" w:pos="8268"/>
            </w:tabs>
            <w:spacing w:line="360" w:lineRule="auto"/>
            <w:rPr>
              <w:rFonts w:ascii="宋体" w:hAnsi="宋体" w:cstheme="minorBidi"/>
              <w:b w:val="0"/>
              <w:bCs w:val="0"/>
              <w:caps w:val="0"/>
              <w:sz w:val="24"/>
              <w:szCs w:val="24"/>
            </w:rPr>
          </w:pPr>
          <w:hyperlink w:anchor="_Toc46097935" w:history="1">
            <w:r w:rsidR="00450C16">
              <w:rPr>
                <w:rStyle w:val="ab"/>
                <w:rFonts w:ascii="宋体" w:hAnsi="宋体"/>
                <w:b w:val="0"/>
                <w:bCs w:val="0"/>
                <w:sz w:val="24"/>
                <w:szCs w:val="24"/>
              </w:rPr>
              <w:t>九、其他应予说明的事项</w:t>
            </w:r>
            <w:r w:rsidR="00450C16">
              <w:rPr>
                <w:rFonts w:ascii="宋体" w:hAnsi="宋体"/>
                <w:b w:val="0"/>
                <w:bCs w:val="0"/>
                <w:sz w:val="24"/>
                <w:szCs w:val="24"/>
              </w:rPr>
              <w:tab/>
            </w:r>
            <w:r>
              <w:rPr>
                <w:rFonts w:ascii="宋体" w:hAnsi="宋体"/>
                <w:b w:val="0"/>
                <w:bCs w:val="0"/>
                <w:sz w:val="24"/>
                <w:szCs w:val="24"/>
              </w:rPr>
              <w:fldChar w:fldCharType="begin"/>
            </w:r>
            <w:r w:rsidR="00450C16">
              <w:rPr>
                <w:rFonts w:ascii="宋体" w:hAnsi="宋体"/>
                <w:b w:val="0"/>
                <w:bCs w:val="0"/>
                <w:sz w:val="24"/>
                <w:szCs w:val="24"/>
              </w:rPr>
              <w:instrText xml:space="preserve"> PAGEREF _Toc46097935 \h </w:instrText>
            </w:r>
            <w:r>
              <w:rPr>
                <w:rFonts w:ascii="宋体" w:hAnsi="宋体"/>
                <w:b w:val="0"/>
                <w:bCs w:val="0"/>
                <w:sz w:val="24"/>
                <w:szCs w:val="24"/>
              </w:rPr>
            </w:r>
            <w:r>
              <w:rPr>
                <w:rFonts w:ascii="宋体" w:hAnsi="宋体"/>
                <w:b w:val="0"/>
                <w:bCs w:val="0"/>
                <w:sz w:val="24"/>
                <w:szCs w:val="24"/>
              </w:rPr>
              <w:fldChar w:fldCharType="separate"/>
            </w:r>
            <w:r w:rsidR="00450C16">
              <w:rPr>
                <w:rFonts w:ascii="宋体" w:hAnsi="宋体"/>
                <w:b w:val="0"/>
                <w:bCs w:val="0"/>
                <w:sz w:val="24"/>
                <w:szCs w:val="24"/>
              </w:rPr>
              <w:t>7</w:t>
            </w:r>
            <w:r>
              <w:rPr>
                <w:rFonts w:ascii="宋体" w:hAnsi="宋体"/>
                <w:b w:val="0"/>
                <w:bCs w:val="0"/>
                <w:sz w:val="24"/>
                <w:szCs w:val="24"/>
              </w:rPr>
              <w:fldChar w:fldCharType="end"/>
            </w:r>
          </w:hyperlink>
        </w:p>
        <w:p w:rsidR="00577ACC" w:rsidRDefault="0055440D">
          <w:pPr>
            <w:spacing w:line="360" w:lineRule="auto"/>
            <w:outlineLvl w:val="0"/>
          </w:pPr>
          <w:r>
            <w:rPr>
              <w:rFonts w:ascii="宋体" w:hAnsi="宋体"/>
              <w:sz w:val="24"/>
              <w:szCs w:val="24"/>
            </w:rPr>
            <w:fldChar w:fldCharType="end"/>
          </w:r>
        </w:p>
      </w:sdtContent>
    </w:sdt>
    <w:p w:rsidR="00577ACC" w:rsidRDefault="00577ACC">
      <w:pPr>
        <w:spacing w:line="360" w:lineRule="auto"/>
        <w:rPr>
          <w:rFonts w:ascii="黑体" w:eastAsia="黑体" w:hAnsi="黑体"/>
          <w:szCs w:val="21"/>
        </w:rPr>
        <w:sectPr w:rsidR="00577ACC">
          <w:footerReference w:type="default" r:id="rId15"/>
          <w:pgSz w:w="11906" w:h="16838"/>
          <w:pgMar w:top="1588" w:right="1814" w:bottom="1588" w:left="1814" w:header="851" w:footer="992" w:gutter="0"/>
          <w:cols w:space="425"/>
          <w:titlePg/>
          <w:docGrid w:type="lines" w:linePitch="312"/>
        </w:sectPr>
      </w:pPr>
    </w:p>
    <w:p w:rsidR="00577ACC" w:rsidRDefault="00450C16">
      <w:pPr>
        <w:spacing w:line="360" w:lineRule="auto"/>
        <w:jc w:val="center"/>
        <w:rPr>
          <w:rFonts w:asciiTheme="minorEastAsia" w:eastAsiaTheme="minorEastAsia" w:hAnsiTheme="minorEastAsia"/>
          <w:b/>
          <w:sz w:val="24"/>
          <w:szCs w:val="24"/>
        </w:rPr>
      </w:pPr>
      <w:bookmarkStart w:id="0" w:name="_Toc483660122"/>
      <w:bookmarkStart w:id="1" w:name="_Toc89252253"/>
      <w:r>
        <w:rPr>
          <w:rFonts w:asciiTheme="minorEastAsia" w:eastAsiaTheme="minorEastAsia" w:hAnsiTheme="minorEastAsia" w:hint="eastAsia"/>
          <w:b/>
          <w:sz w:val="24"/>
          <w:szCs w:val="24"/>
        </w:rPr>
        <w:lastRenderedPageBreak/>
        <w:t>《集装箱电子装箱单》编制说明</w:t>
      </w:r>
    </w:p>
    <w:p w:rsidR="00577ACC" w:rsidRDefault="00450C16" w:rsidP="00402A43">
      <w:pPr>
        <w:spacing w:beforeLines="50" w:line="360" w:lineRule="auto"/>
        <w:outlineLvl w:val="0"/>
        <w:rPr>
          <w:rFonts w:asciiTheme="minorEastAsia" w:eastAsiaTheme="minorEastAsia" w:hAnsiTheme="minorEastAsia"/>
          <w:b/>
          <w:sz w:val="24"/>
          <w:szCs w:val="24"/>
        </w:rPr>
      </w:pPr>
      <w:bookmarkStart w:id="2" w:name="_Toc46097927"/>
      <w:r>
        <w:rPr>
          <w:rFonts w:asciiTheme="minorEastAsia" w:eastAsiaTheme="minorEastAsia" w:hAnsiTheme="minorEastAsia" w:hint="eastAsia"/>
          <w:b/>
          <w:sz w:val="24"/>
          <w:szCs w:val="24"/>
        </w:rPr>
        <w:t>一、工</w:t>
      </w:r>
      <w:r>
        <w:rPr>
          <w:rFonts w:asciiTheme="minorEastAsia" w:eastAsiaTheme="minorEastAsia" w:hAnsiTheme="minorEastAsia" w:cs="Arial"/>
          <w:b/>
          <w:sz w:val="24"/>
          <w:szCs w:val="24"/>
        </w:rPr>
        <w:t>作简况</w:t>
      </w:r>
      <w:bookmarkEnd w:id="0"/>
      <w:bookmarkEnd w:id="2"/>
    </w:p>
    <w:p w:rsidR="00577ACC" w:rsidRDefault="00450C16" w:rsidP="00402A43">
      <w:pPr>
        <w:spacing w:beforeLines="50" w:line="360" w:lineRule="auto"/>
        <w:rPr>
          <w:rFonts w:asciiTheme="minorEastAsia" w:eastAsiaTheme="minorEastAsia" w:hAnsiTheme="minorEastAsia"/>
          <w:b/>
          <w:sz w:val="24"/>
          <w:szCs w:val="24"/>
        </w:rPr>
      </w:pPr>
      <w:bookmarkStart w:id="3" w:name="_Toc26972780"/>
      <w:bookmarkStart w:id="4" w:name="_Toc483660123"/>
      <w:r>
        <w:rPr>
          <w:rFonts w:asciiTheme="minorEastAsia" w:eastAsiaTheme="minorEastAsia" w:hAnsiTheme="minorEastAsia" w:hint="eastAsia"/>
          <w:b/>
          <w:sz w:val="24"/>
          <w:szCs w:val="24"/>
        </w:rPr>
        <w:t>（一）任务来源</w:t>
      </w:r>
      <w:bookmarkEnd w:id="1"/>
      <w:bookmarkEnd w:id="3"/>
      <w:bookmarkEnd w:id="4"/>
    </w:p>
    <w:p w:rsidR="00577ACC" w:rsidRDefault="00450C16" w:rsidP="00402A43">
      <w:pPr>
        <w:spacing w:beforeLines="50" w:line="360" w:lineRule="auto"/>
        <w:ind w:firstLine="43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团体标准《</w:t>
      </w:r>
      <w:r>
        <w:rPr>
          <w:rFonts w:asciiTheme="minorEastAsia" w:eastAsiaTheme="minorEastAsia" w:hAnsiTheme="minorEastAsia" w:hint="eastAsia"/>
          <w:bCs/>
          <w:sz w:val="24"/>
          <w:szCs w:val="24"/>
        </w:rPr>
        <w:t>集装箱电子装箱单</w:t>
      </w:r>
      <w:r>
        <w:rPr>
          <w:rFonts w:asciiTheme="minorEastAsia" w:eastAsiaTheme="minorEastAsia" w:hAnsiTheme="minorEastAsia" w:hint="eastAsia"/>
          <w:sz w:val="24"/>
          <w:szCs w:val="24"/>
        </w:rPr>
        <w:t>》是根据</w:t>
      </w:r>
      <w:r w:rsidR="00F5557E" w:rsidRPr="0024703D">
        <w:rPr>
          <w:rFonts w:asciiTheme="minorEastAsia" w:eastAsiaTheme="minorEastAsia" w:hAnsiTheme="minorEastAsia" w:hint="eastAsia"/>
          <w:sz w:val="24"/>
          <w:szCs w:val="24"/>
        </w:rPr>
        <w:t>根据中国港口协会关于《2019年度中国港口协会第二批团体标准化计划》</w:t>
      </w:r>
      <w:r w:rsidR="00F5557E">
        <w:rPr>
          <w:rFonts w:asciiTheme="minorEastAsia" w:eastAsiaTheme="minorEastAsia" w:hAnsiTheme="minorEastAsia" w:hint="eastAsia"/>
          <w:sz w:val="24"/>
          <w:szCs w:val="24"/>
        </w:rPr>
        <w:t>（中港协行函[2019]44号）</w:t>
      </w:r>
      <w:r w:rsidR="00F5557E" w:rsidRPr="0024703D">
        <w:rPr>
          <w:rFonts w:asciiTheme="minorEastAsia" w:eastAsiaTheme="minorEastAsia" w:hAnsiTheme="minorEastAsia" w:hint="eastAsia"/>
          <w:sz w:val="24"/>
          <w:szCs w:val="24"/>
        </w:rPr>
        <w:t>的通知</w:t>
      </w:r>
      <w:r>
        <w:rPr>
          <w:rFonts w:asciiTheme="minorEastAsia" w:eastAsiaTheme="minorEastAsia" w:hAnsiTheme="minorEastAsia" w:hint="eastAsia"/>
          <w:sz w:val="24"/>
          <w:szCs w:val="24"/>
        </w:rPr>
        <w:t>，计划编号（</w:t>
      </w:r>
      <w:r w:rsidR="00F5557E">
        <w:rPr>
          <w:rFonts w:asciiTheme="minorEastAsia" w:eastAsiaTheme="minorEastAsia" w:hAnsiTheme="minorEastAsia" w:hint="eastAsia"/>
          <w:sz w:val="24"/>
          <w:szCs w:val="24"/>
        </w:rPr>
        <w:t>2019-15</w:t>
      </w:r>
      <w:r>
        <w:rPr>
          <w:rFonts w:asciiTheme="minorEastAsia" w:eastAsiaTheme="minorEastAsia" w:hAnsiTheme="minorEastAsia" w:hint="eastAsia"/>
          <w:sz w:val="24"/>
          <w:szCs w:val="24"/>
        </w:rPr>
        <w:t>）的安排，由上海国际港务（集团）股份有限公司负责编制。</w:t>
      </w:r>
    </w:p>
    <w:p w:rsidR="00577ACC" w:rsidRDefault="00450C16" w:rsidP="00402A43">
      <w:pPr>
        <w:spacing w:beforeLines="50" w:line="360" w:lineRule="auto"/>
        <w:rPr>
          <w:rFonts w:asciiTheme="minorEastAsia" w:eastAsiaTheme="minorEastAsia" w:hAnsiTheme="minorEastAsia"/>
          <w:b/>
          <w:sz w:val="24"/>
          <w:szCs w:val="24"/>
        </w:rPr>
      </w:pPr>
      <w:bookmarkStart w:id="5" w:name="_Toc26972781"/>
      <w:r>
        <w:rPr>
          <w:rFonts w:asciiTheme="minorEastAsia" w:eastAsiaTheme="minorEastAsia" w:hAnsiTheme="minorEastAsia" w:hint="eastAsia"/>
          <w:b/>
          <w:sz w:val="24"/>
          <w:szCs w:val="24"/>
        </w:rPr>
        <w:t>（二）起草单位</w:t>
      </w:r>
      <w:bookmarkEnd w:id="5"/>
    </w:p>
    <w:p w:rsidR="00577ACC" w:rsidRDefault="00450C16" w:rsidP="00402A43">
      <w:pPr>
        <w:spacing w:beforeLines="50" w:line="360" w:lineRule="auto"/>
        <w:ind w:firstLine="435"/>
        <w:jc w:val="left"/>
        <w:rPr>
          <w:rFonts w:ascii="黑体" w:eastAsia="黑体" w:hAnsi="黑体"/>
          <w:sz w:val="24"/>
          <w:szCs w:val="24"/>
        </w:rPr>
      </w:pPr>
      <w:r>
        <w:rPr>
          <w:rFonts w:ascii="宋体" w:hint="eastAsia"/>
          <w:sz w:val="24"/>
          <w:szCs w:val="24"/>
        </w:rPr>
        <w:t>标准编写主要由上海国际港务（集团）股份有限公司负责、协作单位主要为</w:t>
      </w:r>
      <w:r w:rsidRPr="00F5557E">
        <w:rPr>
          <w:rFonts w:asciiTheme="minorEastAsia" w:eastAsiaTheme="minorEastAsia" w:hAnsiTheme="minorEastAsia" w:hint="eastAsia"/>
          <w:sz w:val="24"/>
          <w:szCs w:val="24"/>
        </w:rPr>
        <w:t>宁波</w:t>
      </w:r>
      <w:r w:rsidR="00402A43">
        <w:rPr>
          <w:rFonts w:asciiTheme="minorEastAsia" w:eastAsiaTheme="minorEastAsia" w:hAnsiTheme="minorEastAsia" w:hint="eastAsia"/>
          <w:sz w:val="24"/>
          <w:szCs w:val="24"/>
        </w:rPr>
        <w:t>舟山</w:t>
      </w:r>
      <w:r w:rsidRPr="00F5557E">
        <w:rPr>
          <w:rFonts w:asciiTheme="minorEastAsia" w:eastAsiaTheme="minorEastAsia" w:hAnsiTheme="minorEastAsia" w:hint="eastAsia"/>
          <w:sz w:val="24"/>
          <w:szCs w:val="24"/>
        </w:rPr>
        <w:t>港</w:t>
      </w:r>
      <w:r w:rsidR="00402A43">
        <w:rPr>
          <w:rFonts w:asciiTheme="minorEastAsia" w:eastAsiaTheme="minorEastAsia" w:hAnsiTheme="minorEastAsia" w:hint="eastAsia"/>
          <w:sz w:val="24"/>
          <w:szCs w:val="24"/>
        </w:rPr>
        <w:t>集团</w:t>
      </w:r>
      <w:r w:rsidRPr="00F5557E">
        <w:rPr>
          <w:rFonts w:asciiTheme="minorEastAsia" w:eastAsiaTheme="minorEastAsia" w:hAnsiTheme="minorEastAsia" w:hint="eastAsia"/>
          <w:sz w:val="24"/>
          <w:szCs w:val="24"/>
        </w:rPr>
        <w:t>有限公司、天津港（集团）有限公司、上海海事大学和上海港口协</w:t>
      </w:r>
      <w:r>
        <w:rPr>
          <w:rFonts w:asciiTheme="minorEastAsia" w:eastAsiaTheme="minorEastAsia" w:hAnsiTheme="minorEastAsia" w:hint="eastAsia"/>
          <w:sz w:val="24"/>
          <w:szCs w:val="24"/>
        </w:rPr>
        <w:t>会</w:t>
      </w:r>
      <w:r>
        <w:rPr>
          <w:rFonts w:ascii="宋体" w:hint="eastAsia"/>
          <w:sz w:val="24"/>
          <w:szCs w:val="24"/>
        </w:rPr>
        <w:t>。</w:t>
      </w:r>
    </w:p>
    <w:p w:rsidR="00577ACC" w:rsidRDefault="00450C16" w:rsidP="00402A43">
      <w:pPr>
        <w:spacing w:beforeLines="50" w:line="360" w:lineRule="auto"/>
        <w:rPr>
          <w:rFonts w:asciiTheme="minorEastAsia" w:eastAsiaTheme="minorEastAsia" w:hAnsiTheme="minorEastAsia"/>
          <w:b/>
          <w:sz w:val="24"/>
          <w:szCs w:val="24"/>
        </w:rPr>
      </w:pPr>
      <w:bookmarkStart w:id="6" w:name="_Toc26972782"/>
      <w:r>
        <w:rPr>
          <w:rFonts w:asciiTheme="minorEastAsia" w:eastAsiaTheme="minorEastAsia" w:hAnsiTheme="minorEastAsia" w:hint="eastAsia"/>
          <w:b/>
          <w:sz w:val="24"/>
          <w:szCs w:val="24"/>
        </w:rPr>
        <w:t>（三）主要起草人及其所做的工作</w:t>
      </w:r>
      <w:bookmarkEnd w:id="6"/>
    </w:p>
    <w:p w:rsidR="00577ACC" w:rsidRDefault="00450C16" w:rsidP="00402A43">
      <w:pPr>
        <w:spacing w:beforeLines="50" w:line="360" w:lineRule="auto"/>
        <w:ind w:firstLine="435"/>
        <w:jc w:val="left"/>
        <w:rPr>
          <w:rFonts w:ascii="宋体"/>
          <w:sz w:val="24"/>
          <w:szCs w:val="24"/>
        </w:rPr>
      </w:pPr>
      <w:r>
        <w:rPr>
          <w:rFonts w:ascii="宋体" w:hint="eastAsia"/>
          <w:sz w:val="24"/>
          <w:szCs w:val="24"/>
        </w:rPr>
        <w:t>标准主要起草人有严俊、韩青原、王昕、杨宗杰、沈景文、朱文超、赵龙、杨茜、邵琳晖、黄慧杰、舒帆、夏孟珏、童建忠、林柯龙、张蕾、王强、柯冬澄、</w:t>
      </w:r>
      <w:r>
        <w:rPr>
          <w:rFonts w:asciiTheme="minorEastAsia" w:eastAsiaTheme="minorEastAsia" w:hAnsiTheme="minorEastAsia" w:hint="eastAsia"/>
          <w:szCs w:val="21"/>
        </w:rPr>
        <w:t>王轩</w:t>
      </w:r>
      <w:r>
        <w:rPr>
          <w:rFonts w:ascii="宋体" w:hint="eastAsia"/>
          <w:sz w:val="24"/>
          <w:szCs w:val="24"/>
        </w:rPr>
        <w:t>、</w:t>
      </w:r>
      <w:r>
        <w:rPr>
          <w:rFonts w:asciiTheme="minorEastAsia" w:eastAsiaTheme="minorEastAsia" w:hAnsiTheme="minorEastAsia" w:hint="eastAsia"/>
          <w:szCs w:val="21"/>
        </w:rPr>
        <w:t>杨志新</w:t>
      </w:r>
      <w:r>
        <w:rPr>
          <w:rFonts w:ascii="宋体" w:hint="eastAsia"/>
          <w:sz w:val="24"/>
          <w:szCs w:val="24"/>
        </w:rPr>
        <w:t>、</w:t>
      </w:r>
      <w:r>
        <w:rPr>
          <w:rFonts w:asciiTheme="minorEastAsia" w:eastAsiaTheme="minorEastAsia" w:hAnsiTheme="minorEastAsia" w:hint="eastAsia"/>
          <w:szCs w:val="21"/>
        </w:rPr>
        <w:t>李秋男</w:t>
      </w:r>
      <w:bookmarkStart w:id="7" w:name="_GoBack"/>
      <w:bookmarkEnd w:id="7"/>
      <w:r>
        <w:rPr>
          <w:rFonts w:ascii="宋体" w:hint="eastAsia"/>
          <w:sz w:val="24"/>
          <w:szCs w:val="24"/>
        </w:rPr>
        <w:t>。</w:t>
      </w:r>
    </w:p>
    <w:p w:rsidR="00577ACC" w:rsidRDefault="00450C16" w:rsidP="00402A43">
      <w:pPr>
        <w:spacing w:beforeLines="50" w:line="360" w:lineRule="auto"/>
        <w:ind w:firstLine="435"/>
        <w:jc w:val="left"/>
        <w:rPr>
          <w:rFonts w:ascii="宋体"/>
          <w:sz w:val="24"/>
          <w:szCs w:val="24"/>
        </w:rPr>
      </w:pPr>
      <w:r>
        <w:rPr>
          <w:rFonts w:ascii="宋体" w:hint="eastAsia"/>
          <w:sz w:val="24"/>
          <w:szCs w:val="24"/>
        </w:rPr>
        <w:t>起草人任务分工见表1.1。</w:t>
      </w:r>
    </w:p>
    <w:p w:rsidR="00577ACC" w:rsidRDefault="00450C16" w:rsidP="00402A43">
      <w:pPr>
        <w:spacing w:beforeLines="50" w:line="360" w:lineRule="auto"/>
        <w:jc w:val="center"/>
        <w:rPr>
          <w:rFonts w:ascii="黑体" w:eastAsia="黑体" w:hAnsi="黑体"/>
          <w:sz w:val="24"/>
          <w:szCs w:val="24"/>
        </w:rPr>
      </w:pPr>
      <w:r>
        <w:rPr>
          <w:rFonts w:ascii="黑体" w:eastAsia="黑体" w:hAnsi="黑体" w:hint="eastAsia"/>
          <w:sz w:val="24"/>
          <w:szCs w:val="24"/>
        </w:rPr>
        <w:t>表1.1 标准主要起草人任务分工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271"/>
        <w:gridCol w:w="1434"/>
        <w:gridCol w:w="1145"/>
        <w:gridCol w:w="2543"/>
      </w:tblGrid>
      <w:tr w:rsidR="00577ACC">
        <w:tc>
          <w:tcPr>
            <w:tcW w:w="648" w:type="pct"/>
          </w:tcPr>
          <w:p w:rsidR="00577ACC" w:rsidRDefault="00450C16">
            <w:pPr>
              <w:spacing w:line="300" w:lineRule="auto"/>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姓名</w:t>
            </w:r>
          </w:p>
        </w:tc>
        <w:tc>
          <w:tcPr>
            <w:tcW w:w="1336" w:type="pct"/>
          </w:tcPr>
          <w:p w:rsidR="00577ACC" w:rsidRDefault="00450C16">
            <w:pPr>
              <w:spacing w:line="300" w:lineRule="auto"/>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单  位</w:t>
            </w:r>
          </w:p>
        </w:tc>
        <w:tc>
          <w:tcPr>
            <w:tcW w:w="844" w:type="pct"/>
          </w:tcPr>
          <w:p w:rsidR="00577ACC" w:rsidRDefault="00450C16">
            <w:pPr>
              <w:spacing w:line="300" w:lineRule="auto"/>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职务、职称</w:t>
            </w:r>
          </w:p>
        </w:tc>
        <w:tc>
          <w:tcPr>
            <w:tcW w:w="674" w:type="pct"/>
          </w:tcPr>
          <w:p w:rsidR="00577ACC" w:rsidRDefault="00450C16">
            <w:pPr>
              <w:spacing w:line="300" w:lineRule="auto"/>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项目职务</w:t>
            </w:r>
          </w:p>
        </w:tc>
        <w:tc>
          <w:tcPr>
            <w:tcW w:w="1496" w:type="pct"/>
          </w:tcPr>
          <w:p w:rsidR="00577ACC" w:rsidRDefault="00450C16">
            <w:pPr>
              <w:spacing w:line="300" w:lineRule="auto"/>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分    工</w:t>
            </w:r>
          </w:p>
        </w:tc>
      </w:tr>
      <w:tr w:rsidR="00577ACC">
        <w:trPr>
          <w:trHeight w:val="1457"/>
        </w:trPr>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严俊</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844" w:type="pct"/>
            <w:vAlign w:val="center"/>
          </w:tcPr>
          <w:p w:rsidR="00577ACC" w:rsidRDefault="00450C16">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上港集团党委副书记、总裁</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组长</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标准修订总负责，审核相关技术。</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韩青原</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总助</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标准全文修辞与英文审核。</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王昕</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经理</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标准结构、框架、要素审核及相关技术审核。</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杨宗杰</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副主任</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文献资料检索、编写的调研，参与</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章节的编写及相关技术论证。</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lastRenderedPageBreak/>
              <w:t>沈景文</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上海国际港务（集团）股份有限公司</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主管</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第4章节的相关技术论证。</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朱文超</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上海国际港务（集团）股份有限公司</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主管</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结构、要素条文的审核和标准的编辑性修改。</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赵龙</w:t>
            </w:r>
          </w:p>
        </w:tc>
        <w:tc>
          <w:tcPr>
            <w:tcW w:w="1336" w:type="pct"/>
            <w:vAlign w:val="center"/>
          </w:tcPr>
          <w:p w:rsidR="00577ACC" w:rsidRDefault="00450C16">
            <w:pPr>
              <w:pStyle w:val="ae"/>
              <w:spacing w:after="0" w:line="300" w:lineRule="auto"/>
              <w:rPr>
                <w:rFonts w:asciiTheme="minorEastAsia" w:eastAsiaTheme="minorEastAsia" w:hAnsiTheme="minorEastAsia"/>
                <w:szCs w:val="21"/>
              </w:rPr>
            </w:pPr>
            <w:r>
              <w:rPr>
                <w:rFonts w:ascii="宋体" w:hAnsi="宋体" w:hint="eastAsia"/>
                <w:bCs/>
                <w:szCs w:val="21"/>
              </w:rPr>
              <w:t>海勃物流软件有限公司</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软件三部部门经理</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第5章节的相关技术论证。</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杨茜</w:t>
            </w:r>
          </w:p>
        </w:tc>
        <w:tc>
          <w:tcPr>
            <w:tcW w:w="1336" w:type="pct"/>
            <w:vAlign w:val="center"/>
          </w:tcPr>
          <w:p w:rsidR="00577ACC" w:rsidRDefault="00450C16">
            <w:pPr>
              <w:pStyle w:val="ae"/>
              <w:spacing w:after="0" w:line="300" w:lineRule="auto"/>
              <w:rPr>
                <w:rFonts w:asciiTheme="minorEastAsia" w:eastAsiaTheme="minorEastAsia" w:hAnsiTheme="minorEastAsia"/>
                <w:szCs w:val="21"/>
              </w:rPr>
            </w:pPr>
            <w:r>
              <w:rPr>
                <w:rFonts w:ascii="宋体" w:hAnsi="宋体" w:hint="eastAsia"/>
                <w:bCs/>
                <w:szCs w:val="21"/>
              </w:rPr>
              <w:t>海勃物流软件有限公司</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软件设计师</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第5章节的编写及相关技术论证。</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邵琳晖</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上海上港陆上运输服务有限公司</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bCs/>
                <w:szCs w:val="21"/>
              </w:rPr>
              <w:t>副总经理</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第6章节的相关技术论证。</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黄慧杰</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上海上港陆上运输服务有限公司</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bCs/>
                <w:szCs w:val="21"/>
              </w:rPr>
              <w:t>主管</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第7章节的相关技术论证。</w:t>
            </w:r>
          </w:p>
        </w:tc>
      </w:tr>
      <w:tr w:rsidR="00577ACC">
        <w:tc>
          <w:tcPr>
            <w:tcW w:w="648" w:type="pct"/>
            <w:vAlign w:val="center"/>
          </w:tcPr>
          <w:p w:rsidR="00577ACC" w:rsidRDefault="00450C16">
            <w:pPr>
              <w:spacing w:line="300" w:lineRule="auto"/>
              <w:jc w:val="center"/>
              <w:rPr>
                <w:rFonts w:ascii="宋体" w:hAnsi="宋体"/>
                <w:bCs/>
                <w:szCs w:val="21"/>
              </w:rPr>
            </w:pPr>
            <w:r>
              <w:rPr>
                <w:rFonts w:ascii="宋体" w:hAnsi="宋体" w:hint="eastAsia"/>
                <w:bCs/>
                <w:szCs w:val="21"/>
              </w:rPr>
              <w:t>童建忠</w:t>
            </w:r>
          </w:p>
        </w:tc>
        <w:tc>
          <w:tcPr>
            <w:tcW w:w="1336" w:type="pct"/>
            <w:vAlign w:val="center"/>
          </w:tcPr>
          <w:p w:rsidR="00577ACC" w:rsidRDefault="00450C16">
            <w:pPr>
              <w:spacing w:line="300" w:lineRule="auto"/>
              <w:jc w:val="center"/>
              <w:rPr>
                <w:rFonts w:ascii="宋体" w:hAnsi="宋体"/>
                <w:bCs/>
                <w:szCs w:val="21"/>
              </w:rPr>
            </w:pPr>
            <w:r>
              <w:rPr>
                <w:rFonts w:ascii="宋体" w:hAnsi="宋体" w:hint="eastAsia"/>
                <w:bCs/>
                <w:szCs w:val="21"/>
              </w:rPr>
              <w:t>浙江易港通电子商务有限公司</w:t>
            </w:r>
          </w:p>
        </w:tc>
        <w:tc>
          <w:tcPr>
            <w:tcW w:w="844" w:type="pct"/>
            <w:vAlign w:val="center"/>
          </w:tcPr>
          <w:p w:rsidR="00577ACC" w:rsidRDefault="00450C16">
            <w:pPr>
              <w:spacing w:line="300" w:lineRule="auto"/>
              <w:jc w:val="center"/>
              <w:rPr>
                <w:rFonts w:ascii="宋体" w:hAnsi="宋体"/>
                <w:bCs/>
                <w:szCs w:val="21"/>
              </w:rPr>
            </w:pPr>
            <w:r>
              <w:rPr>
                <w:rFonts w:ascii="宋体" w:hAnsi="宋体" w:hint="eastAsia"/>
                <w:bCs/>
                <w:szCs w:val="21"/>
              </w:rPr>
              <w:t>公司总经理</w:t>
            </w:r>
          </w:p>
        </w:tc>
        <w:tc>
          <w:tcPr>
            <w:tcW w:w="674" w:type="pct"/>
            <w:vAlign w:val="center"/>
          </w:tcPr>
          <w:p w:rsidR="00577ACC" w:rsidRDefault="00450C16">
            <w:pPr>
              <w:spacing w:line="300" w:lineRule="auto"/>
              <w:jc w:val="center"/>
              <w:rPr>
                <w:rFonts w:ascii="宋体" w:hAnsi="宋体"/>
                <w:bCs/>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结构、要素条文的审核和标准的编辑性修改。</w:t>
            </w:r>
          </w:p>
        </w:tc>
      </w:tr>
      <w:tr w:rsidR="00577ACC">
        <w:tc>
          <w:tcPr>
            <w:tcW w:w="648" w:type="pct"/>
            <w:vAlign w:val="center"/>
          </w:tcPr>
          <w:p w:rsidR="00577ACC" w:rsidRDefault="00450C16">
            <w:pPr>
              <w:spacing w:line="300" w:lineRule="auto"/>
              <w:jc w:val="center"/>
              <w:rPr>
                <w:rFonts w:ascii="宋体" w:hAnsi="宋体"/>
                <w:bCs/>
                <w:szCs w:val="21"/>
              </w:rPr>
            </w:pPr>
            <w:r>
              <w:rPr>
                <w:rFonts w:ascii="宋体" w:hAnsi="宋体" w:hint="eastAsia"/>
                <w:bCs/>
                <w:szCs w:val="21"/>
              </w:rPr>
              <w:t>林柯龙</w:t>
            </w:r>
          </w:p>
        </w:tc>
        <w:tc>
          <w:tcPr>
            <w:tcW w:w="1336" w:type="pct"/>
            <w:vAlign w:val="center"/>
          </w:tcPr>
          <w:p w:rsidR="00577ACC" w:rsidRDefault="00450C16">
            <w:pPr>
              <w:spacing w:line="300" w:lineRule="auto"/>
              <w:jc w:val="center"/>
              <w:rPr>
                <w:rFonts w:ascii="宋体" w:hAnsi="宋体"/>
                <w:bCs/>
                <w:szCs w:val="21"/>
              </w:rPr>
            </w:pPr>
            <w:r>
              <w:rPr>
                <w:rFonts w:ascii="宋体" w:hAnsi="宋体" w:hint="eastAsia"/>
                <w:bCs/>
                <w:szCs w:val="21"/>
              </w:rPr>
              <w:t>浙江易港通电子商务有限公司</w:t>
            </w:r>
          </w:p>
        </w:tc>
        <w:tc>
          <w:tcPr>
            <w:tcW w:w="844" w:type="pct"/>
            <w:vAlign w:val="center"/>
          </w:tcPr>
          <w:p w:rsidR="00577ACC" w:rsidRDefault="00450C16">
            <w:pPr>
              <w:spacing w:line="300" w:lineRule="auto"/>
              <w:jc w:val="center"/>
              <w:rPr>
                <w:rFonts w:ascii="宋体" w:hAnsi="宋体"/>
                <w:bCs/>
                <w:szCs w:val="21"/>
              </w:rPr>
            </w:pPr>
            <w:r>
              <w:rPr>
                <w:rFonts w:ascii="宋体" w:hAnsi="宋体" w:hint="eastAsia"/>
                <w:bCs/>
                <w:szCs w:val="21"/>
              </w:rPr>
              <w:t>公司副总经理</w:t>
            </w:r>
          </w:p>
        </w:tc>
        <w:tc>
          <w:tcPr>
            <w:tcW w:w="674" w:type="pct"/>
            <w:vAlign w:val="center"/>
          </w:tcPr>
          <w:p w:rsidR="00577ACC" w:rsidRDefault="00450C16">
            <w:pPr>
              <w:spacing w:line="300" w:lineRule="auto"/>
              <w:jc w:val="center"/>
              <w:rPr>
                <w:rFonts w:ascii="宋体" w:hAnsi="宋体"/>
                <w:bCs/>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第5章节的相关技术论证。</w:t>
            </w:r>
          </w:p>
        </w:tc>
      </w:tr>
      <w:tr w:rsidR="00577ACC">
        <w:tc>
          <w:tcPr>
            <w:tcW w:w="648" w:type="pct"/>
            <w:vAlign w:val="center"/>
          </w:tcPr>
          <w:p w:rsidR="00577ACC" w:rsidRDefault="00450C16">
            <w:pPr>
              <w:spacing w:line="300" w:lineRule="auto"/>
              <w:jc w:val="center"/>
              <w:rPr>
                <w:rFonts w:ascii="宋体" w:hAnsi="宋体"/>
                <w:bCs/>
                <w:szCs w:val="21"/>
              </w:rPr>
            </w:pPr>
            <w:r>
              <w:rPr>
                <w:rFonts w:ascii="宋体" w:hAnsi="宋体" w:hint="eastAsia"/>
                <w:bCs/>
                <w:szCs w:val="21"/>
              </w:rPr>
              <w:t>张蕾</w:t>
            </w:r>
          </w:p>
        </w:tc>
        <w:tc>
          <w:tcPr>
            <w:tcW w:w="1336" w:type="pct"/>
            <w:vAlign w:val="center"/>
          </w:tcPr>
          <w:p w:rsidR="00577ACC" w:rsidRDefault="00450C16">
            <w:pPr>
              <w:spacing w:line="300" w:lineRule="auto"/>
              <w:jc w:val="center"/>
              <w:rPr>
                <w:rFonts w:ascii="宋体" w:hAnsi="宋体"/>
                <w:bCs/>
                <w:szCs w:val="21"/>
              </w:rPr>
            </w:pPr>
            <w:r>
              <w:rPr>
                <w:rFonts w:ascii="宋体" w:hAnsi="宋体" w:hint="eastAsia"/>
                <w:bCs/>
                <w:szCs w:val="21"/>
              </w:rPr>
              <w:t>宁波舟山港集团</w:t>
            </w:r>
          </w:p>
        </w:tc>
        <w:tc>
          <w:tcPr>
            <w:tcW w:w="844" w:type="pct"/>
            <w:vAlign w:val="center"/>
          </w:tcPr>
          <w:p w:rsidR="00577ACC" w:rsidRDefault="00450C16">
            <w:pPr>
              <w:spacing w:line="300" w:lineRule="auto"/>
              <w:jc w:val="center"/>
              <w:rPr>
                <w:rFonts w:ascii="宋体" w:hAnsi="宋体"/>
                <w:bCs/>
                <w:szCs w:val="21"/>
              </w:rPr>
            </w:pPr>
            <w:r>
              <w:rPr>
                <w:rFonts w:ascii="宋体" w:hAnsi="宋体" w:hint="eastAsia"/>
                <w:bCs/>
                <w:szCs w:val="21"/>
              </w:rPr>
              <w:t>生产安全部主管</w:t>
            </w:r>
          </w:p>
        </w:tc>
        <w:tc>
          <w:tcPr>
            <w:tcW w:w="674" w:type="pct"/>
            <w:vAlign w:val="center"/>
          </w:tcPr>
          <w:p w:rsidR="00577ACC" w:rsidRDefault="00450C16">
            <w:pPr>
              <w:spacing w:line="300" w:lineRule="auto"/>
              <w:jc w:val="center"/>
              <w:rPr>
                <w:rFonts w:ascii="宋体" w:hAnsi="宋体"/>
                <w:bCs/>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center"/>
              <w:rPr>
                <w:rFonts w:ascii="宋体" w:hAnsi="宋体"/>
                <w:bCs/>
                <w:szCs w:val="21"/>
              </w:rPr>
            </w:pPr>
            <w:r>
              <w:rPr>
                <w:rFonts w:asciiTheme="minorEastAsia" w:eastAsiaTheme="minorEastAsia" w:hAnsiTheme="minorEastAsia" w:hint="eastAsia"/>
                <w:szCs w:val="21"/>
              </w:rPr>
              <w:t>标准结构、框架、要素审核及相关技术审核。</w:t>
            </w:r>
          </w:p>
        </w:tc>
      </w:tr>
      <w:tr w:rsidR="00577ACC">
        <w:tc>
          <w:tcPr>
            <w:tcW w:w="648" w:type="pct"/>
            <w:vAlign w:val="center"/>
          </w:tcPr>
          <w:p w:rsidR="00577ACC" w:rsidRDefault="00450C16">
            <w:pPr>
              <w:spacing w:line="300" w:lineRule="auto"/>
              <w:jc w:val="center"/>
              <w:rPr>
                <w:rFonts w:ascii="宋体" w:hAnsi="宋体"/>
                <w:bCs/>
                <w:szCs w:val="21"/>
              </w:rPr>
            </w:pPr>
            <w:r>
              <w:rPr>
                <w:rFonts w:ascii="宋体" w:hAnsi="宋体" w:hint="eastAsia"/>
                <w:bCs/>
                <w:szCs w:val="21"/>
              </w:rPr>
              <w:t>王强</w:t>
            </w:r>
          </w:p>
        </w:tc>
        <w:tc>
          <w:tcPr>
            <w:tcW w:w="1336" w:type="pct"/>
            <w:vAlign w:val="center"/>
          </w:tcPr>
          <w:p w:rsidR="00577ACC" w:rsidRDefault="00450C16">
            <w:pPr>
              <w:spacing w:line="300" w:lineRule="auto"/>
              <w:jc w:val="center"/>
              <w:rPr>
                <w:rFonts w:ascii="宋体" w:hAnsi="宋体"/>
                <w:bCs/>
                <w:szCs w:val="21"/>
              </w:rPr>
            </w:pPr>
            <w:r>
              <w:rPr>
                <w:rFonts w:ascii="宋体" w:hAnsi="宋体" w:hint="eastAsia"/>
                <w:bCs/>
                <w:szCs w:val="21"/>
              </w:rPr>
              <w:t>浙江易港通电子商务有限公司</w:t>
            </w:r>
          </w:p>
        </w:tc>
        <w:tc>
          <w:tcPr>
            <w:tcW w:w="844" w:type="pct"/>
            <w:vAlign w:val="center"/>
          </w:tcPr>
          <w:p w:rsidR="00577ACC" w:rsidRDefault="00450C16">
            <w:pPr>
              <w:spacing w:line="300" w:lineRule="auto"/>
              <w:jc w:val="center"/>
              <w:rPr>
                <w:rFonts w:ascii="宋体" w:hAnsi="宋体"/>
                <w:bCs/>
                <w:szCs w:val="21"/>
              </w:rPr>
            </w:pPr>
            <w:r>
              <w:rPr>
                <w:rFonts w:ascii="宋体" w:hAnsi="宋体" w:hint="eastAsia"/>
                <w:bCs/>
                <w:szCs w:val="21"/>
              </w:rPr>
              <w:t>商务研发部经理</w:t>
            </w:r>
          </w:p>
        </w:tc>
        <w:tc>
          <w:tcPr>
            <w:tcW w:w="674" w:type="pct"/>
            <w:vAlign w:val="center"/>
          </w:tcPr>
          <w:p w:rsidR="00577ACC" w:rsidRDefault="00450C16">
            <w:pPr>
              <w:spacing w:line="300" w:lineRule="auto"/>
              <w:jc w:val="center"/>
              <w:rPr>
                <w:rFonts w:ascii="宋体" w:hAnsi="宋体"/>
                <w:bCs/>
                <w:szCs w:val="21"/>
              </w:rPr>
            </w:pPr>
            <w:r>
              <w:rPr>
                <w:rFonts w:asciiTheme="minorEastAsia" w:eastAsiaTheme="minorEastAsia" w:hAnsiTheme="minorEastAsia" w:hint="eastAsia"/>
                <w:szCs w:val="21"/>
              </w:rPr>
              <w:t>组员</w:t>
            </w:r>
          </w:p>
        </w:tc>
        <w:tc>
          <w:tcPr>
            <w:tcW w:w="2543" w:type="dxa"/>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第5章节的编写及相关技术论证。</w:t>
            </w:r>
          </w:p>
        </w:tc>
      </w:tr>
      <w:tr w:rsidR="00577ACC">
        <w:tc>
          <w:tcPr>
            <w:tcW w:w="648" w:type="pct"/>
            <w:vAlign w:val="center"/>
          </w:tcPr>
          <w:p w:rsidR="00577ACC" w:rsidRDefault="00450C16">
            <w:pPr>
              <w:spacing w:line="300" w:lineRule="auto"/>
              <w:jc w:val="center"/>
              <w:rPr>
                <w:rFonts w:ascii="宋体" w:hAnsi="宋体"/>
                <w:bCs/>
                <w:szCs w:val="21"/>
              </w:rPr>
            </w:pPr>
            <w:r>
              <w:rPr>
                <w:rFonts w:ascii="宋体" w:hAnsi="宋体" w:hint="eastAsia"/>
                <w:bCs/>
                <w:szCs w:val="21"/>
              </w:rPr>
              <w:t>柯冬澄</w:t>
            </w:r>
          </w:p>
        </w:tc>
        <w:tc>
          <w:tcPr>
            <w:tcW w:w="1336" w:type="pct"/>
            <w:vAlign w:val="center"/>
          </w:tcPr>
          <w:p w:rsidR="00577ACC" w:rsidRDefault="00450C16">
            <w:pPr>
              <w:spacing w:line="300" w:lineRule="auto"/>
              <w:jc w:val="center"/>
              <w:rPr>
                <w:rFonts w:ascii="宋体" w:hAnsi="宋体"/>
                <w:bCs/>
                <w:szCs w:val="21"/>
              </w:rPr>
            </w:pPr>
            <w:r>
              <w:rPr>
                <w:rFonts w:ascii="宋体" w:hAnsi="宋体" w:hint="eastAsia"/>
                <w:bCs/>
                <w:szCs w:val="21"/>
              </w:rPr>
              <w:t>浙江易港通电子商务有限公司</w:t>
            </w:r>
          </w:p>
        </w:tc>
        <w:tc>
          <w:tcPr>
            <w:tcW w:w="844" w:type="pct"/>
            <w:vAlign w:val="center"/>
          </w:tcPr>
          <w:p w:rsidR="00577ACC" w:rsidRDefault="00450C16">
            <w:pPr>
              <w:spacing w:line="300" w:lineRule="auto"/>
              <w:jc w:val="center"/>
              <w:rPr>
                <w:rFonts w:ascii="宋体" w:hAnsi="宋体"/>
                <w:bCs/>
                <w:szCs w:val="21"/>
              </w:rPr>
            </w:pPr>
            <w:r>
              <w:rPr>
                <w:rFonts w:ascii="宋体" w:hAnsi="宋体" w:hint="eastAsia"/>
                <w:bCs/>
                <w:szCs w:val="21"/>
              </w:rPr>
              <w:t>工程技术部经理</w:t>
            </w:r>
          </w:p>
        </w:tc>
        <w:tc>
          <w:tcPr>
            <w:tcW w:w="674" w:type="pct"/>
            <w:vAlign w:val="center"/>
          </w:tcPr>
          <w:p w:rsidR="00577ACC" w:rsidRDefault="00450C16">
            <w:pPr>
              <w:spacing w:line="300" w:lineRule="auto"/>
              <w:jc w:val="center"/>
              <w:rPr>
                <w:rFonts w:ascii="宋体" w:hAnsi="宋体"/>
                <w:bCs/>
                <w:szCs w:val="21"/>
              </w:rPr>
            </w:pPr>
            <w:r>
              <w:rPr>
                <w:rFonts w:asciiTheme="minorEastAsia" w:eastAsiaTheme="minorEastAsia" w:hAnsiTheme="minorEastAsia" w:hint="eastAsia"/>
                <w:szCs w:val="21"/>
              </w:rPr>
              <w:t>组员</w:t>
            </w:r>
          </w:p>
        </w:tc>
        <w:tc>
          <w:tcPr>
            <w:tcW w:w="2543" w:type="dxa"/>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第6章节的相关技术论证。</w:t>
            </w:r>
          </w:p>
        </w:tc>
      </w:tr>
      <w:tr w:rsidR="00577ACC">
        <w:tc>
          <w:tcPr>
            <w:tcW w:w="1101" w:type="dxa"/>
            <w:vAlign w:val="center"/>
          </w:tcPr>
          <w:p w:rsidR="00577ACC" w:rsidRDefault="00450C16">
            <w:pPr>
              <w:spacing w:line="300" w:lineRule="auto"/>
              <w:jc w:val="center"/>
              <w:rPr>
                <w:rFonts w:ascii="宋体" w:hAnsi="宋体"/>
                <w:bCs/>
                <w:color w:val="FF0000"/>
                <w:szCs w:val="21"/>
              </w:rPr>
            </w:pPr>
            <w:r>
              <w:rPr>
                <w:rFonts w:asciiTheme="minorEastAsia" w:eastAsiaTheme="minorEastAsia" w:hAnsiTheme="minorEastAsia" w:hint="eastAsia"/>
                <w:szCs w:val="21"/>
              </w:rPr>
              <w:t>王轩</w:t>
            </w:r>
          </w:p>
        </w:tc>
        <w:tc>
          <w:tcPr>
            <w:tcW w:w="2270" w:type="dxa"/>
            <w:vAlign w:val="center"/>
          </w:tcPr>
          <w:p w:rsidR="00577ACC" w:rsidRDefault="00450C16">
            <w:pPr>
              <w:spacing w:line="300" w:lineRule="auto"/>
              <w:jc w:val="center"/>
              <w:rPr>
                <w:rFonts w:ascii="宋体" w:hAnsi="宋体"/>
                <w:bCs/>
                <w:color w:val="FF0000"/>
                <w:szCs w:val="21"/>
              </w:rPr>
            </w:pPr>
            <w:r>
              <w:rPr>
                <w:rFonts w:asciiTheme="minorEastAsia" w:eastAsiaTheme="minorEastAsia" w:hAnsiTheme="minorEastAsia" w:hint="eastAsia"/>
                <w:szCs w:val="21"/>
              </w:rPr>
              <w:t>天津港（集团）有限公司</w:t>
            </w:r>
          </w:p>
        </w:tc>
        <w:tc>
          <w:tcPr>
            <w:tcW w:w="1434" w:type="dxa"/>
            <w:vAlign w:val="center"/>
          </w:tcPr>
          <w:p w:rsidR="00577ACC" w:rsidRDefault="00450C16">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科信设施部</w:t>
            </w:r>
          </w:p>
          <w:p w:rsidR="00577ACC" w:rsidRDefault="00450C16">
            <w:pPr>
              <w:spacing w:line="300" w:lineRule="auto"/>
              <w:ind w:firstLine="34"/>
              <w:jc w:val="center"/>
              <w:rPr>
                <w:rFonts w:ascii="宋体" w:hAnsi="宋体"/>
                <w:bCs/>
                <w:szCs w:val="21"/>
              </w:rPr>
            </w:pPr>
            <w:r>
              <w:rPr>
                <w:rFonts w:asciiTheme="minorEastAsia" w:eastAsiaTheme="minorEastAsia" w:hAnsiTheme="minorEastAsia" w:hint="eastAsia"/>
                <w:szCs w:val="21"/>
              </w:rPr>
              <w:t>总经理</w:t>
            </w:r>
          </w:p>
        </w:tc>
        <w:tc>
          <w:tcPr>
            <w:tcW w:w="1146" w:type="dxa"/>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3" w:type="dxa"/>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标准结构、框架、要素审核及相关技术审核。</w:t>
            </w:r>
          </w:p>
        </w:tc>
      </w:tr>
      <w:tr w:rsidR="00577ACC">
        <w:tc>
          <w:tcPr>
            <w:tcW w:w="1101" w:type="dxa"/>
            <w:vAlign w:val="center"/>
          </w:tcPr>
          <w:p w:rsidR="00577ACC" w:rsidRDefault="00450C16">
            <w:pPr>
              <w:spacing w:line="300" w:lineRule="auto"/>
              <w:jc w:val="center"/>
              <w:rPr>
                <w:rFonts w:ascii="宋体" w:hAnsi="宋体"/>
                <w:bCs/>
                <w:color w:val="FF0000"/>
                <w:szCs w:val="21"/>
              </w:rPr>
            </w:pPr>
            <w:r>
              <w:rPr>
                <w:rFonts w:asciiTheme="minorEastAsia" w:eastAsiaTheme="minorEastAsia" w:hAnsiTheme="minorEastAsia" w:hint="eastAsia"/>
                <w:szCs w:val="21"/>
              </w:rPr>
              <w:t>杨志新</w:t>
            </w:r>
          </w:p>
        </w:tc>
        <w:tc>
          <w:tcPr>
            <w:tcW w:w="2270" w:type="dxa"/>
            <w:vAlign w:val="center"/>
          </w:tcPr>
          <w:p w:rsidR="00577ACC" w:rsidRDefault="00450C16">
            <w:pPr>
              <w:jc w:val="center"/>
              <w:rPr>
                <w:rFonts w:ascii="宋体" w:hAnsi="宋体"/>
                <w:bCs/>
                <w:color w:val="FF0000"/>
                <w:szCs w:val="21"/>
              </w:rPr>
            </w:pPr>
            <w:r>
              <w:rPr>
                <w:rFonts w:asciiTheme="minorEastAsia" w:eastAsiaTheme="minorEastAsia" w:hAnsiTheme="minorEastAsia" w:hint="eastAsia"/>
                <w:szCs w:val="21"/>
              </w:rPr>
              <w:t>天津港（集团）有限公司</w:t>
            </w:r>
          </w:p>
        </w:tc>
        <w:tc>
          <w:tcPr>
            <w:tcW w:w="1434" w:type="dxa"/>
            <w:vAlign w:val="center"/>
          </w:tcPr>
          <w:p w:rsidR="00577ACC" w:rsidRDefault="00450C16">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科信设施部</w:t>
            </w:r>
          </w:p>
          <w:p w:rsidR="00577ACC" w:rsidRDefault="00450C16">
            <w:pPr>
              <w:spacing w:line="300" w:lineRule="auto"/>
              <w:jc w:val="center"/>
              <w:rPr>
                <w:rFonts w:ascii="宋体" w:hAnsi="宋体"/>
                <w:bCs/>
                <w:szCs w:val="21"/>
              </w:rPr>
            </w:pPr>
            <w:r>
              <w:rPr>
                <w:rFonts w:asciiTheme="minorEastAsia" w:eastAsiaTheme="minorEastAsia" w:hAnsiTheme="minorEastAsia" w:hint="eastAsia"/>
                <w:szCs w:val="21"/>
              </w:rPr>
              <w:t>副总经理</w:t>
            </w:r>
          </w:p>
        </w:tc>
        <w:tc>
          <w:tcPr>
            <w:tcW w:w="1146" w:type="dxa"/>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3" w:type="dxa"/>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第5章节的编写及相关技术论证。</w:t>
            </w:r>
          </w:p>
        </w:tc>
      </w:tr>
      <w:tr w:rsidR="00577ACC">
        <w:tc>
          <w:tcPr>
            <w:tcW w:w="1101" w:type="dxa"/>
            <w:vAlign w:val="center"/>
          </w:tcPr>
          <w:p w:rsidR="00577ACC" w:rsidRDefault="00450C16">
            <w:pPr>
              <w:spacing w:line="300" w:lineRule="auto"/>
              <w:jc w:val="center"/>
              <w:rPr>
                <w:rFonts w:ascii="宋体" w:hAnsi="宋体"/>
                <w:bCs/>
                <w:color w:val="FF0000"/>
                <w:szCs w:val="21"/>
              </w:rPr>
            </w:pPr>
            <w:r>
              <w:rPr>
                <w:rFonts w:asciiTheme="minorEastAsia" w:eastAsiaTheme="minorEastAsia" w:hAnsiTheme="minorEastAsia" w:hint="eastAsia"/>
                <w:szCs w:val="21"/>
              </w:rPr>
              <w:t>李秋男</w:t>
            </w:r>
          </w:p>
        </w:tc>
        <w:tc>
          <w:tcPr>
            <w:tcW w:w="2270" w:type="dxa"/>
            <w:vAlign w:val="center"/>
          </w:tcPr>
          <w:p w:rsidR="00577ACC" w:rsidRDefault="00450C16">
            <w:pPr>
              <w:jc w:val="center"/>
              <w:rPr>
                <w:rFonts w:ascii="宋体" w:hAnsi="宋体"/>
                <w:bCs/>
                <w:color w:val="FF0000"/>
                <w:szCs w:val="21"/>
              </w:rPr>
            </w:pPr>
            <w:r>
              <w:rPr>
                <w:rFonts w:asciiTheme="minorEastAsia" w:eastAsiaTheme="minorEastAsia" w:hAnsiTheme="minorEastAsia" w:hint="eastAsia"/>
                <w:szCs w:val="21"/>
              </w:rPr>
              <w:t>天津港（集团）有限公司</w:t>
            </w:r>
          </w:p>
        </w:tc>
        <w:tc>
          <w:tcPr>
            <w:tcW w:w="1434" w:type="dxa"/>
            <w:vAlign w:val="center"/>
          </w:tcPr>
          <w:p w:rsidR="00577ACC" w:rsidRDefault="00450C16">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科信设施部</w:t>
            </w:r>
          </w:p>
          <w:p w:rsidR="00577ACC" w:rsidRDefault="00450C16">
            <w:pPr>
              <w:spacing w:line="300" w:lineRule="auto"/>
              <w:jc w:val="center"/>
              <w:rPr>
                <w:rFonts w:ascii="宋体" w:hAnsi="宋体"/>
                <w:bCs/>
                <w:szCs w:val="21"/>
              </w:rPr>
            </w:pPr>
            <w:r>
              <w:rPr>
                <w:rFonts w:asciiTheme="minorEastAsia" w:eastAsiaTheme="minorEastAsia" w:hAnsiTheme="minorEastAsia" w:hint="eastAsia"/>
                <w:szCs w:val="21"/>
              </w:rPr>
              <w:t>信息化主管</w:t>
            </w:r>
          </w:p>
        </w:tc>
        <w:tc>
          <w:tcPr>
            <w:tcW w:w="1146" w:type="dxa"/>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3" w:type="dxa"/>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第6章节的相关技术论证。</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舒帆</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上海海事大学</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讲师/工业工程专业负责任人</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整理材料，组织并撰写标准。</w:t>
            </w:r>
          </w:p>
        </w:tc>
      </w:tr>
      <w:tr w:rsidR="00577ACC">
        <w:tc>
          <w:tcPr>
            <w:tcW w:w="648"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夏孟珏</w:t>
            </w:r>
          </w:p>
        </w:tc>
        <w:tc>
          <w:tcPr>
            <w:tcW w:w="1336"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上海海事大学</w:t>
            </w:r>
          </w:p>
        </w:tc>
        <w:tc>
          <w:tcPr>
            <w:tcW w:w="844" w:type="pct"/>
            <w:vAlign w:val="center"/>
          </w:tcPr>
          <w:p w:rsidR="00577ACC" w:rsidRDefault="00450C16">
            <w:pPr>
              <w:spacing w:line="300" w:lineRule="auto"/>
              <w:jc w:val="center"/>
              <w:rPr>
                <w:rFonts w:asciiTheme="minorEastAsia" w:eastAsiaTheme="minorEastAsia" w:hAnsiTheme="minorEastAsia"/>
                <w:szCs w:val="21"/>
              </w:rPr>
            </w:pPr>
            <w:r>
              <w:rPr>
                <w:rFonts w:ascii="宋体" w:hAnsi="宋体" w:hint="eastAsia"/>
                <w:bCs/>
                <w:szCs w:val="21"/>
              </w:rPr>
              <w:t>博士</w:t>
            </w:r>
          </w:p>
        </w:tc>
        <w:tc>
          <w:tcPr>
            <w:tcW w:w="674" w:type="pct"/>
            <w:vAlign w:val="center"/>
          </w:tcPr>
          <w:p w:rsidR="00577ACC" w:rsidRDefault="00450C16">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6" w:type="pct"/>
            <w:vAlign w:val="center"/>
          </w:tcPr>
          <w:p w:rsidR="00577ACC" w:rsidRDefault="00450C16">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标准附录的编写。</w:t>
            </w:r>
          </w:p>
        </w:tc>
      </w:tr>
    </w:tbl>
    <w:p w:rsidR="00577ACC" w:rsidRDefault="00450C16" w:rsidP="00402A43">
      <w:pPr>
        <w:spacing w:beforeLines="50" w:line="360" w:lineRule="auto"/>
        <w:rPr>
          <w:rFonts w:asciiTheme="minorEastAsia" w:eastAsiaTheme="minorEastAsia" w:hAnsiTheme="minorEastAsia"/>
          <w:b/>
          <w:sz w:val="24"/>
          <w:szCs w:val="24"/>
        </w:rPr>
      </w:pPr>
      <w:bookmarkStart w:id="8" w:name="_Toc483660124"/>
      <w:bookmarkStart w:id="9" w:name="_Toc26972783"/>
      <w:r>
        <w:rPr>
          <w:rFonts w:asciiTheme="minorEastAsia" w:eastAsiaTheme="minorEastAsia" w:hAnsiTheme="minorEastAsia" w:hint="eastAsia"/>
          <w:b/>
          <w:sz w:val="24"/>
          <w:szCs w:val="24"/>
        </w:rPr>
        <w:t>（四）主要工作</w:t>
      </w:r>
      <w:r>
        <w:rPr>
          <w:rFonts w:asciiTheme="minorEastAsia" w:eastAsiaTheme="minorEastAsia" w:hAnsiTheme="minorEastAsia"/>
          <w:b/>
          <w:sz w:val="24"/>
          <w:szCs w:val="24"/>
        </w:rPr>
        <w:t>过</w:t>
      </w:r>
      <w:r>
        <w:rPr>
          <w:rFonts w:asciiTheme="minorEastAsia" w:eastAsiaTheme="minorEastAsia" w:hAnsiTheme="minorEastAsia" w:hint="eastAsia"/>
          <w:b/>
          <w:sz w:val="24"/>
          <w:szCs w:val="24"/>
        </w:rPr>
        <w:t>程</w:t>
      </w:r>
      <w:bookmarkEnd w:id="8"/>
      <w:bookmarkEnd w:id="9"/>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lang w:val="zh-CN"/>
        </w:rPr>
        <w:lastRenderedPageBreak/>
        <w:t>2019年根据《XXX准化计划的通知》</w:t>
      </w:r>
      <w:r>
        <w:rPr>
          <w:rFonts w:asciiTheme="minorEastAsia" w:eastAsiaTheme="minorEastAsia" w:hAnsiTheme="minorEastAsia" w:hint="eastAsia"/>
          <w:sz w:val="24"/>
          <w:szCs w:val="24"/>
        </w:rPr>
        <w:t>，项目承担单位根据计划要求，成立编制组，明确了标准编写的任务分工和时间进度安排，组织开展标准制定的工作如下所述：</w:t>
      </w:r>
    </w:p>
    <w:p w:rsidR="00577ACC" w:rsidRDefault="00450C16" w:rsidP="00402A43">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1、201</w:t>
      </w:r>
      <w:r>
        <w:rPr>
          <w:rFonts w:asciiTheme="minorEastAsia" w:eastAsiaTheme="minorEastAsia" w:hAnsiTheme="minorEastAsia"/>
          <w:sz w:val="24"/>
          <w:szCs w:val="24"/>
        </w:rPr>
        <w:t>9</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10</w:t>
      </w:r>
      <w:r>
        <w:rPr>
          <w:rFonts w:asciiTheme="minorEastAsia" w:eastAsiaTheme="minorEastAsia" w:hAnsiTheme="minorEastAsia" w:hint="eastAsia"/>
          <w:sz w:val="24"/>
          <w:szCs w:val="24"/>
        </w:rPr>
        <w:t>月，调研了上海上港陆上运输服务有限公司，了解集装箱电子装箱单平台的业务逻辑和运营模式，初步掌握了集装箱电子装箱单平台与接入方、码头的交互关系，掌握装箱单信息的组成和基本的使用过程。同时，与现行国家、行业相关标准进行对照，初步掌握相关术语和标准的关联关系。</w:t>
      </w:r>
    </w:p>
    <w:p w:rsidR="00577ACC" w:rsidRDefault="00450C16" w:rsidP="00402A43">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2、201</w:t>
      </w:r>
      <w:r>
        <w:rPr>
          <w:rFonts w:asciiTheme="minorEastAsia" w:eastAsiaTheme="minorEastAsia" w:hAnsiTheme="minorEastAsia"/>
          <w:sz w:val="24"/>
          <w:szCs w:val="24"/>
        </w:rPr>
        <w:t>9</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11</w:t>
      </w:r>
      <w:r>
        <w:rPr>
          <w:rFonts w:asciiTheme="minorEastAsia" w:eastAsiaTheme="minorEastAsia" w:hAnsiTheme="minorEastAsia" w:hint="eastAsia"/>
          <w:sz w:val="24"/>
          <w:szCs w:val="24"/>
        </w:rPr>
        <w:t>月～</w:t>
      </w:r>
      <w:r>
        <w:rPr>
          <w:rFonts w:asciiTheme="minorEastAsia" w:eastAsiaTheme="minorEastAsia" w:hAnsiTheme="minorEastAsia"/>
          <w:sz w:val="24"/>
          <w:szCs w:val="24"/>
        </w:rPr>
        <w:t>12</w:t>
      </w:r>
      <w:r>
        <w:rPr>
          <w:rFonts w:asciiTheme="minorEastAsia" w:eastAsiaTheme="minorEastAsia" w:hAnsiTheme="minorEastAsia" w:hint="eastAsia"/>
          <w:sz w:val="24"/>
          <w:szCs w:val="24"/>
        </w:rPr>
        <w:t>月，根据GB/T1.1-2009给出的规则，初步编写了《集装箱电子装箱单》标准草案。2019年12月17日，中国港口协会在上海组织召开了本标准工作大纲评审会，并提出相关意见和建议。</w:t>
      </w:r>
    </w:p>
    <w:p w:rsidR="00577ACC" w:rsidRDefault="00450C16" w:rsidP="00402A43">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3、20</w:t>
      </w:r>
      <w:r>
        <w:rPr>
          <w:rFonts w:asciiTheme="minorEastAsia" w:eastAsiaTheme="minorEastAsia" w:hAnsiTheme="minorEastAsia"/>
          <w:sz w:val="24"/>
          <w:szCs w:val="24"/>
        </w:rPr>
        <w:t>20</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w:t>
      </w:r>
      <w:r>
        <w:rPr>
          <w:rFonts w:asciiTheme="minorEastAsia" w:eastAsiaTheme="minorEastAsia" w:hAnsiTheme="minorEastAsia" w:hint="eastAsia"/>
          <w:sz w:val="24"/>
          <w:szCs w:val="24"/>
        </w:rPr>
        <w:t>月起，开展相关技术企业和港口的调研和技术交流。</w:t>
      </w:r>
    </w:p>
    <w:p w:rsidR="00577ACC" w:rsidRDefault="00450C16" w:rsidP="00402A43">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4、2020年</w:t>
      </w:r>
      <w:r>
        <w:rPr>
          <w:rFonts w:asciiTheme="minorEastAsia" w:eastAsiaTheme="minorEastAsia" w:hAnsiTheme="minorEastAsia"/>
          <w:sz w:val="24"/>
          <w:szCs w:val="24"/>
        </w:rPr>
        <w:t>2</w:t>
      </w:r>
      <w:r>
        <w:rPr>
          <w:rFonts w:asciiTheme="minorEastAsia" w:eastAsiaTheme="minorEastAsia" w:hAnsiTheme="minorEastAsia" w:hint="eastAsia"/>
          <w:sz w:val="24"/>
          <w:szCs w:val="24"/>
        </w:rPr>
        <w:t>-6月，在标准草案的基础上，编写组反复讨论修改，完成了征求意见稿（初稿）。</w:t>
      </w:r>
    </w:p>
    <w:p w:rsidR="00577ACC" w:rsidRDefault="00450C16" w:rsidP="00402A43">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5、2020年7月，完成征求意见稿，并进行意见征询。</w:t>
      </w:r>
    </w:p>
    <w:p w:rsidR="00577ACC" w:rsidRDefault="00450C16" w:rsidP="00402A43">
      <w:pPr>
        <w:spacing w:beforeLines="50" w:line="360" w:lineRule="auto"/>
        <w:outlineLvl w:val="0"/>
        <w:rPr>
          <w:rFonts w:ascii="黑体" w:eastAsia="黑体" w:hAnsi="黑体"/>
          <w:szCs w:val="21"/>
        </w:rPr>
      </w:pPr>
      <w:bookmarkStart w:id="10" w:name="_Toc46097928"/>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标准编制原则和确定标准主要内容</w:t>
      </w:r>
      <w:r>
        <w:rPr>
          <w:rFonts w:asciiTheme="minorEastAsia" w:eastAsiaTheme="minorEastAsia" w:hAnsiTheme="minorEastAsia" w:hint="eastAsia"/>
          <w:b/>
          <w:sz w:val="24"/>
          <w:szCs w:val="24"/>
        </w:rPr>
        <w:t>的论据</w:t>
      </w:r>
      <w:bookmarkEnd w:id="10"/>
    </w:p>
    <w:p w:rsidR="00577ACC" w:rsidRDefault="00450C16" w:rsidP="00402A43">
      <w:pPr>
        <w:spacing w:beforeLines="50" w:line="360" w:lineRule="auto"/>
        <w:rPr>
          <w:rFonts w:asciiTheme="minorEastAsia" w:eastAsiaTheme="minorEastAsia" w:hAnsiTheme="minorEastAsia"/>
          <w:b/>
          <w:sz w:val="24"/>
          <w:szCs w:val="24"/>
        </w:rPr>
      </w:pPr>
      <w:bookmarkStart w:id="11" w:name="_Toc26972785"/>
      <w:r>
        <w:rPr>
          <w:rFonts w:asciiTheme="minorEastAsia" w:eastAsiaTheme="minorEastAsia" w:hAnsiTheme="minorEastAsia" w:hint="eastAsia"/>
          <w:b/>
          <w:sz w:val="24"/>
          <w:szCs w:val="24"/>
        </w:rPr>
        <w:t>（一）</w:t>
      </w:r>
      <w:r>
        <w:rPr>
          <w:rFonts w:asciiTheme="minorEastAsia" w:eastAsiaTheme="minorEastAsia" w:hAnsiTheme="minorEastAsia"/>
          <w:b/>
          <w:sz w:val="24"/>
          <w:szCs w:val="24"/>
        </w:rPr>
        <w:t>标准编制原则</w:t>
      </w:r>
      <w:bookmarkEnd w:id="11"/>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本标准按GB/T 1.1—2009给出的规则编写。</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适用性原则：标准制定的相关内容应便于使用，一方面应适于直接使用，另一方面也应考虑便于被其它文件引用。</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协调性原则：应考虑标准之间的整体协调，在制定标准时应注意和已经发布的标准进行协调，遵守基础标准和采取引用的方式是保证标准协调的有效途径。</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规范性原则：起草标准时遵守与标准制定有关的基础标准和相关法律法规。</w:t>
      </w:r>
    </w:p>
    <w:p w:rsidR="00577ACC" w:rsidRDefault="00450C16" w:rsidP="00402A43">
      <w:pPr>
        <w:spacing w:beforeLines="50" w:line="360" w:lineRule="auto"/>
        <w:rPr>
          <w:rFonts w:asciiTheme="minorEastAsia" w:eastAsiaTheme="minorEastAsia" w:hAnsiTheme="minorEastAsia"/>
          <w:b/>
          <w:sz w:val="24"/>
          <w:szCs w:val="24"/>
        </w:rPr>
      </w:pPr>
      <w:bookmarkStart w:id="12" w:name="_Toc26972786"/>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确定标准主要内容</w:t>
      </w:r>
      <w:r>
        <w:rPr>
          <w:rFonts w:asciiTheme="minorEastAsia" w:eastAsiaTheme="minorEastAsia" w:hAnsiTheme="minorEastAsia" w:hint="eastAsia"/>
          <w:b/>
          <w:sz w:val="24"/>
          <w:szCs w:val="24"/>
        </w:rPr>
        <w:t>的论据</w:t>
      </w:r>
      <w:bookmarkEnd w:id="12"/>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本标准规定了集装箱出口业务中集装箱电子装箱单及其平台的一般要求、</w:t>
      </w:r>
      <w:r>
        <w:rPr>
          <w:rFonts w:asciiTheme="minorEastAsia" w:eastAsiaTheme="minorEastAsia" w:hAnsiTheme="minorEastAsia" w:hint="eastAsia"/>
          <w:sz w:val="24"/>
          <w:szCs w:val="24"/>
        </w:rPr>
        <w:lastRenderedPageBreak/>
        <w:t>数据内容和格式要求、使用要求和数据交互要求。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本标准适用于集装箱电子装箱单平台的构建和数据交互。</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本标准主要内容：第一章范围；第二章 规范性引用文件；第三章 术语和定义；第四章 一般要求；第五章集装箱电子装箱单数据内容及格式要求；第六章 集装箱电子装箱单的使用要求；第七章 集装箱电子装箱单数据交互要求。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本标准编制的内容包括如下：</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——第1章 范围</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本标准规定了集装箱出口业务中集装箱电子装箱单及其平台的一般要求、数据内容和格式要求、使用要求和数据交互要求。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本标准适用于集装箱电子装箱单平台的构建和数据交互。</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论据：基于标准编写的主要目的出发界定本标准的范围。</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——第2章规范性引用文件</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本标准引用了如下标准：</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1836 集装箱代码、识别和标记（ISO 6346:1995,IDT）</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1992集装箱名词术语</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7407 中国及世界主要海运贸易港口代码</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8487 港口装卸术语</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17271  集装箱运输术语</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 21028 信息安全技术 服务器安全技术要求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22239 信息安全技术 网络安全等级保护基本要求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25063 信息安全技术 服务器安全测评要求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论据：引用上述这些标准，其中一些标准涉及术语的引用，一些标准涉及平台服务器、网络的安全问题，一些标准涉及代码的引用等。</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——第3章 术语和定义</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本标准给出了装箱单、电子装箱单、电子装箱单平台和电子装箱单平台接入方等术语的定义。</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论据：其中装箱单来自对标准GB/T 8487-2010中定义9.3.3的引用，为了方便使用重复予以列出。后三个术语和定义是围绕本标准的核心建立的，为标准后文的展开奠定基础。</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——第4章 一般要求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从平台设备和网络、运营方和接入方两个角度阐述了电子装箱单平台运行的普适性要求。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之所以定义设备和网络要求，是为了保障服务器和网络具备充分的服务能力，这是电子装箱单平台作为数据中转站得以运行的前提条件。而定义运营方和接入方要求，是因为电子装箱单平台使用的过程中，平台方应明确必要的交互规则、兼容码头差异、提供必要的功能保证传输的高质高效。接入方则应作为合法的用户，以合法的协议和合法的途径做符合要求的事务，为信息传输的正常进行相应的设置。</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——第5章 集装箱电子装箱单数据内容及格式要求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定义了电子装箱单包含的内容及数据格式，并具体展开了包含内容中各大类信息的数据格式。具体包括两大类信息：</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一类是箱信息，具体定义了箱信息表的数据格式，并对其中的箱状态代码、箱经营人代码、运输方式代码、进箱码头代码等代码表的数据格式进行了定义。尺寸箱型及港口码头代码则要求参照现行标准设置。</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一类是货信息，具体定义了货信息表的数据格式，并对其涉及的包装类型代码表的数据结构进行了定义。</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论据：第5章可以界定清楚电子装箱单的内容，从而为电子装箱单平台和接入方系统的数据库设计提供参考。</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——第6章 集装箱电子装箱单的使用要求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详细定义了电子装箱单使用的一般流程，清楚阐述电子装箱单信息的产生过程及电子装箱单平台在其中的角色。同时兼顾了较少发生的特殊流程。</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论据：使用要求的说明，体现的是电子装箱单输入电子装箱单平台工作前后的全过程，可以确立电子装箱单平台的运行时机和作用。</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——第7章 集装箱电子装箱单数据交互要求</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从数据交互入手，详细阐述数据交互的过程，即在电子装箱单平台接入方、平台、码头操作系统三者之间的数据收发过程。并对过程中每个步骤的交互内容展开阐述。</w:t>
      </w:r>
    </w:p>
    <w:p w:rsidR="00577ACC" w:rsidRDefault="00450C16" w:rsidP="00402A43">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详细阐述数据交互的过程，使得可以按照交互过程的每个步骤具体阐述交互要求。交互要求从本质上应该包括两方面，其一是交互形式，另一个是交互内容。本章中对交互形式仅提出如7.1所示的安全、高效等要求，但标准对交互形式是不做限定的，即平台开发者可以结合自身情况选择交互形式，如基于E</w:t>
      </w:r>
      <w:r>
        <w:rPr>
          <w:rFonts w:asciiTheme="minorEastAsia" w:eastAsiaTheme="minorEastAsia" w:hAnsiTheme="minorEastAsia"/>
          <w:sz w:val="24"/>
          <w:szCs w:val="24"/>
        </w:rPr>
        <w:t>DI</w:t>
      </w:r>
      <w:r>
        <w:rPr>
          <w:rFonts w:asciiTheme="minorEastAsia" w:eastAsiaTheme="minorEastAsia" w:hAnsiTheme="minorEastAsia" w:hint="eastAsia"/>
          <w:sz w:val="24"/>
          <w:szCs w:val="24"/>
        </w:rPr>
        <w:t>的形式、</w:t>
      </w:r>
      <w:r>
        <w:rPr>
          <w:rFonts w:asciiTheme="minorEastAsia" w:eastAsiaTheme="minorEastAsia" w:hAnsiTheme="minorEastAsia"/>
          <w:sz w:val="24"/>
          <w:szCs w:val="24"/>
        </w:rPr>
        <w:t>API</w:t>
      </w:r>
      <w:r>
        <w:rPr>
          <w:rFonts w:asciiTheme="minorEastAsia" w:eastAsiaTheme="minorEastAsia" w:hAnsiTheme="minorEastAsia" w:hint="eastAsia"/>
          <w:sz w:val="24"/>
          <w:szCs w:val="24"/>
        </w:rPr>
        <w:t>接口的形式或未来可能发展的数据交互方式等。因此，本章的重点落在了对交互内容要求的阐述上。以关键步骤为单位，阐述了每个步骤交互哪些内容，这些内容不仅体现了装箱单数据，也包括反馈哪些可能的错误信息，使得平台承担的信息传递和转发的作用凸显出来。</w:t>
      </w:r>
    </w:p>
    <w:p w:rsidR="00577ACC" w:rsidRDefault="00450C16" w:rsidP="00402A43">
      <w:pPr>
        <w:spacing w:beforeLines="50" w:line="360" w:lineRule="auto"/>
        <w:outlineLvl w:val="0"/>
        <w:rPr>
          <w:rFonts w:asciiTheme="minorEastAsia" w:eastAsiaTheme="minorEastAsia" w:hAnsiTheme="minorEastAsia"/>
          <w:b/>
          <w:sz w:val="24"/>
          <w:szCs w:val="24"/>
        </w:rPr>
      </w:pPr>
      <w:bookmarkStart w:id="13" w:name="_Toc46097929"/>
      <w:r>
        <w:rPr>
          <w:rFonts w:asciiTheme="minorEastAsia" w:eastAsiaTheme="minorEastAsia" w:hAnsiTheme="minorEastAsia" w:hint="eastAsia"/>
          <w:b/>
          <w:sz w:val="24"/>
          <w:szCs w:val="24"/>
        </w:rPr>
        <w:t>三、主</w:t>
      </w:r>
      <w:r>
        <w:rPr>
          <w:rFonts w:asciiTheme="minorEastAsia" w:eastAsiaTheme="minorEastAsia" w:hAnsiTheme="minorEastAsia"/>
          <w:b/>
          <w:sz w:val="24"/>
          <w:szCs w:val="24"/>
        </w:rPr>
        <w:t>要试验（或验证）的分析、综述报告，技术经济论证，预期的经济效果</w:t>
      </w:r>
      <w:bookmarkEnd w:id="13"/>
    </w:p>
    <w:p w:rsidR="00577ACC" w:rsidRDefault="00450C16" w:rsidP="00402A43">
      <w:pPr>
        <w:spacing w:beforeLines="50" w:line="360" w:lineRule="auto"/>
        <w:ind w:firstLineChars="200" w:firstLine="480"/>
        <w:rPr>
          <w:rFonts w:ascii="宋体" w:hAnsi="宋体"/>
          <w:sz w:val="24"/>
          <w:szCs w:val="24"/>
        </w:rPr>
      </w:pPr>
      <w:r>
        <w:rPr>
          <w:rFonts w:ascii="宋体" w:hAnsi="宋体" w:hint="eastAsia"/>
          <w:sz w:val="24"/>
          <w:szCs w:val="24"/>
        </w:rPr>
        <w:t>推进集装箱装箱单电子化，可在集装箱到达码头道口前让码头获知集装箱及其内货物的相关信息，取代了装箱单的纸质流转。装箱单电子化是贸易便利化的重要抓手，也将是未来集装箱业务发展的必然趋势。</w:t>
      </w:r>
    </w:p>
    <w:p w:rsidR="00577ACC" w:rsidRDefault="00450C16" w:rsidP="00402A43">
      <w:pPr>
        <w:spacing w:beforeLines="50" w:line="360" w:lineRule="auto"/>
        <w:ind w:firstLineChars="200" w:firstLine="480"/>
        <w:rPr>
          <w:rFonts w:ascii="宋体" w:hAnsi="宋体"/>
          <w:sz w:val="24"/>
          <w:szCs w:val="24"/>
        </w:rPr>
      </w:pPr>
      <w:r>
        <w:rPr>
          <w:rFonts w:ascii="宋体" w:hAnsi="宋体" w:hint="eastAsia"/>
          <w:sz w:val="24"/>
          <w:szCs w:val="24"/>
        </w:rPr>
        <w:t>本标准的建立，可促进上海航运中心的建设，改善上海口岸的整体营商环境，提高上海口岸整体竞争力。有利于缓解港区城市道路交通压力，提升行业透明度、规范市场秩序，也有助于建设绿色智能港口和打造节能环保型社会，符合建设交通强国的需要，具有良好的经济和社会效益。</w:t>
      </w:r>
    </w:p>
    <w:p w:rsidR="00577ACC" w:rsidRDefault="00450C16" w:rsidP="00402A43">
      <w:pPr>
        <w:spacing w:beforeLines="50" w:line="360" w:lineRule="auto"/>
        <w:outlineLvl w:val="0"/>
        <w:rPr>
          <w:rFonts w:asciiTheme="minorEastAsia" w:eastAsiaTheme="minorEastAsia" w:hAnsiTheme="minorEastAsia"/>
          <w:b/>
          <w:sz w:val="24"/>
          <w:szCs w:val="24"/>
        </w:rPr>
      </w:pPr>
      <w:bookmarkStart w:id="14" w:name="_Toc46097930"/>
      <w:r>
        <w:rPr>
          <w:rFonts w:asciiTheme="minorEastAsia" w:eastAsiaTheme="minorEastAsia" w:hAnsiTheme="minorEastAsia" w:hint="eastAsia"/>
          <w:b/>
          <w:sz w:val="24"/>
          <w:szCs w:val="24"/>
        </w:rPr>
        <w:t>四、</w:t>
      </w:r>
      <w:r>
        <w:rPr>
          <w:rFonts w:asciiTheme="minorEastAsia" w:eastAsiaTheme="minorEastAsia" w:hAnsiTheme="minorEastAsia"/>
          <w:b/>
          <w:sz w:val="24"/>
          <w:szCs w:val="24"/>
        </w:rPr>
        <w:t>采用国际标准和国外先进标准的程度，以及与国际、国外同类标准水平的</w:t>
      </w:r>
      <w:r>
        <w:rPr>
          <w:rFonts w:asciiTheme="minorEastAsia" w:eastAsiaTheme="minorEastAsia" w:hAnsiTheme="minorEastAsia"/>
          <w:b/>
          <w:sz w:val="24"/>
          <w:szCs w:val="24"/>
        </w:rPr>
        <w:lastRenderedPageBreak/>
        <w:t>对比情况，或与测试的国外样品、样机的有关数据对比情况</w:t>
      </w:r>
      <w:bookmarkEnd w:id="14"/>
    </w:p>
    <w:p w:rsidR="00577ACC" w:rsidRDefault="00450C16" w:rsidP="00402A43">
      <w:pPr>
        <w:spacing w:beforeLines="50"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目前，国际上尚无集装箱装箱单或电子装箱单的相关标准。</w:t>
      </w:r>
    </w:p>
    <w:p w:rsidR="00577ACC" w:rsidRDefault="00450C16" w:rsidP="00402A43">
      <w:pPr>
        <w:spacing w:beforeLines="50" w:line="360" w:lineRule="auto"/>
        <w:outlineLvl w:val="0"/>
        <w:rPr>
          <w:rFonts w:asciiTheme="minorEastAsia" w:eastAsiaTheme="minorEastAsia" w:hAnsiTheme="minorEastAsia"/>
          <w:b/>
          <w:sz w:val="24"/>
          <w:szCs w:val="24"/>
        </w:rPr>
      </w:pPr>
      <w:bookmarkStart w:id="15" w:name="_Toc46097931"/>
      <w:r>
        <w:rPr>
          <w:rFonts w:asciiTheme="minorEastAsia" w:eastAsiaTheme="minorEastAsia" w:hAnsiTheme="minorEastAsia" w:hint="eastAsia"/>
          <w:b/>
          <w:sz w:val="24"/>
          <w:szCs w:val="24"/>
        </w:rPr>
        <w:t>五、</w:t>
      </w:r>
      <w:r>
        <w:rPr>
          <w:rFonts w:asciiTheme="minorEastAsia" w:eastAsiaTheme="minorEastAsia" w:hAnsiTheme="minorEastAsia"/>
          <w:b/>
          <w:sz w:val="24"/>
          <w:szCs w:val="24"/>
        </w:rPr>
        <w:t>与有关的现行法律、法规和强制性标准的关系</w:t>
      </w:r>
      <w:bookmarkEnd w:id="15"/>
    </w:p>
    <w:p w:rsidR="00577ACC" w:rsidRDefault="00450C16" w:rsidP="00402A43">
      <w:pPr>
        <w:spacing w:beforeLines="50"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本标准引用了</w:t>
      </w:r>
      <w:r>
        <w:rPr>
          <w:rFonts w:asciiTheme="majorEastAsia" w:eastAsiaTheme="majorEastAsia" w:hAnsiTheme="majorEastAsia"/>
          <w:sz w:val="24"/>
          <w:szCs w:val="24"/>
        </w:rPr>
        <w:t>GB/</w:t>
      </w:r>
      <w:r>
        <w:rPr>
          <w:rFonts w:asciiTheme="majorEastAsia" w:eastAsiaTheme="majorEastAsia" w:hAnsiTheme="majorEastAsia" w:hint="eastAsia"/>
          <w:sz w:val="24"/>
          <w:szCs w:val="24"/>
        </w:rPr>
        <w:t>T8487《港口装卸术语》中的“装箱单”术语和定义。由于“装箱单”是本标准的核心词汇，因此本标准不仅引用，还重复列出。</w:t>
      </w:r>
    </w:p>
    <w:p w:rsidR="00577ACC" w:rsidRDefault="00450C16" w:rsidP="00402A43">
      <w:pPr>
        <w:spacing w:beforeLines="50"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本标准引用了</w:t>
      </w:r>
      <w:r>
        <w:rPr>
          <w:rFonts w:asciiTheme="majorEastAsia" w:eastAsiaTheme="majorEastAsia" w:hAnsiTheme="majorEastAsia"/>
          <w:sz w:val="24"/>
          <w:szCs w:val="24"/>
        </w:rPr>
        <w:t>GB/T 1836</w:t>
      </w:r>
      <w:r>
        <w:rPr>
          <w:rFonts w:asciiTheme="majorEastAsia" w:eastAsiaTheme="majorEastAsia" w:hAnsiTheme="majorEastAsia" w:hint="eastAsia"/>
          <w:sz w:val="24"/>
          <w:szCs w:val="24"/>
        </w:rPr>
        <w:t>《集装箱代码、识别和标记》、GB/T 7407《中国及世界主要海运贸易港口代码》，用来约束电子装箱单平台尺寸箱型代码和港口码头代码的设置。</w:t>
      </w:r>
    </w:p>
    <w:p w:rsidR="00577ACC" w:rsidRDefault="00450C16" w:rsidP="00402A43">
      <w:pPr>
        <w:spacing w:beforeLines="50"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本标准引用了GB 21028《信息安全技术 服务器安全技术要求》、GB/T 22239《信息安全技术 网络安全等级保护基本要求》、GB/T 25063《信息安全技术 服务器安全测评要求》等，是为了体现电子装箱单平台作为一个信息系统平台应具备的基本要求。</w:t>
      </w:r>
    </w:p>
    <w:p w:rsidR="00577ACC" w:rsidRDefault="00450C16" w:rsidP="00402A43">
      <w:pPr>
        <w:spacing w:beforeLines="50" w:line="360" w:lineRule="auto"/>
        <w:outlineLvl w:val="0"/>
        <w:rPr>
          <w:rFonts w:asciiTheme="minorEastAsia" w:eastAsiaTheme="minorEastAsia" w:hAnsiTheme="minorEastAsia"/>
          <w:b/>
          <w:sz w:val="24"/>
          <w:szCs w:val="24"/>
        </w:rPr>
      </w:pPr>
      <w:bookmarkStart w:id="16" w:name="_Toc46097932"/>
      <w:r>
        <w:rPr>
          <w:rFonts w:asciiTheme="minorEastAsia" w:eastAsiaTheme="minorEastAsia" w:hAnsiTheme="minorEastAsia" w:hint="eastAsia"/>
          <w:b/>
          <w:sz w:val="24"/>
          <w:szCs w:val="24"/>
        </w:rPr>
        <w:t>六、</w:t>
      </w:r>
      <w:r>
        <w:rPr>
          <w:rFonts w:asciiTheme="minorEastAsia" w:eastAsiaTheme="minorEastAsia" w:hAnsiTheme="minorEastAsia"/>
          <w:b/>
          <w:sz w:val="24"/>
          <w:szCs w:val="24"/>
        </w:rPr>
        <w:t>重大分歧意见的处理经过和依据</w:t>
      </w:r>
      <w:bookmarkEnd w:id="16"/>
    </w:p>
    <w:p w:rsidR="00577ACC" w:rsidRDefault="00450C16" w:rsidP="00402A43">
      <w:pPr>
        <w:spacing w:beforeLines="50" w:line="360" w:lineRule="auto"/>
        <w:ind w:firstLine="420"/>
        <w:rPr>
          <w:sz w:val="24"/>
          <w:szCs w:val="24"/>
        </w:rPr>
      </w:pPr>
      <w:r>
        <w:rPr>
          <w:rFonts w:hint="eastAsia"/>
          <w:sz w:val="24"/>
          <w:szCs w:val="24"/>
        </w:rPr>
        <w:t>无。</w:t>
      </w:r>
    </w:p>
    <w:p w:rsidR="00577ACC" w:rsidRDefault="00450C16" w:rsidP="00402A43">
      <w:pPr>
        <w:spacing w:beforeLines="50" w:line="360" w:lineRule="auto"/>
        <w:outlineLvl w:val="0"/>
        <w:rPr>
          <w:rFonts w:asciiTheme="minorEastAsia" w:eastAsiaTheme="minorEastAsia" w:hAnsiTheme="minorEastAsia"/>
          <w:b/>
          <w:sz w:val="24"/>
          <w:szCs w:val="24"/>
        </w:rPr>
      </w:pPr>
      <w:bookmarkStart w:id="17" w:name="_Toc46097933"/>
      <w:r>
        <w:rPr>
          <w:rFonts w:asciiTheme="minorEastAsia" w:eastAsiaTheme="minorEastAsia" w:hAnsiTheme="minorEastAsia" w:hint="eastAsia"/>
          <w:b/>
          <w:sz w:val="24"/>
          <w:szCs w:val="24"/>
        </w:rPr>
        <w:t>七、</w:t>
      </w:r>
      <w:r>
        <w:rPr>
          <w:rFonts w:asciiTheme="minorEastAsia" w:eastAsiaTheme="minorEastAsia" w:hAnsiTheme="minorEastAsia"/>
          <w:b/>
          <w:sz w:val="24"/>
          <w:szCs w:val="24"/>
        </w:rPr>
        <w:t>贯彻标准的要求和措施建议（包括组织措施、技术措施、过渡办法等内容）</w:t>
      </w:r>
      <w:bookmarkEnd w:id="17"/>
    </w:p>
    <w:p w:rsidR="00577ACC" w:rsidRDefault="00450C16" w:rsidP="00402A43">
      <w:pPr>
        <w:spacing w:beforeLines="50"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本标准发布后，开展对本标准宣传和贯彻的培训，为各港口开展集装箱电子装箱单平台的建设提供建议和指导。</w:t>
      </w:r>
    </w:p>
    <w:p w:rsidR="00577ACC" w:rsidRDefault="00450C16" w:rsidP="00402A43">
      <w:pPr>
        <w:spacing w:beforeLines="50" w:line="360" w:lineRule="auto"/>
        <w:outlineLvl w:val="0"/>
        <w:rPr>
          <w:rFonts w:asciiTheme="minorEastAsia" w:eastAsiaTheme="minorEastAsia" w:hAnsiTheme="minorEastAsia"/>
          <w:b/>
          <w:sz w:val="24"/>
          <w:szCs w:val="24"/>
        </w:rPr>
      </w:pPr>
      <w:bookmarkStart w:id="18" w:name="_Toc46097934"/>
      <w:r>
        <w:rPr>
          <w:rFonts w:asciiTheme="minorEastAsia" w:eastAsiaTheme="minorEastAsia" w:hAnsiTheme="minorEastAsia" w:hint="eastAsia"/>
          <w:b/>
          <w:sz w:val="24"/>
          <w:szCs w:val="24"/>
        </w:rPr>
        <w:t>八、</w:t>
      </w:r>
      <w:r>
        <w:rPr>
          <w:rFonts w:asciiTheme="minorEastAsia" w:eastAsiaTheme="minorEastAsia" w:hAnsiTheme="minorEastAsia"/>
          <w:b/>
          <w:sz w:val="24"/>
          <w:szCs w:val="24"/>
        </w:rPr>
        <w:t>废止现行有关标准的建议</w:t>
      </w:r>
      <w:bookmarkEnd w:id="18"/>
    </w:p>
    <w:p w:rsidR="00577ACC" w:rsidRDefault="00450C16" w:rsidP="00402A43">
      <w:pPr>
        <w:spacing w:beforeLines="50"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无。</w:t>
      </w:r>
    </w:p>
    <w:p w:rsidR="00577ACC" w:rsidRDefault="00450C16" w:rsidP="00402A43">
      <w:pPr>
        <w:spacing w:beforeLines="50" w:line="360" w:lineRule="auto"/>
        <w:outlineLvl w:val="0"/>
        <w:rPr>
          <w:rFonts w:asciiTheme="minorEastAsia" w:eastAsiaTheme="minorEastAsia" w:hAnsiTheme="minorEastAsia"/>
          <w:b/>
          <w:sz w:val="24"/>
          <w:szCs w:val="24"/>
        </w:rPr>
      </w:pPr>
      <w:bookmarkStart w:id="19" w:name="_Toc46097935"/>
      <w:r>
        <w:rPr>
          <w:rFonts w:asciiTheme="minorEastAsia" w:eastAsiaTheme="minorEastAsia" w:hAnsiTheme="minorEastAsia" w:hint="eastAsia"/>
          <w:b/>
          <w:sz w:val="24"/>
          <w:szCs w:val="24"/>
        </w:rPr>
        <w:t>九、</w:t>
      </w:r>
      <w:r>
        <w:rPr>
          <w:rFonts w:asciiTheme="minorEastAsia" w:eastAsiaTheme="minorEastAsia" w:hAnsiTheme="minorEastAsia"/>
          <w:b/>
          <w:sz w:val="24"/>
          <w:szCs w:val="24"/>
        </w:rPr>
        <w:t>其他应予说明的事项</w:t>
      </w:r>
      <w:bookmarkEnd w:id="19"/>
    </w:p>
    <w:p w:rsidR="00577ACC" w:rsidRDefault="00450C16" w:rsidP="00402A43">
      <w:pPr>
        <w:spacing w:beforeLines="50"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无。</w:t>
      </w:r>
    </w:p>
    <w:p w:rsidR="00577ACC" w:rsidRDefault="00577ACC" w:rsidP="0055440D">
      <w:pPr>
        <w:spacing w:beforeLines="50" w:line="360" w:lineRule="auto"/>
        <w:rPr>
          <w:rFonts w:asciiTheme="minorEastAsia" w:eastAsiaTheme="minorEastAsia" w:hAnsiTheme="minorEastAsia"/>
          <w:szCs w:val="21"/>
        </w:rPr>
      </w:pPr>
    </w:p>
    <w:sectPr w:rsidR="00577ACC" w:rsidSect="00577ACC">
      <w:footerReference w:type="default" r:id="rId16"/>
      <w:pgSz w:w="11906" w:h="16838"/>
      <w:pgMar w:top="1588" w:right="1814" w:bottom="1588" w:left="181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B76" w:rsidRDefault="00B45B76" w:rsidP="00577ACC">
      <w:r>
        <w:separator/>
      </w:r>
    </w:p>
  </w:endnote>
  <w:endnote w:type="continuationSeparator" w:id="1">
    <w:p w:rsidR="00B45B76" w:rsidRDefault="00B45B76" w:rsidP="00577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57E" w:rsidRDefault="00F5557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979204"/>
    </w:sdtPr>
    <w:sdtContent>
      <w:p w:rsidR="00577ACC" w:rsidRDefault="0055440D">
        <w:pPr>
          <w:pStyle w:val="a9"/>
          <w:jc w:val="center"/>
        </w:pPr>
        <w:r>
          <w:fldChar w:fldCharType="begin"/>
        </w:r>
        <w:r w:rsidR="00450C16">
          <w:instrText>PAGE   \* MERGEFORMAT</w:instrText>
        </w:r>
        <w:r>
          <w:fldChar w:fldCharType="separate"/>
        </w:r>
        <w:r w:rsidR="00450C16">
          <w:rPr>
            <w:lang w:val="zh-CN"/>
          </w:rPr>
          <w:t>2</w:t>
        </w:r>
        <w:r>
          <w:fldChar w:fldCharType="end"/>
        </w:r>
      </w:p>
    </w:sdtContent>
  </w:sdt>
  <w:p w:rsidR="00577ACC" w:rsidRDefault="00577AC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57E" w:rsidRDefault="00F5557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402111"/>
    </w:sdtPr>
    <w:sdtContent>
      <w:p w:rsidR="00577ACC" w:rsidRDefault="0055440D">
        <w:pPr>
          <w:pStyle w:val="a9"/>
          <w:jc w:val="center"/>
        </w:pPr>
        <w:r>
          <w:fldChar w:fldCharType="begin"/>
        </w:r>
        <w:r w:rsidR="00450C16">
          <w:instrText>PAGE   \* MERGEFORMAT</w:instrText>
        </w:r>
        <w:r>
          <w:fldChar w:fldCharType="separate"/>
        </w:r>
        <w:r w:rsidR="00450C16">
          <w:rPr>
            <w:lang w:val="zh-CN"/>
          </w:rPr>
          <w:t>3</w:t>
        </w:r>
        <w:r>
          <w:fldChar w:fldCharType="end"/>
        </w:r>
      </w:p>
    </w:sdtContent>
  </w:sdt>
  <w:p w:rsidR="00577ACC" w:rsidRDefault="00577ACC">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CC" w:rsidRDefault="0055440D">
    <w:pPr>
      <w:pStyle w:val="a9"/>
      <w:jc w:val="center"/>
      <w:rPr>
        <w:sz w:val="24"/>
        <w:szCs w:val="24"/>
      </w:rPr>
    </w:pPr>
    <w:r>
      <w:rPr>
        <w:sz w:val="24"/>
        <w:szCs w:val="24"/>
      </w:rPr>
      <w:fldChar w:fldCharType="begin"/>
    </w:r>
    <w:r w:rsidR="00450C16">
      <w:rPr>
        <w:sz w:val="24"/>
        <w:szCs w:val="24"/>
      </w:rPr>
      <w:instrText>PAGE   \* MERGEFORMAT</w:instrText>
    </w:r>
    <w:r>
      <w:rPr>
        <w:sz w:val="24"/>
        <w:szCs w:val="24"/>
      </w:rPr>
      <w:fldChar w:fldCharType="separate"/>
    </w:r>
    <w:r w:rsidR="00402A43" w:rsidRPr="00402A43">
      <w:rPr>
        <w:noProof/>
        <w:sz w:val="24"/>
        <w:szCs w:val="24"/>
        <w:lang w:val="zh-CN"/>
      </w:rPr>
      <w:t>1</w:t>
    </w:r>
    <w:r>
      <w:rPr>
        <w:sz w:val="24"/>
        <w:szCs w:val="24"/>
      </w:rPr>
      <w:fldChar w:fldCharType="end"/>
    </w:r>
  </w:p>
  <w:p w:rsidR="00577ACC" w:rsidRDefault="00577A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B76" w:rsidRDefault="00B45B76" w:rsidP="00577ACC">
      <w:r>
        <w:separator/>
      </w:r>
    </w:p>
  </w:footnote>
  <w:footnote w:type="continuationSeparator" w:id="1">
    <w:p w:rsidR="00B45B76" w:rsidRDefault="00B45B76" w:rsidP="00577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57E" w:rsidRDefault="00F5557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57E" w:rsidRDefault="00F5557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57E" w:rsidRDefault="00F5557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D80"/>
    <w:rsid w:val="00000830"/>
    <w:rsid w:val="00002B7C"/>
    <w:rsid w:val="00022B03"/>
    <w:rsid w:val="0002698A"/>
    <w:rsid w:val="00035992"/>
    <w:rsid w:val="0004418D"/>
    <w:rsid w:val="00061378"/>
    <w:rsid w:val="00071FB9"/>
    <w:rsid w:val="000876B6"/>
    <w:rsid w:val="000B4331"/>
    <w:rsid w:val="000C13D3"/>
    <w:rsid w:val="000C3B02"/>
    <w:rsid w:val="000C5F7E"/>
    <w:rsid w:val="000D127C"/>
    <w:rsid w:val="000E544E"/>
    <w:rsid w:val="000F2EC1"/>
    <w:rsid w:val="00122151"/>
    <w:rsid w:val="0013290C"/>
    <w:rsid w:val="0014096F"/>
    <w:rsid w:val="001416C7"/>
    <w:rsid w:val="001426ED"/>
    <w:rsid w:val="001467F9"/>
    <w:rsid w:val="001500DC"/>
    <w:rsid w:val="00154EB1"/>
    <w:rsid w:val="00165479"/>
    <w:rsid w:val="0016698D"/>
    <w:rsid w:val="00171197"/>
    <w:rsid w:val="00180F95"/>
    <w:rsid w:val="001936E6"/>
    <w:rsid w:val="001B3A51"/>
    <w:rsid w:val="001C0C8C"/>
    <w:rsid w:val="001C1798"/>
    <w:rsid w:val="001F3A83"/>
    <w:rsid w:val="00210169"/>
    <w:rsid w:val="00224CB4"/>
    <w:rsid w:val="00241115"/>
    <w:rsid w:val="0025499B"/>
    <w:rsid w:val="002615E0"/>
    <w:rsid w:val="0027578B"/>
    <w:rsid w:val="002827CB"/>
    <w:rsid w:val="00282904"/>
    <w:rsid w:val="00293319"/>
    <w:rsid w:val="002972BA"/>
    <w:rsid w:val="002D37E7"/>
    <w:rsid w:val="0030244D"/>
    <w:rsid w:val="00306BA6"/>
    <w:rsid w:val="0031315A"/>
    <w:rsid w:val="00317F8A"/>
    <w:rsid w:val="00322372"/>
    <w:rsid w:val="003235DA"/>
    <w:rsid w:val="003457C2"/>
    <w:rsid w:val="003544B8"/>
    <w:rsid w:val="00362971"/>
    <w:rsid w:val="0039181B"/>
    <w:rsid w:val="003A319E"/>
    <w:rsid w:val="003D0C8C"/>
    <w:rsid w:val="003E0742"/>
    <w:rsid w:val="003E2746"/>
    <w:rsid w:val="003E468D"/>
    <w:rsid w:val="003E67D3"/>
    <w:rsid w:val="003F356A"/>
    <w:rsid w:val="003F3587"/>
    <w:rsid w:val="003F366A"/>
    <w:rsid w:val="0040129A"/>
    <w:rsid w:val="00402A43"/>
    <w:rsid w:val="00423E79"/>
    <w:rsid w:val="00424684"/>
    <w:rsid w:val="004269C3"/>
    <w:rsid w:val="004467BF"/>
    <w:rsid w:val="00447861"/>
    <w:rsid w:val="00450C16"/>
    <w:rsid w:val="00454362"/>
    <w:rsid w:val="0047442E"/>
    <w:rsid w:val="00477C4F"/>
    <w:rsid w:val="00483FA6"/>
    <w:rsid w:val="00491409"/>
    <w:rsid w:val="0049564C"/>
    <w:rsid w:val="00497192"/>
    <w:rsid w:val="004A148A"/>
    <w:rsid w:val="004B181F"/>
    <w:rsid w:val="004B1AD9"/>
    <w:rsid w:val="004B6E12"/>
    <w:rsid w:val="004C6776"/>
    <w:rsid w:val="004D1019"/>
    <w:rsid w:val="004D4A52"/>
    <w:rsid w:val="00503171"/>
    <w:rsid w:val="005034BC"/>
    <w:rsid w:val="005103DF"/>
    <w:rsid w:val="0052635F"/>
    <w:rsid w:val="00531DE3"/>
    <w:rsid w:val="00533951"/>
    <w:rsid w:val="0055440D"/>
    <w:rsid w:val="00557E32"/>
    <w:rsid w:val="005701C3"/>
    <w:rsid w:val="00577ACC"/>
    <w:rsid w:val="00586A1A"/>
    <w:rsid w:val="005B1E2F"/>
    <w:rsid w:val="005C2CB0"/>
    <w:rsid w:val="005D2F80"/>
    <w:rsid w:val="005D53F1"/>
    <w:rsid w:val="005E0A7D"/>
    <w:rsid w:val="00610FB3"/>
    <w:rsid w:val="00614860"/>
    <w:rsid w:val="006608EC"/>
    <w:rsid w:val="00660DBC"/>
    <w:rsid w:val="006613FB"/>
    <w:rsid w:val="006634E1"/>
    <w:rsid w:val="006672E7"/>
    <w:rsid w:val="00672A9F"/>
    <w:rsid w:val="00675F68"/>
    <w:rsid w:val="006A112F"/>
    <w:rsid w:val="006A4AEF"/>
    <w:rsid w:val="006B4DF1"/>
    <w:rsid w:val="006E6C0B"/>
    <w:rsid w:val="006E7867"/>
    <w:rsid w:val="006F763E"/>
    <w:rsid w:val="007244EE"/>
    <w:rsid w:val="00733B80"/>
    <w:rsid w:val="00766C81"/>
    <w:rsid w:val="00773EE8"/>
    <w:rsid w:val="007749DE"/>
    <w:rsid w:val="00774D80"/>
    <w:rsid w:val="00780FE0"/>
    <w:rsid w:val="00783DD1"/>
    <w:rsid w:val="00785292"/>
    <w:rsid w:val="00785FF9"/>
    <w:rsid w:val="007B231C"/>
    <w:rsid w:val="007B3732"/>
    <w:rsid w:val="007C4582"/>
    <w:rsid w:val="007D3FAB"/>
    <w:rsid w:val="007D7CB9"/>
    <w:rsid w:val="007E22F5"/>
    <w:rsid w:val="007E5258"/>
    <w:rsid w:val="007F1430"/>
    <w:rsid w:val="007F554E"/>
    <w:rsid w:val="00831EC0"/>
    <w:rsid w:val="008367A5"/>
    <w:rsid w:val="00846E4E"/>
    <w:rsid w:val="00854D5D"/>
    <w:rsid w:val="00863840"/>
    <w:rsid w:val="008814BD"/>
    <w:rsid w:val="00881801"/>
    <w:rsid w:val="0089375D"/>
    <w:rsid w:val="008A14D7"/>
    <w:rsid w:val="008B5E30"/>
    <w:rsid w:val="008E4618"/>
    <w:rsid w:val="008E6F9E"/>
    <w:rsid w:val="0090678B"/>
    <w:rsid w:val="00912FB0"/>
    <w:rsid w:val="00925365"/>
    <w:rsid w:val="00927E64"/>
    <w:rsid w:val="00933D5D"/>
    <w:rsid w:val="009343B7"/>
    <w:rsid w:val="009413AD"/>
    <w:rsid w:val="00941C5C"/>
    <w:rsid w:val="00942E15"/>
    <w:rsid w:val="00951F8B"/>
    <w:rsid w:val="00972557"/>
    <w:rsid w:val="009725D0"/>
    <w:rsid w:val="00975132"/>
    <w:rsid w:val="009751C9"/>
    <w:rsid w:val="00980E45"/>
    <w:rsid w:val="0098578B"/>
    <w:rsid w:val="009A3C51"/>
    <w:rsid w:val="009A79E2"/>
    <w:rsid w:val="009B3825"/>
    <w:rsid w:val="009C496F"/>
    <w:rsid w:val="009C4E2B"/>
    <w:rsid w:val="009D5488"/>
    <w:rsid w:val="009D73A6"/>
    <w:rsid w:val="009F4B50"/>
    <w:rsid w:val="00A15CFB"/>
    <w:rsid w:val="00A21F07"/>
    <w:rsid w:val="00A255BD"/>
    <w:rsid w:val="00A428EE"/>
    <w:rsid w:val="00A544ED"/>
    <w:rsid w:val="00A75124"/>
    <w:rsid w:val="00A834AA"/>
    <w:rsid w:val="00AB535D"/>
    <w:rsid w:val="00AC3EB6"/>
    <w:rsid w:val="00AD1E66"/>
    <w:rsid w:val="00AD5020"/>
    <w:rsid w:val="00AE0DF7"/>
    <w:rsid w:val="00AE3903"/>
    <w:rsid w:val="00AE4BEA"/>
    <w:rsid w:val="00AE6CE4"/>
    <w:rsid w:val="00B2115A"/>
    <w:rsid w:val="00B30B06"/>
    <w:rsid w:val="00B328C9"/>
    <w:rsid w:val="00B45B76"/>
    <w:rsid w:val="00B62EFD"/>
    <w:rsid w:val="00B64CAE"/>
    <w:rsid w:val="00B67AFA"/>
    <w:rsid w:val="00B70E7E"/>
    <w:rsid w:val="00B720F4"/>
    <w:rsid w:val="00B944E7"/>
    <w:rsid w:val="00B96E29"/>
    <w:rsid w:val="00BA6D42"/>
    <w:rsid w:val="00BC346B"/>
    <w:rsid w:val="00BC4D1B"/>
    <w:rsid w:val="00BD4134"/>
    <w:rsid w:val="00BF1D15"/>
    <w:rsid w:val="00C04636"/>
    <w:rsid w:val="00C06373"/>
    <w:rsid w:val="00C06C7D"/>
    <w:rsid w:val="00C076AF"/>
    <w:rsid w:val="00C14540"/>
    <w:rsid w:val="00C23478"/>
    <w:rsid w:val="00C33C60"/>
    <w:rsid w:val="00C35DDE"/>
    <w:rsid w:val="00C36878"/>
    <w:rsid w:val="00C4552B"/>
    <w:rsid w:val="00C51076"/>
    <w:rsid w:val="00C54E66"/>
    <w:rsid w:val="00C55974"/>
    <w:rsid w:val="00C64365"/>
    <w:rsid w:val="00C743BF"/>
    <w:rsid w:val="00C80ECD"/>
    <w:rsid w:val="00CC50FC"/>
    <w:rsid w:val="00CD3CD3"/>
    <w:rsid w:val="00CE07E0"/>
    <w:rsid w:val="00CE2184"/>
    <w:rsid w:val="00CF4BEA"/>
    <w:rsid w:val="00D075C4"/>
    <w:rsid w:val="00D22500"/>
    <w:rsid w:val="00D3282A"/>
    <w:rsid w:val="00D45BF9"/>
    <w:rsid w:val="00D5118A"/>
    <w:rsid w:val="00D63286"/>
    <w:rsid w:val="00D71230"/>
    <w:rsid w:val="00D73DBC"/>
    <w:rsid w:val="00D80291"/>
    <w:rsid w:val="00D8035A"/>
    <w:rsid w:val="00D813A2"/>
    <w:rsid w:val="00D858DD"/>
    <w:rsid w:val="00DA5DF0"/>
    <w:rsid w:val="00DA6562"/>
    <w:rsid w:val="00DC70AD"/>
    <w:rsid w:val="00DD2063"/>
    <w:rsid w:val="00DD5FCF"/>
    <w:rsid w:val="00DD7B38"/>
    <w:rsid w:val="00DE3204"/>
    <w:rsid w:val="00DE597C"/>
    <w:rsid w:val="00DF19F3"/>
    <w:rsid w:val="00DF625C"/>
    <w:rsid w:val="00E0009D"/>
    <w:rsid w:val="00E07DB9"/>
    <w:rsid w:val="00E1061A"/>
    <w:rsid w:val="00E11535"/>
    <w:rsid w:val="00E13578"/>
    <w:rsid w:val="00E20429"/>
    <w:rsid w:val="00E306DD"/>
    <w:rsid w:val="00E33B00"/>
    <w:rsid w:val="00E54B56"/>
    <w:rsid w:val="00E63FF8"/>
    <w:rsid w:val="00E75C51"/>
    <w:rsid w:val="00E901AF"/>
    <w:rsid w:val="00E92873"/>
    <w:rsid w:val="00E96949"/>
    <w:rsid w:val="00E96F8E"/>
    <w:rsid w:val="00EA0116"/>
    <w:rsid w:val="00EA3493"/>
    <w:rsid w:val="00EA5A32"/>
    <w:rsid w:val="00EA798D"/>
    <w:rsid w:val="00EC1E69"/>
    <w:rsid w:val="00ED65EB"/>
    <w:rsid w:val="00ED6D60"/>
    <w:rsid w:val="00ED6E7D"/>
    <w:rsid w:val="00ED7616"/>
    <w:rsid w:val="00EF5034"/>
    <w:rsid w:val="00F02FAE"/>
    <w:rsid w:val="00F34D0A"/>
    <w:rsid w:val="00F50060"/>
    <w:rsid w:val="00F5557E"/>
    <w:rsid w:val="00F55585"/>
    <w:rsid w:val="00F74158"/>
    <w:rsid w:val="00F83B1E"/>
    <w:rsid w:val="00F866C6"/>
    <w:rsid w:val="00FA45B6"/>
    <w:rsid w:val="00FC1720"/>
    <w:rsid w:val="12AC180D"/>
    <w:rsid w:val="18A13627"/>
    <w:rsid w:val="1A2B0960"/>
    <w:rsid w:val="27181E0F"/>
    <w:rsid w:val="30AF078A"/>
    <w:rsid w:val="46FF5F70"/>
    <w:rsid w:val="561F3986"/>
    <w:rsid w:val="771E0934"/>
    <w:rsid w:val="78E70A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77ACC"/>
    <w:pPr>
      <w:widowControl w:val="0"/>
      <w:jc w:val="both"/>
    </w:pPr>
    <w:rPr>
      <w:rFonts w:ascii="Times New Roman" w:eastAsia="宋体" w:hAnsi="Times New Roman" w:cs="Times New Roman"/>
      <w:kern w:val="2"/>
      <w:sz w:val="21"/>
    </w:rPr>
  </w:style>
  <w:style w:type="paragraph" w:styleId="1">
    <w:name w:val="heading 1"/>
    <w:basedOn w:val="a2"/>
    <w:next w:val="a2"/>
    <w:link w:val="1Char"/>
    <w:uiPriority w:val="9"/>
    <w:qFormat/>
    <w:rsid w:val="00577ACC"/>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uiPriority w:val="39"/>
    <w:semiHidden/>
    <w:unhideWhenUsed/>
    <w:rsid w:val="00577ACC"/>
    <w:pPr>
      <w:ind w:left="1260"/>
      <w:jc w:val="left"/>
    </w:pPr>
    <w:rPr>
      <w:rFonts w:asciiTheme="minorHAnsi" w:hAnsiTheme="minorHAnsi"/>
      <w:sz w:val="18"/>
      <w:szCs w:val="18"/>
    </w:rPr>
  </w:style>
  <w:style w:type="paragraph" w:styleId="a6">
    <w:name w:val="annotation text"/>
    <w:basedOn w:val="a2"/>
    <w:link w:val="Char1"/>
    <w:rsid w:val="00577ACC"/>
    <w:pPr>
      <w:adjustRightInd w:val="0"/>
      <w:spacing w:line="360" w:lineRule="atLeast"/>
      <w:jc w:val="left"/>
      <w:textAlignment w:val="baseline"/>
    </w:pPr>
    <w:rPr>
      <w:kern w:val="0"/>
      <w:sz w:val="28"/>
    </w:rPr>
  </w:style>
  <w:style w:type="paragraph" w:styleId="a7">
    <w:name w:val="Body Text Indent"/>
    <w:basedOn w:val="a2"/>
    <w:link w:val="Char"/>
    <w:rsid w:val="00577ACC"/>
    <w:pPr>
      <w:adjustRightInd w:val="0"/>
      <w:spacing w:line="360" w:lineRule="auto"/>
      <w:ind w:firstLine="420"/>
      <w:jc w:val="left"/>
      <w:textAlignment w:val="baseline"/>
    </w:pPr>
    <w:rPr>
      <w:kern w:val="0"/>
    </w:rPr>
  </w:style>
  <w:style w:type="paragraph" w:styleId="5">
    <w:name w:val="toc 5"/>
    <w:basedOn w:val="a2"/>
    <w:next w:val="a2"/>
    <w:uiPriority w:val="39"/>
    <w:semiHidden/>
    <w:unhideWhenUsed/>
    <w:rsid w:val="00577ACC"/>
    <w:pPr>
      <w:ind w:left="840"/>
      <w:jc w:val="left"/>
    </w:pPr>
    <w:rPr>
      <w:rFonts w:asciiTheme="minorHAnsi" w:hAnsiTheme="minorHAnsi"/>
      <w:sz w:val="18"/>
      <w:szCs w:val="18"/>
    </w:rPr>
  </w:style>
  <w:style w:type="paragraph" w:styleId="3">
    <w:name w:val="toc 3"/>
    <w:basedOn w:val="a2"/>
    <w:next w:val="a2"/>
    <w:uiPriority w:val="39"/>
    <w:unhideWhenUsed/>
    <w:rsid w:val="00577ACC"/>
    <w:pPr>
      <w:ind w:left="420"/>
      <w:jc w:val="left"/>
    </w:pPr>
    <w:rPr>
      <w:rFonts w:asciiTheme="minorHAnsi" w:hAnsiTheme="minorHAnsi"/>
      <w:i/>
      <w:iCs/>
      <w:sz w:val="20"/>
    </w:rPr>
  </w:style>
  <w:style w:type="paragraph" w:styleId="8">
    <w:name w:val="toc 8"/>
    <w:basedOn w:val="a2"/>
    <w:next w:val="a2"/>
    <w:uiPriority w:val="39"/>
    <w:semiHidden/>
    <w:unhideWhenUsed/>
    <w:rsid w:val="00577ACC"/>
    <w:pPr>
      <w:ind w:left="1470"/>
      <w:jc w:val="left"/>
    </w:pPr>
    <w:rPr>
      <w:rFonts w:asciiTheme="minorHAnsi" w:hAnsiTheme="minorHAnsi"/>
      <w:sz w:val="18"/>
      <w:szCs w:val="18"/>
    </w:rPr>
  </w:style>
  <w:style w:type="paragraph" w:styleId="a8">
    <w:name w:val="Balloon Text"/>
    <w:basedOn w:val="a2"/>
    <w:link w:val="Char0"/>
    <w:uiPriority w:val="99"/>
    <w:semiHidden/>
    <w:unhideWhenUsed/>
    <w:rsid w:val="00577ACC"/>
    <w:rPr>
      <w:sz w:val="18"/>
      <w:szCs w:val="18"/>
    </w:rPr>
  </w:style>
  <w:style w:type="paragraph" w:styleId="a9">
    <w:name w:val="footer"/>
    <w:basedOn w:val="a2"/>
    <w:link w:val="Char2"/>
    <w:uiPriority w:val="99"/>
    <w:unhideWhenUsed/>
    <w:rsid w:val="00577ACC"/>
    <w:pPr>
      <w:tabs>
        <w:tab w:val="center" w:pos="4153"/>
        <w:tab w:val="right" w:pos="8306"/>
      </w:tabs>
      <w:snapToGrid w:val="0"/>
      <w:jc w:val="left"/>
    </w:pPr>
    <w:rPr>
      <w:sz w:val="18"/>
      <w:szCs w:val="18"/>
    </w:rPr>
  </w:style>
  <w:style w:type="paragraph" w:styleId="aa">
    <w:name w:val="header"/>
    <w:basedOn w:val="a2"/>
    <w:link w:val="Char3"/>
    <w:uiPriority w:val="99"/>
    <w:unhideWhenUsed/>
    <w:rsid w:val="00577ACC"/>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rsid w:val="00577ACC"/>
    <w:pPr>
      <w:spacing w:before="120" w:after="120"/>
      <w:jc w:val="left"/>
    </w:pPr>
    <w:rPr>
      <w:rFonts w:asciiTheme="minorHAnsi" w:hAnsiTheme="minorHAnsi"/>
      <w:b/>
      <w:bCs/>
      <w:caps/>
      <w:sz w:val="20"/>
    </w:rPr>
  </w:style>
  <w:style w:type="paragraph" w:styleId="4">
    <w:name w:val="toc 4"/>
    <w:basedOn w:val="a2"/>
    <w:next w:val="a2"/>
    <w:uiPriority w:val="39"/>
    <w:semiHidden/>
    <w:unhideWhenUsed/>
    <w:rsid w:val="00577ACC"/>
    <w:pPr>
      <w:ind w:left="630"/>
      <w:jc w:val="left"/>
    </w:pPr>
    <w:rPr>
      <w:rFonts w:asciiTheme="minorHAnsi" w:hAnsiTheme="minorHAnsi"/>
      <w:sz w:val="18"/>
      <w:szCs w:val="18"/>
    </w:rPr>
  </w:style>
  <w:style w:type="paragraph" w:styleId="6">
    <w:name w:val="toc 6"/>
    <w:basedOn w:val="a2"/>
    <w:next w:val="a2"/>
    <w:uiPriority w:val="39"/>
    <w:semiHidden/>
    <w:unhideWhenUsed/>
    <w:qFormat/>
    <w:rsid w:val="00577ACC"/>
    <w:pPr>
      <w:ind w:left="1050"/>
      <w:jc w:val="left"/>
    </w:pPr>
    <w:rPr>
      <w:rFonts w:asciiTheme="minorHAnsi" w:hAnsiTheme="minorHAnsi"/>
      <w:sz w:val="18"/>
      <w:szCs w:val="18"/>
    </w:rPr>
  </w:style>
  <w:style w:type="paragraph" w:styleId="2">
    <w:name w:val="toc 2"/>
    <w:basedOn w:val="a2"/>
    <w:next w:val="a2"/>
    <w:uiPriority w:val="39"/>
    <w:rsid w:val="00577ACC"/>
    <w:pPr>
      <w:ind w:left="210"/>
      <w:jc w:val="left"/>
    </w:pPr>
    <w:rPr>
      <w:rFonts w:asciiTheme="minorHAnsi" w:hAnsiTheme="minorHAnsi"/>
      <w:smallCaps/>
      <w:sz w:val="20"/>
    </w:rPr>
  </w:style>
  <w:style w:type="paragraph" w:styleId="9">
    <w:name w:val="toc 9"/>
    <w:basedOn w:val="a2"/>
    <w:next w:val="a2"/>
    <w:uiPriority w:val="39"/>
    <w:semiHidden/>
    <w:unhideWhenUsed/>
    <w:rsid w:val="00577ACC"/>
    <w:pPr>
      <w:ind w:left="1680"/>
      <w:jc w:val="left"/>
    </w:pPr>
    <w:rPr>
      <w:rFonts w:asciiTheme="minorHAnsi" w:hAnsiTheme="minorHAnsi"/>
      <w:sz w:val="18"/>
      <w:szCs w:val="18"/>
    </w:rPr>
  </w:style>
  <w:style w:type="character" w:styleId="ab">
    <w:name w:val="Hyperlink"/>
    <w:uiPriority w:val="99"/>
    <w:rsid w:val="00577ACC"/>
    <w:rPr>
      <w:color w:val="0000FF"/>
      <w:u w:val="single"/>
    </w:rPr>
  </w:style>
  <w:style w:type="character" w:styleId="ac">
    <w:name w:val="annotation reference"/>
    <w:rsid w:val="00577ACC"/>
    <w:rPr>
      <w:sz w:val="21"/>
      <w:szCs w:val="21"/>
    </w:rPr>
  </w:style>
  <w:style w:type="paragraph" w:styleId="ad">
    <w:name w:val="List Paragraph"/>
    <w:basedOn w:val="a2"/>
    <w:uiPriority w:val="34"/>
    <w:qFormat/>
    <w:rsid w:val="00577ACC"/>
    <w:pPr>
      <w:ind w:firstLineChars="200" w:firstLine="420"/>
    </w:pPr>
  </w:style>
  <w:style w:type="character" w:customStyle="1" w:styleId="Char3">
    <w:name w:val="页眉 Char"/>
    <w:basedOn w:val="a3"/>
    <w:link w:val="aa"/>
    <w:uiPriority w:val="99"/>
    <w:rsid w:val="00577ACC"/>
    <w:rPr>
      <w:rFonts w:ascii="Times New Roman" w:eastAsia="宋体" w:hAnsi="Times New Roman" w:cs="Times New Roman"/>
      <w:sz w:val="18"/>
      <w:szCs w:val="18"/>
    </w:rPr>
  </w:style>
  <w:style w:type="character" w:customStyle="1" w:styleId="Char2">
    <w:name w:val="页脚 Char"/>
    <w:basedOn w:val="a3"/>
    <w:link w:val="a9"/>
    <w:uiPriority w:val="99"/>
    <w:rsid w:val="00577ACC"/>
    <w:rPr>
      <w:rFonts w:ascii="Times New Roman" w:eastAsia="宋体" w:hAnsi="Times New Roman" w:cs="Times New Roman"/>
      <w:sz w:val="18"/>
      <w:szCs w:val="18"/>
    </w:rPr>
  </w:style>
  <w:style w:type="character" w:customStyle="1" w:styleId="Char0">
    <w:name w:val="批注框文本 Char"/>
    <w:basedOn w:val="a3"/>
    <w:link w:val="a8"/>
    <w:uiPriority w:val="99"/>
    <w:semiHidden/>
    <w:qFormat/>
    <w:rsid w:val="00577ACC"/>
    <w:rPr>
      <w:rFonts w:ascii="Times New Roman" w:eastAsia="宋体" w:hAnsi="Times New Roman" w:cs="Times New Roman"/>
      <w:sz w:val="18"/>
      <w:szCs w:val="18"/>
    </w:rPr>
  </w:style>
  <w:style w:type="character" w:customStyle="1" w:styleId="Char4">
    <w:name w:val="批注文字 Char"/>
    <w:basedOn w:val="a3"/>
    <w:uiPriority w:val="99"/>
    <w:semiHidden/>
    <w:rsid w:val="00577ACC"/>
    <w:rPr>
      <w:rFonts w:ascii="Times New Roman" w:eastAsia="宋体" w:hAnsi="Times New Roman" w:cs="Times New Roman"/>
      <w:szCs w:val="20"/>
    </w:rPr>
  </w:style>
  <w:style w:type="character" w:customStyle="1" w:styleId="Char1">
    <w:name w:val="批注文字 Char1"/>
    <w:link w:val="a6"/>
    <w:rsid w:val="00577ACC"/>
    <w:rPr>
      <w:rFonts w:ascii="Times New Roman" w:eastAsia="宋体" w:hAnsi="Times New Roman" w:cs="Times New Roman"/>
      <w:kern w:val="0"/>
      <w:sz w:val="28"/>
      <w:szCs w:val="20"/>
    </w:rPr>
  </w:style>
  <w:style w:type="character" w:customStyle="1" w:styleId="Char">
    <w:name w:val="正文文本缩进 Char"/>
    <w:basedOn w:val="a3"/>
    <w:link w:val="a7"/>
    <w:qFormat/>
    <w:rsid w:val="00577ACC"/>
    <w:rPr>
      <w:rFonts w:ascii="Times New Roman" w:eastAsia="宋体" w:hAnsi="Times New Roman" w:cs="Times New Roman"/>
      <w:kern w:val="0"/>
      <w:szCs w:val="20"/>
    </w:rPr>
  </w:style>
  <w:style w:type="character" w:customStyle="1" w:styleId="1Char">
    <w:name w:val="标题 1 Char"/>
    <w:basedOn w:val="a3"/>
    <w:link w:val="1"/>
    <w:uiPriority w:val="9"/>
    <w:rsid w:val="00577ACC"/>
    <w:rPr>
      <w:rFonts w:ascii="Times New Roman" w:eastAsia="宋体" w:hAnsi="Times New Roman" w:cs="Times New Roman"/>
      <w:b/>
      <w:bCs/>
      <w:kern w:val="44"/>
      <w:sz w:val="44"/>
      <w:szCs w:val="44"/>
    </w:rPr>
  </w:style>
  <w:style w:type="paragraph" w:customStyle="1" w:styleId="TOC1">
    <w:name w:val="TOC 标题1"/>
    <w:basedOn w:val="1"/>
    <w:next w:val="a2"/>
    <w:uiPriority w:val="39"/>
    <w:unhideWhenUsed/>
    <w:qFormat/>
    <w:rsid w:val="00577A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表格"/>
    <w:basedOn w:val="a2"/>
    <w:rsid w:val="00577ACC"/>
    <w:pPr>
      <w:adjustRightInd w:val="0"/>
      <w:snapToGrid w:val="0"/>
      <w:spacing w:after="60" w:line="400" w:lineRule="atLeast"/>
      <w:jc w:val="center"/>
      <w:textAlignment w:val="center"/>
    </w:pPr>
    <w:rPr>
      <w:kern w:val="0"/>
    </w:rPr>
  </w:style>
  <w:style w:type="paragraph" w:customStyle="1" w:styleId="a">
    <w:name w:val="列项——（一级）"/>
    <w:qFormat/>
    <w:rsid w:val="00577ACC"/>
    <w:pPr>
      <w:widowControl w:val="0"/>
      <w:numPr>
        <w:numId w:val="1"/>
      </w:numPr>
      <w:jc w:val="both"/>
    </w:pPr>
    <w:rPr>
      <w:rFonts w:ascii="宋体" w:eastAsia="宋体" w:hAnsi="Times New Roman" w:cs="Times New Roman"/>
      <w:sz w:val="21"/>
    </w:rPr>
  </w:style>
  <w:style w:type="paragraph" w:customStyle="1" w:styleId="a0">
    <w:name w:val="列项●（二级）"/>
    <w:rsid w:val="00577ACC"/>
    <w:pPr>
      <w:numPr>
        <w:ilvl w:val="1"/>
        <w:numId w:val="1"/>
      </w:numPr>
      <w:tabs>
        <w:tab w:val="left" w:pos="840"/>
      </w:tabs>
      <w:jc w:val="both"/>
    </w:pPr>
    <w:rPr>
      <w:rFonts w:ascii="宋体" w:eastAsia="宋体" w:hAnsi="Times New Roman" w:cs="Times New Roman"/>
      <w:sz w:val="21"/>
    </w:rPr>
  </w:style>
  <w:style w:type="paragraph" w:customStyle="1" w:styleId="a1">
    <w:name w:val="列项◆（三级）"/>
    <w:basedOn w:val="a2"/>
    <w:rsid w:val="00577ACC"/>
    <w:pPr>
      <w:numPr>
        <w:ilvl w:val="2"/>
        <w:numId w:val="1"/>
      </w:numPr>
    </w:pPr>
    <w:rPr>
      <w:rFonts w:ascii="宋体"/>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F099ED7-CCA4-D344-A9C5-FC2C39D6CE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801</Words>
  <Characters>4567</Characters>
  <Application>Microsoft Office Word</Application>
  <DocSecurity>0</DocSecurity>
  <Lines>38</Lines>
  <Paragraphs>10</Paragraphs>
  <ScaleCrop>false</ScaleCrop>
  <Company>Microsoft</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9</cp:revision>
  <dcterms:created xsi:type="dcterms:W3CDTF">2020-07-09T17:02:00Z</dcterms:created>
  <dcterms:modified xsi:type="dcterms:W3CDTF">2020-11-04T02:47:00Z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