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pacing w:val="53"/>
          <w:kern w:val="0"/>
          <w:sz w:val="48"/>
          <w:szCs w:val="48"/>
        </w:rPr>
      </w:pPr>
    </w:p>
    <w:p>
      <w:pPr>
        <w:jc w:val="center"/>
        <w:rPr>
          <w:rFonts w:ascii="黑体" w:hAnsi="黑体" w:eastAsia="黑体" w:cs="黑体"/>
          <w:kern w:val="0"/>
          <w:sz w:val="48"/>
          <w:szCs w:val="48"/>
        </w:rPr>
      </w:pPr>
    </w:p>
    <w:p>
      <w:pPr>
        <w:jc w:val="center"/>
        <w:rPr>
          <w:rFonts w:ascii="黑体" w:hAnsi="黑体" w:eastAsia="黑体" w:cs="黑体"/>
          <w:kern w:val="0"/>
          <w:sz w:val="48"/>
          <w:szCs w:val="48"/>
        </w:rPr>
      </w:pPr>
    </w:p>
    <w:p>
      <w:pPr>
        <w:jc w:val="center"/>
        <w:rPr>
          <w:rFonts w:ascii="黑体" w:hAnsi="黑体" w:eastAsia="黑体" w:cs="黑体"/>
          <w:sz w:val="48"/>
          <w:szCs w:val="48"/>
        </w:rPr>
      </w:pPr>
      <w:r>
        <w:rPr>
          <w:rFonts w:hint="eastAsia" w:ascii="黑体" w:hAnsi="黑体" w:eastAsia="黑体" w:cs="黑体"/>
          <w:spacing w:val="53"/>
          <w:kern w:val="0"/>
          <w:sz w:val="48"/>
          <w:szCs w:val="48"/>
          <w:fitText w:val="5760" w:id="1756762229"/>
        </w:rPr>
        <w:t>中国港口协会团体标</w:t>
      </w:r>
      <w:r>
        <w:rPr>
          <w:rFonts w:hint="eastAsia" w:ascii="黑体" w:hAnsi="黑体" w:eastAsia="黑体" w:cs="黑体"/>
          <w:spacing w:val="3"/>
          <w:kern w:val="0"/>
          <w:sz w:val="48"/>
          <w:szCs w:val="48"/>
          <w:fitText w:val="5760" w:id="1756762229"/>
        </w:rPr>
        <w:t>准</w:t>
      </w:r>
    </w:p>
    <w:p>
      <w:pPr>
        <w:rPr>
          <w:rFonts w:ascii="黑体" w:hAnsi="黑体" w:eastAsia="黑体" w:cs="黑体"/>
          <w:sz w:val="30"/>
          <w:szCs w:val="30"/>
        </w:rPr>
      </w:pPr>
    </w:p>
    <w:p>
      <w:pPr>
        <w:jc w:val="center"/>
        <w:rPr>
          <w:rFonts w:ascii="黑体" w:hAnsi="黑体" w:eastAsia="黑体" w:cs="黑体"/>
          <w:sz w:val="30"/>
          <w:szCs w:val="30"/>
        </w:rPr>
      </w:pPr>
    </w:p>
    <w:p>
      <w:pPr>
        <w:jc w:val="center"/>
        <w:rPr>
          <w:rFonts w:ascii="黑体" w:hAnsi="黑体" w:eastAsia="黑体" w:cs="黑体"/>
          <w:sz w:val="30"/>
          <w:szCs w:val="30"/>
        </w:rPr>
      </w:pPr>
    </w:p>
    <w:p>
      <w:pPr>
        <w:jc w:val="center"/>
        <w:rPr>
          <w:rFonts w:ascii="黑体" w:hAnsi="黑体" w:eastAsia="黑体" w:cs="黑体"/>
          <w:sz w:val="32"/>
          <w:szCs w:val="32"/>
        </w:rPr>
      </w:pPr>
      <w:r>
        <w:rPr>
          <w:rFonts w:hint="eastAsia" w:ascii="黑体" w:hAnsi="黑体" w:eastAsia="黑体" w:cs="黑体"/>
          <w:sz w:val="32"/>
          <w:szCs w:val="32"/>
        </w:rPr>
        <w:t>港口集装箱智能理货技术要求</w:t>
      </w:r>
    </w:p>
    <w:p>
      <w:pPr>
        <w:jc w:val="center"/>
        <w:rPr>
          <w:rFonts w:ascii="黑体" w:hAnsi="黑体" w:eastAsia="黑体" w:cs="黑体"/>
          <w:sz w:val="30"/>
          <w:szCs w:val="30"/>
        </w:rPr>
      </w:pPr>
    </w:p>
    <w:p>
      <w:pPr>
        <w:jc w:val="center"/>
        <w:rPr>
          <w:rFonts w:ascii="黑体" w:hAnsi="黑体" w:eastAsia="黑体" w:cs="黑体"/>
          <w:sz w:val="30"/>
          <w:szCs w:val="30"/>
        </w:rPr>
      </w:pPr>
      <w:r>
        <w:rPr>
          <w:rFonts w:hint="eastAsia" w:ascii="黑体" w:hAnsi="黑体" w:eastAsia="黑体" w:cs="黑体"/>
          <w:sz w:val="30"/>
          <w:szCs w:val="30"/>
        </w:rPr>
        <w:t>（征求意见稿）</w:t>
      </w:r>
    </w:p>
    <w:p>
      <w:pPr>
        <w:jc w:val="center"/>
        <w:rPr>
          <w:rFonts w:ascii="黑体" w:hAnsi="黑体" w:eastAsia="黑体" w:cs="黑体"/>
          <w:sz w:val="30"/>
          <w:szCs w:val="30"/>
        </w:rPr>
      </w:pPr>
    </w:p>
    <w:p>
      <w:pPr>
        <w:jc w:val="center"/>
        <w:rPr>
          <w:rFonts w:ascii="黑体" w:hAnsi="黑体" w:eastAsia="黑体" w:cs="黑体"/>
          <w:sz w:val="30"/>
          <w:szCs w:val="30"/>
        </w:rPr>
      </w:pPr>
      <w:r>
        <w:rPr>
          <w:rFonts w:hint="eastAsia" w:ascii="黑体" w:hAnsi="黑体" w:eastAsia="黑体" w:cs="黑体"/>
          <w:sz w:val="30"/>
          <w:szCs w:val="30"/>
        </w:rPr>
        <w:t>编制说明</w:t>
      </w:r>
    </w:p>
    <w:p>
      <w:pPr>
        <w:jc w:val="center"/>
        <w:rPr>
          <w:rFonts w:ascii="黑体" w:hAnsi="黑体" w:eastAsia="黑体" w:cs="黑体"/>
          <w:sz w:val="30"/>
          <w:szCs w:val="30"/>
        </w:rPr>
      </w:pPr>
    </w:p>
    <w:p>
      <w:pPr>
        <w:jc w:val="center"/>
        <w:rPr>
          <w:rFonts w:ascii="黑体" w:hAnsi="黑体" w:eastAsia="黑体" w:cs="黑体"/>
          <w:sz w:val="30"/>
          <w:szCs w:val="30"/>
        </w:rPr>
      </w:pPr>
    </w:p>
    <w:p>
      <w:pPr>
        <w:jc w:val="center"/>
        <w:rPr>
          <w:rFonts w:ascii="黑体" w:hAnsi="黑体" w:eastAsia="黑体" w:cs="黑体"/>
          <w:sz w:val="30"/>
          <w:szCs w:val="30"/>
        </w:rPr>
      </w:pPr>
    </w:p>
    <w:p>
      <w:pPr>
        <w:jc w:val="center"/>
        <w:rPr>
          <w:rFonts w:ascii="黑体" w:hAnsi="黑体" w:eastAsia="黑体" w:cs="黑体"/>
          <w:sz w:val="30"/>
          <w:szCs w:val="30"/>
        </w:rPr>
      </w:pPr>
    </w:p>
    <w:p>
      <w:pPr>
        <w:rPr>
          <w:rFonts w:ascii="黑体" w:hAnsi="黑体" w:eastAsia="黑体" w:cs="黑体"/>
          <w:sz w:val="30"/>
          <w:szCs w:val="30"/>
        </w:rPr>
      </w:pPr>
    </w:p>
    <w:p>
      <w:pPr>
        <w:jc w:val="center"/>
        <w:rPr>
          <w:rFonts w:ascii="黑体" w:hAnsi="黑体" w:eastAsia="黑体" w:cs="黑体"/>
          <w:sz w:val="30"/>
          <w:szCs w:val="30"/>
        </w:rPr>
      </w:pPr>
    </w:p>
    <w:p>
      <w:pPr>
        <w:jc w:val="center"/>
        <w:rPr>
          <w:rFonts w:ascii="黑体" w:hAnsi="黑体" w:eastAsia="黑体" w:cs="黑体"/>
          <w:sz w:val="30"/>
          <w:szCs w:val="30"/>
        </w:rPr>
      </w:pPr>
      <w:r>
        <w:rPr>
          <w:rFonts w:hint="eastAsia" w:ascii="黑体" w:hAnsi="黑体" w:eastAsia="黑体" w:cs="黑体"/>
          <w:sz w:val="30"/>
          <w:szCs w:val="30"/>
        </w:rPr>
        <w:t>标准起草组</w:t>
      </w:r>
    </w:p>
    <w:p>
      <w:pPr>
        <w:jc w:val="center"/>
        <w:rPr>
          <w:rFonts w:ascii="黑体" w:hAnsi="黑体" w:eastAsia="黑体" w:cs="黑体"/>
          <w:sz w:val="30"/>
          <w:szCs w:val="30"/>
        </w:rPr>
      </w:pPr>
      <w:r>
        <w:rPr>
          <w:rFonts w:hint="eastAsia" w:ascii="黑体" w:hAnsi="黑体" w:eastAsia="黑体" w:cs="黑体"/>
          <w:sz w:val="30"/>
          <w:szCs w:val="30"/>
        </w:rPr>
        <w:t>2020年4月</w:t>
      </w:r>
    </w:p>
    <w:p>
      <w:pPr>
        <w:jc w:val="center"/>
        <w:rPr>
          <w:rFonts w:ascii="黑体" w:hAnsi="黑体" w:eastAsia="黑体" w:cs="黑体"/>
          <w:sz w:val="30"/>
          <w:szCs w:val="30"/>
        </w:rPr>
      </w:pPr>
    </w:p>
    <w:p>
      <w:pPr>
        <w:rPr>
          <w:rFonts w:ascii="黑体" w:hAnsi="黑体" w:eastAsia="黑体" w:cs="黑体"/>
          <w:sz w:val="30"/>
          <w:szCs w:val="30"/>
        </w:rPr>
      </w:pPr>
    </w:p>
    <w:p>
      <w:pPr>
        <w:jc w:val="center"/>
        <w:rPr>
          <w:rFonts w:ascii="宋体" w:hAnsi="宋体" w:eastAsia="宋体"/>
        </w:rPr>
        <w:sectPr>
          <w:pgSz w:w="11906" w:h="16838"/>
          <w:pgMar w:top="1440" w:right="1800" w:bottom="1440" w:left="1800" w:header="851" w:footer="992" w:gutter="0"/>
          <w:pgNumType w:fmt="upperRoman"/>
          <w:cols w:space="425" w:num="1"/>
          <w:docGrid w:type="lines" w:linePitch="312" w:charSpace="0"/>
        </w:sectPr>
      </w:pPr>
    </w:p>
    <w:sdt>
      <w:sdtPr>
        <w:rPr>
          <w:rFonts w:ascii="宋体" w:hAnsi="宋体" w:eastAsia="宋体"/>
        </w:rPr>
        <w:id w:val="147483330"/>
        <w:docPartObj>
          <w:docPartGallery w:val="Table of Contents"/>
          <w:docPartUnique/>
        </w:docPartObj>
      </w:sdtPr>
      <w:sdtEndPr>
        <w:rPr>
          <w:rFonts w:ascii="黑体" w:hAnsi="黑体" w:eastAsia="黑体" w:cs="黑体"/>
          <w:szCs w:val="30"/>
        </w:rPr>
      </w:sdtEndPr>
      <w:sdtContent>
        <w:p>
          <w:pPr>
            <w:spacing w:before="0" w:beforeLines="0" w:after="0" w:afterLines="0" w:line="240" w:lineRule="auto"/>
            <w:ind w:left="0" w:leftChars="0" w:right="0" w:rightChars="0" w:firstLine="0" w:firstLineChars="0"/>
            <w:jc w:val="center"/>
            <w:rPr>
              <w:rFonts w:ascii="宋体" w:hAnsi="宋体" w:eastAsia="宋体"/>
            </w:rPr>
          </w:pPr>
        </w:p>
        <w:p>
          <w:pPr>
            <w:spacing w:before="0" w:beforeLines="0" w:after="0" w:afterLines="0" w:line="240" w:lineRule="auto"/>
            <w:ind w:left="0" w:leftChars="0" w:right="0" w:rightChars="0" w:firstLine="0" w:firstLineChars="0"/>
            <w:jc w:val="center"/>
            <w:rPr>
              <w:rFonts w:ascii="宋体" w:hAnsi="宋体" w:eastAsia="宋体"/>
            </w:rPr>
          </w:pPr>
        </w:p>
        <w:p>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目录</w:t>
          </w:r>
        </w:p>
        <w:p>
          <w:pPr>
            <w:pStyle w:val="6"/>
            <w:tabs>
              <w:tab w:val="right" w:leader="dot" w:pos="8306"/>
            </w:tabs>
            <w:rPr>
              <w:sz w:val="30"/>
              <w:szCs w:val="30"/>
            </w:rPr>
          </w:pPr>
          <w:r>
            <w:rPr>
              <w:rFonts w:ascii="黑体" w:hAnsi="黑体" w:eastAsia="黑体" w:cs="黑体"/>
              <w:sz w:val="30"/>
              <w:szCs w:val="30"/>
            </w:rPr>
            <w:fldChar w:fldCharType="begin"/>
          </w:r>
          <w:r>
            <w:rPr>
              <w:rFonts w:ascii="黑体" w:hAnsi="黑体" w:eastAsia="黑体" w:cs="黑体"/>
              <w:sz w:val="30"/>
              <w:szCs w:val="30"/>
            </w:rPr>
            <w:instrText xml:space="preserve">TOC \o "1-3" \h \u </w:instrText>
          </w:r>
          <w:r>
            <w:rPr>
              <w:rFonts w:ascii="黑体" w:hAnsi="黑体" w:eastAsia="黑体" w:cs="黑体"/>
              <w:sz w:val="30"/>
              <w:szCs w:val="30"/>
            </w:rPr>
            <w:fldChar w:fldCharType="separate"/>
          </w:r>
          <w:r>
            <w:rPr>
              <w:rFonts w:ascii="黑体" w:hAnsi="黑体" w:eastAsia="黑体" w:cs="黑体"/>
              <w:sz w:val="30"/>
              <w:szCs w:val="30"/>
            </w:rPr>
            <w:fldChar w:fldCharType="begin"/>
          </w:r>
          <w:r>
            <w:rPr>
              <w:rFonts w:ascii="黑体" w:hAnsi="黑体" w:eastAsia="黑体" w:cs="黑体"/>
              <w:sz w:val="30"/>
              <w:szCs w:val="30"/>
            </w:rPr>
            <w:instrText xml:space="preserve"> HYPERLINK \l _Toc19008 </w:instrText>
          </w:r>
          <w:r>
            <w:rPr>
              <w:rFonts w:ascii="黑体" w:hAnsi="黑体" w:eastAsia="黑体" w:cs="黑体"/>
              <w:sz w:val="30"/>
              <w:szCs w:val="30"/>
            </w:rPr>
            <w:fldChar w:fldCharType="separate"/>
          </w:r>
          <w:r>
            <w:rPr>
              <w:rFonts w:hint="eastAsia" w:ascii="宋体" w:hAnsi="宋体" w:eastAsia="宋体" w:cs="宋体"/>
              <w:bCs/>
              <w:sz w:val="30"/>
              <w:szCs w:val="30"/>
            </w:rPr>
            <w:t>1 工作简况</w:t>
          </w:r>
          <w:r>
            <w:rPr>
              <w:sz w:val="30"/>
              <w:szCs w:val="30"/>
            </w:rPr>
            <w:tab/>
          </w:r>
          <w:r>
            <w:rPr>
              <w:sz w:val="30"/>
              <w:szCs w:val="30"/>
            </w:rPr>
            <w:fldChar w:fldCharType="begin"/>
          </w:r>
          <w:r>
            <w:rPr>
              <w:sz w:val="30"/>
              <w:szCs w:val="30"/>
            </w:rPr>
            <w:instrText xml:space="preserve"> PAGEREF _Toc19008 \h </w:instrText>
          </w:r>
          <w:r>
            <w:rPr>
              <w:sz w:val="30"/>
              <w:szCs w:val="30"/>
            </w:rPr>
            <w:fldChar w:fldCharType="separate"/>
          </w:r>
          <w:r>
            <w:rPr>
              <w:sz w:val="30"/>
              <w:szCs w:val="30"/>
            </w:rPr>
            <w:t>1</w:t>
          </w:r>
          <w:r>
            <w:rPr>
              <w:sz w:val="30"/>
              <w:szCs w:val="30"/>
            </w:rPr>
            <w:fldChar w:fldCharType="end"/>
          </w:r>
          <w:r>
            <w:rPr>
              <w:rFonts w:ascii="黑体" w:hAnsi="黑体" w:eastAsia="黑体" w:cs="黑体"/>
              <w:sz w:val="30"/>
              <w:szCs w:val="30"/>
            </w:rPr>
            <w:fldChar w:fldCharType="end"/>
          </w:r>
        </w:p>
        <w:p>
          <w:pPr>
            <w:pStyle w:val="6"/>
            <w:tabs>
              <w:tab w:val="right" w:leader="dot" w:pos="8306"/>
            </w:tabs>
            <w:rPr>
              <w:sz w:val="30"/>
              <w:szCs w:val="30"/>
            </w:rPr>
          </w:pPr>
          <w:r>
            <w:rPr>
              <w:rFonts w:ascii="黑体" w:hAnsi="黑体" w:eastAsia="黑体" w:cs="黑体"/>
              <w:sz w:val="30"/>
              <w:szCs w:val="30"/>
            </w:rPr>
            <w:fldChar w:fldCharType="begin"/>
          </w:r>
          <w:r>
            <w:rPr>
              <w:rFonts w:ascii="黑体" w:hAnsi="黑体" w:eastAsia="黑体" w:cs="黑体"/>
              <w:sz w:val="30"/>
              <w:szCs w:val="30"/>
            </w:rPr>
            <w:instrText xml:space="preserve"> HYPERLINK \l _Toc3082 </w:instrText>
          </w:r>
          <w:r>
            <w:rPr>
              <w:rFonts w:ascii="黑体" w:hAnsi="黑体" w:eastAsia="黑体" w:cs="黑体"/>
              <w:sz w:val="30"/>
              <w:szCs w:val="30"/>
            </w:rPr>
            <w:fldChar w:fldCharType="separate"/>
          </w:r>
          <w:r>
            <w:rPr>
              <w:rFonts w:hint="eastAsia" w:ascii="宋体" w:hAnsi="宋体" w:eastAsia="宋体" w:cs="宋体"/>
              <w:bCs/>
              <w:sz w:val="30"/>
              <w:szCs w:val="30"/>
            </w:rPr>
            <w:t>2 标准编制的原则和</w:t>
          </w:r>
          <w:r>
            <w:rPr>
              <w:rFonts w:hint="eastAsia" w:ascii="宋体" w:hAnsi="宋体" w:eastAsia="宋体" w:cs="宋体"/>
              <w:bCs/>
              <w:sz w:val="30"/>
              <w:szCs w:val="30"/>
              <w:lang w:val="en-US" w:eastAsia="zh-CN"/>
            </w:rPr>
            <w:t>确定标准主要内容的论</w:t>
          </w:r>
          <w:r>
            <w:rPr>
              <w:rFonts w:hint="eastAsia" w:ascii="宋体" w:hAnsi="宋体" w:eastAsia="宋体" w:cs="宋体"/>
              <w:bCs/>
              <w:sz w:val="30"/>
              <w:szCs w:val="30"/>
            </w:rPr>
            <w:t>据</w:t>
          </w:r>
          <w:r>
            <w:rPr>
              <w:sz w:val="30"/>
              <w:szCs w:val="30"/>
            </w:rPr>
            <w:tab/>
          </w:r>
          <w:r>
            <w:rPr>
              <w:sz w:val="30"/>
              <w:szCs w:val="30"/>
            </w:rPr>
            <w:fldChar w:fldCharType="begin"/>
          </w:r>
          <w:r>
            <w:rPr>
              <w:sz w:val="30"/>
              <w:szCs w:val="30"/>
            </w:rPr>
            <w:instrText xml:space="preserve"> PAGEREF _Toc3082 \h </w:instrText>
          </w:r>
          <w:r>
            <w:rPr>
              <w:sz w:val="30"/>
              <w:szCs w:val="30"/>
            </w:rPr>
            <w:fldChar w:fldCharType="separate"/>
          </w:r>
          <w:r>
            <w:rPr>
              <w:sz w:val="30"/>
              <w:szCs w:val="30"/>
            </w:rPr>
            <w:t>3</w:t>
          </w:r>
          <w:r>
            <w:rPr>
              <w:sz w:val="30"/>
              <w:szCs w:val="30"/>
            </w:rPr>
            <w:fldChar w:fldCharType="end"/>
          </w:r>
          <w:r>
            <w:rPr>
              <w:rFonts w:ascii="黑体" w:hAnsi="黑体" w:eastAsia="黑体" w:cs="黑体"/>
              <w:sz w:val="30"/>
              <w:szCs w:val="30"/>
            </w:rPr>
            <w:fldChar w:fldCharType="end"/>
          </w:r>
        </w:p>
        <w:p>
          <w:pPr>
            <w:pStyle w:val="6"/>
            <w:tabs>
              <w:tab w:val="right" w:leader="dot" w:pos="8306"/>
            </w:tabs>
            <w:rPr>
              <w:sz w:val="30"/>
              <w:szCs w:val="30"/>
            </w:rPr>
          </w:pPr>
          <w:r>
            <w:rPr>
              <w:rFonts w:ascii="黑体" w:hAnsi="黑体" w:eastAsia="黑体" w:cs="黑体"/>
              <w:sz w:val="30"/>
              <w:szCs w:val="30"/>
            </w:rPr>
            <w:fldChar w:fldCharType="begin"/>
          </w:r>
          <w:r>
            <w:rPr>
              <w:rFonts w:ascii="黑体" w:hAnsi="黑体" w:eastAsia="黑体" w:cs="黑体"/>
              <w:sz w:val="30"/>
              <w:szCs w:val="30"/>
            </w:rPr>
            <w:instrText xml:space="preserve"> HYPERLINK \l _Toc21772 </w:instrText>
          </w:r>
          <w:r>
            <w:rPr>
              <w:rFonts w:ascii="黑体" w:hAnsi="黑体" w:eastAsia="黑体" w:cs="黑体"/>
              <w:sz w:val="30"/>
              <w:szCs w:val="30"/>
            </w:rPr>
            <w:fldChar w:fldCharType="separate"/>
          </w:r>
          <w:r>
            <w:rPr>
              <w:rFonts w:hint="eastAsia" w:ascii="宋体" w:hAnsi="宋体" w:eastAsia="宋体" w:cs="宋体"/>
              <w:bCs/>
              <w:sz w:val="30"/>
              <w:szCs w:val="30"/>
            </w:rPr>
            <w:t>3 预期的经济效果、社会效果分析和主要实验分析</w:t>
          </w:r>
          <w:r>
            <w:rPr>
              <w:sz w:val="30"/>
              <w:szCs w:val="30"/>
            </w:rPr>
            <w:tab/>
          </w:r>
          <w:r>
            <w:rPr>
              <w:sz w:val="30"/>
              <w:szCs w:val="30"/>
            </w:rPr>
            <w:fldChar w:fldCharType="begin"/>
          </w:r>
          <w:r>
            <w:rPr>
              <w:sz w:val="30"/>
              <w:szCs w:val="30"/>
            </w:rPr>
            <w:instrText xml:space="preserve"> PAGEREF _Toc21772 \h </w:instrText>
          </w:r>
          <w:r>
            <w:rPr>
              <w:sz w:val="30"/>
              <w:szCs w:val="30"/>
            </w:rPr>
            <w:fldChar w:fldCharType="separate"/>
          </w:r>
          <w:r>
            <w:rPr>
              <w:sz w:val="30"/>
              <w:szCs w:val="30"/>
            </w:rPr>
            <w:t>5</w:t>
          </w:r>
          <w:r>
            <w:rPr>
              <w:sz w:val="30"/>
              <w:szCs w:val="30"/>
            </w:rPr>
            <w:fldChar w:fldCharType="end"/>
          </w:r>
          <w:r>
            <w:rPr>
              <w:rFonts w:ascii="黑体" w:hAnsi="黑体" w:eastAsia="黑体" w:cs="黑体"/>
              <w:sz w:val="30"/>
              <w:szCs w:val="30"/>
            </w:rPr>
            <w:fldChar w:fldCharType="end"/>
          </w:r>
        </w:p>
        <w:p>
          <w:pPr>
            <w:pStyle w:val="6"/>
            <w:tabs>
              <w:tab w:val="right" w:leader="dot" w:pos="8306"/>
            </w:tabs>
            <w:rPr>
              <w:sz w:val="30"/>
              <w:szCs w:val="30"/>
            </w:rPr>
          </w:pPr>
          <w:r>
            <w:rPr>
              <w:rFonts w:ascii="黑体" w:hAnsi="黑体" w:eastAsia="黑体" w:cs="黑体"/>
              <w:sz w:val="30"/>
              <w:szCs w:val="30"/>
            </w:rPr>
            <w:fldChar w:fldCharType="begin"/>
          </w:r>
          <w:r>
            <w:rPr>
              <w:rFonts w:ascii="黑体" w:hAnsi="黑体" w:eastAsia="黑体" w:cs="黑体"/>
              <w:sz w:val="30"/>
              <w:szCs w:val="30"/>
            </w:rPr>
            <w:instrText xml:space="preserve"> HYPERLINK \l _Toc20239 </w:instrText>
          </w:r>
          <w:r>
            <w:rPr>
              <w:rFonts w:ascii="黑体" w:hAnsi="黑体" w:eastAsia="黑体" w:cs="黑体"/>
              <w:sz w:val="30"/>
              <w:szCs w:val="30"/>
            </w:rPr>
            <w:fldChar w:fldCharType="separate"/>
          </w:r>
          <w:r>
            <w:rPr>
              <w:rFonts w:hint="eastAsia" w:ascii="宋体" w:hAnsi="宋体" w:eastAsia="宋体" w:cs="宋体"/>
              <w:bCs/>
              <w:sz w:val="30"/>
              <w:szCs w:val="30"/>
            </w:rPr>
            <w:t>4 采用国际标准和国外先进标准的程度，以及与国际、国外同类标准水平的对比情况，或与测试的国外样品、样机的有关数据对比情况</w:t>
          </w:r>
          <w:r>
            <w:rPr>
              <w:sz w:val="30"/>
              <w:szCs w:val="30"/>
            </w:rPr>
            <w:tab/>
          </w:r>
          <w:r>
            <w:rPr>
              <w:sz w:val="30"/>
              <w:szCs w:val="30"/>
            </w:rPr>
            <w:fldChar w:fldCharType="begin"/>
          </w:r>
          <w:r>
            <w:rPr>
              <w:sz w:val="30"/>
              <w:szCs w:val="30"/>
            </w:rPr>
            <w:instrText xml:space="preserve"> PAGEREF _Toc20239 \h </w:instrText>
          </w:r>
          <w:r>
            <w:rPr>
              <w:sz w:val="30"/>
              <w:szCs w:val="30"/>
            </w:rPr>
            <w:fldChar w:fldCharType="separate"/>
          </w:r>
          <w:r>
            <w:rPr>
              <w:sz w:val="30"/>
              <w:szCs w:val="30"/>
            </w:rPr>
            <w:t>6</w:t>
          </w:r>
          <w:r>
            <w:rPr>
              <w:sz w:val="30"/>
              <w:szCs w:val="30"/>
            </w:rPr>
            <w:fldChar w:fldCharType="end"/>
          </w:r>
          <w:r>
            <w:rPr>
              <w:rFonts w:ascii="黑体" w:hAnsi="黑体" w:eastAsia="黑体" w:cs="黑体"/>
              <w:sz w:val="30"/>
              <w:szCs w:val="30"/>
            </w:rPr>
            <w:fldChar w:fldCharType="end"/>
          </w:r>
        </w:p>
        <w:p>
          <w:pPr>
            <w:pStyle w:val="6"/>
            <w:tabs>
              <w:tab w:val="right" w:leader="dot" w:pos="8306"/>
            </w:tabs>
            <w:rPr>
              <w:sz w:val="30"/>
              <w:szCs w:val="30"/>
            </w:rPr>
          </w:pPr>
          <w:r>
            <w:rPr>
              <w:rFonts w:ascii="黑体" w:hAnsi="黑体" w:eastAsia="黑体" w:cs="黑体"/>
              <w:sz w:val="30"/>
              <w:szCs w:val="30"/>
            </w:rPr>
            <w:fldChar w:fldCharType="begin"/>
          </w:r>
          <w:r>
            <w:rPr>
              <w:rFonts w:ascii="黑体" w:hAnsi="黑体" w:eastAsia="黑体" w:cs="黑体"/>
              <w:sz w:val="30"/>
              <w:szCs w:val="30"/>
            </w:rPr>
            <w:instrText xml:space="preserve"> HYPERLINK \l _Toc8539 </w:instrText>
          </w:r>
          <w:r>
            <w:rPr>
              <w:rFonts w:ascii="黑体" w:hAnsi="黑体" w:eastAsia="黑体" w:cs="黑体"/>
              <w:sz w:val="30"/>
              <w:szCs w:val="30"/>
            </w:rPr>
            <w:fldChar w:fldCharType="separate"/>
          </w:r>
          <w:r>
            <w:rPr>
              <w:rFonts w:hint="eastAsia" w:ascii="宋体" w:hAnsi="宋体" w:eastAsia="宋体" w:cs="宋体"/>
              <w:bCs/>
              <w:sz w:val="30"/>
              <w:szCs w:val="30"/>
            </w:rPr>
            <w:t>5 与有关的现行法律、法规和强制性标准的关系</w:t>
          </w:r>
          <w:r>
            <w:rPr>
              <w:sz w:val="30"/>
              <w:szCs w:val="30"/>
            </w:rPr>
            <w:tab/>
          </w:r>
          <w:r>
            <w:rPr>
              <w:sz w:val="30"/>
              <w:szCs w:val="30"/>
            </w:rPr>
            <w:fldChar w:fldCharType="begin"/>
          </w:r>
          <w:r>
            <w:rPr>
              <w:sz w:val="30"/>
              <w:szCs w:val="30"/>
            </w:rPr>
            <w:instrText xml:space="preserve"> PAGEREF _Toc8539 \h </w:instrText>
          </w:r>
          <w:r>
            <w:rPr>
              <w:sz w:val="30"/>
              <w:szCs w:val="30"/>
            </w:rPr>
            <w:fldChar w:fldCharType="separate"/>
          </w:r>
          <w:r>
            <w:rPr>
              <w:sz w:val="30"/>
              <w:szCs w:val="30"/>
            </w:rPr>
            <w:t>6</w:t>
          </w:r>
          <w:r>
            <w:rPr>
              <w:sz w:val="30"/>
              <w:szCs w:val="30"/>
            </w:rPr>
            <w:fldChar w:fldCharType="end"/>
          </w:r>
          <w:r>
            <w:rPr>
              <w:rFonts w:ascii="黑体" w:hAnsi="黑体" w:eastAsia="黑体" w:cs="黑体"/>
              <w:sz w:val="30"/>
              <w:szCs w:val="30"/>
            </w:rPr>
            <w:fldChar w:fldCharType="end"/>
          </w:r>
        </w:p>
        <w:p>
          <w:pPr>
            <w:pStyle w:val="6"/>
            <w:tabs>
              <w:tab w:val="right" w:leader="dot" w:pos="8306"/>
            </w:tabs>
            <w:rPr>
              <w:sz w:val="30"/>
              <w:szCs w:val="30"/>
            </w:rPr>
          </w:pPr>
          <w:r>
            <w:rPr>
              <w:rFonts w:ascii="黑体" w:hAnsi="黑体" w:eastAsia="黑体" w:cs="黑体"/>
              <w:sz w:val="30"/>
              <w:szCs w:val="30"/>
            </w:rPr>
            <w:fldChar w:fldCharType="begin"/>
          </w:r>
          <w:r>
            <w:rPr>
              <w:rFonts w:ascii="黑体" w:hAnsi="黑体" w:eastAsia="黑体" w:cs="黑体"/>
              <w:sz w:val="30"/>
              <w:szCs w:val="30"/>
            </w:rPr>
            <w:instrText xml:space="preserve"> HYPERLINK \l _Toc27433 </w:instrText>
          </w:r>
          <w:r>
            <w:rPr>
              <w:rFonts w:ascii="黑体" w:hAnsi="黑体" w:eastAsia="黑体" w:cs="黑体"/>
              <w:sz w:val="30"/>
              <w:szCs w:val="30"/>
            </w:rPr>
            <w:fldChar w:fldCharType="separate"/>
          </w:r>
          <w:r>
            <w:rPr>
              <w:rFonts w:hint="eastAsia" w:ascii="宋体" w:hAnsi="宋体" w:eastAsia="宋体" w:cs="宋体"/>
              <w:bCs/>
              <w:sz w:val="30"/>
              <w:szCs w:val="30"/>
            </w:rPr>
            <w:t>6 重大分歧意见的处理经过和依据</w:t>
          </w:r>
          <w:r>
            <w:rPr>
              <w:sz w:val="30"/>
              <w:szCs w:val="30"/>
            </w:rPr>
            <w:tab/>
          </w:r>
          <w:r>
            <w:rPr>
              <w:sz w:val="30"/>
              <w:szCs w:val="30"/>
            </w:rPr>
            <w:fldChar w:fldCharType="begin"/>
          </w:r>
          <w:r>
            <w:rPr>
              <w:sz w:val="30"/>
              <w:szCs w:val="30"/>
            </w:rPr>
            <w:instrText xml:space="preserve"> PAGEREF _Toc27433 \h </w:instrText>
          </w:r>
          <w:r>
            <w:rPr>
              <w:sz w:val="30"/>
              <w:szCs w:val="30"/>
            </w:rPr>
            <w:fldChar w:fldCharType="separate"/>
          </w:r>
          <w:r>
            <w:rPr>
              <w:sz w:val="30"/>
              <w:szCs w:val="30"/>
            </w:rPr>
            <w:t>6</w:t>
          </w:r>
          <w:r>
            <w:rPr>
              <w:sz w:val="30"/>
              <w:szCs w:val="30"/>
            </w:rPr>
            <w:fldChar w:fldCharType="end"/>
          </w:r>
          <w:r>
            <w:rPr>
              <w:rFonts w:ascii="黑体" w:hAnsi="黑体" w:eastAsia="黑体" w:cs="黑体"/>
              <w:sz w:val="30"/>
              <w:szCs w:val="30"/>
            </w:rPr>
            <w:fldChar w:fldCharType="end"/>
          </w:r>
        </w:p>
        <w:p>
          <w:pPr>
            <w:pStyle w:val="6"/>
            <w:tabs>
              <w:tab w:val="right" w:leader="dot" w:pos="8306"/>
            </w:tabs>
            <w:rPr>
              <w:sz w:val="30"/>
              <w:szCs w:val="30"/>
            </w:rPr>
          </w:pPr>
          <w:r>
            <w:rPr>
              <w:rFonts w:ascii="黑体" w:hAnsi="黑体" w:eastAsia="黑体" w:cs="黑体"/>
              <w:sz w:val="30"/>
              <w:szCs w:val="30"/>
            </w:rPr>
            <w:fldChar w:fldCharType="begin"/>
          </w:r>
          <w:r>
            <w:rPr>
              <w:rFonts w:ascii="黑体" w:hAnsi="黑体" w:eastAsia="黑体" w:cs="黑体"/>
              <w:sz w:val="30"/>
              <w:szCs w:val="30"/>
            </w:rPr>
            <w:instrText xml:space="preserve"> HYPERLINK \l _Toc1691 </w:instrText>
          </w:r>
          <w:r>
            <w:rPr>
              <w:rFonts w:ascii="黑体" w:hAnsi="黑体" w:eastAsia="黑体" w:cs="黑体"/>
              <w:sz w:val="30"/>
              <w:szCs w:val="30"/>
            </w:rPr>
            <w:fldChar w:fldCharType="separate"/>
          </w:r>
          <w:r>
            <w:rPr>
              <w:rFonts w:hint="eastAsia" w:ascii="宋体" w:hAnsi="宋体" w:eastAsia="宋体" w:cs="宋体"/>
              <w:bCs/>
              <w:sz w:val="30"/>
              <w:szCs w:val="30"/>
            </w:rPr>
            <w:t>7 贯彻标准的要求和措施的建议</w:t>
          </w:r>
          <w:r>
            <w:rPr>
              <w:sz w:val="30"/>
              <w:szCs w:val="30"/>
            </w:rPr>
            <w:tab/>
          </w:r>
          <w:r>
            <w:rPr>
              <w:sz w:val="30"/>
              <w:szCs w:val="30"/>
            </w:rPr>
            <w:fldChar w:fldCharType="begin"/>
          </w:r>
          <w:r>
            <w:rPr>
              <w:sz w:val="30"/>
              <w:szCs w:val="30"/>
            </w:rPr>
            <w:instrText xml:space="preserve"> PAGEREF _Toc1691 \h </w:instrText>
          </w:r>
          <w:r>
            <w:rPr>
              <w:sz w:val="30"/>
              <w:szCs w:val="30"/>
            </w:rPr>
            <w:fldChar w:fldCharType="separate"/>
          </w:r>
          <w:r>
            <w:rPr>
              <w:sz w:val="30"/>
              <w:szCs w:val="30"/>
            </w:rPr>
            <w:t>6</w:t>
          </w:r>
          <w:r>
            <w:rPr>
              <w:sz w:val="30"/>
              <w:szCs w:val="30"/>
            </w:rPr>
            <w:fldChar w:fldCharType="end"/>
          </w:r>
          <w:r>
            <w:rPr>
              <w:rFonts w:ascii="黑体" w:hAnsi="黑体" w:eastAsia="黑体" w:cs="黑体"/>
              <w:sz w:val="30"/>
              <w:szCs w:val="30"/>
            </w:rPr>
            <w:fldChar w:fldCharType="end"/>
          </w:r>
        </w:p>
        <w:p>
          <w:pPr>
            <w:pStyle w:val="6"/>
            <w:tabs>
              <w:tab w:val="right" w:leader="dot" w:pos="8306"/>
            </w:tabs>
            <w:rPr>
              <w:sz w:val="30"/>
              <w:szCs w:val="30"/>
            </w:rPr>
          </w:pPr>
          <w:r>
            <w:rPr>
              <w:rFonts w:ascii="黑体" w:hAnsi="黑体" w:eastAsia="黑体" w:cs="黑体"/>
              <w:sz w:val="30"/>
              <w:szCs w:val="30"/>
            </w:rPr>
            <w:fldChar w:fldCharType="begin"/>
          </w:r>
          <w:r>
            <w:rPr>
              <w:rFonts w:ascii="黑体" w:hAnsi="黑体" w:eastAsia="黑体" w:cs="黑体"/>
              <w:sz w:val="30"/>
              <w:szCs w:val="30"/>
            </w:rPr>
            <w:instrText xml:space="preserve"> HYPERLINK \l _Toc22759 </w:instrText>
          </w:r>
          <w:r>
            <w:rPr>
              <w:rFonts w:ascii="黑体" w:hAnsi="黑体" w:eastAsia="黑体" w:cs="黑体"/>
              <w:sz w:val="30"/>
              <w:szCs w:val="30"/>
            </w:rPr>
            <w:fldChar w:fldCharType="separate"/>
          </w:r>
          <w:r>
            <w:rPr>
              <w:rFonts w:hint="eastAsia" w:ascii="宋体" w:hAnsi="宋体" w:eastAsia="宋体" w:cs="宋体"/>
              <w:bCs/>
              <w:sz w:val="30"/>
              <w:szCs w:val="30"/>
            </w:rPr>
            <w:t>8 废止现行有关标准的建议</w:t>
          </w:r>
          <w:r>
            <w:rPr>
              <w:sz w:val="30"/>
              <w:szCs w:val="30"/>
            </w:rPr>
            <w:tab/>
          </w:r>
          <w:r>
            <w:rPr>
              <w:sz w:val="30"/>
              <w:szCs w:val="30"/>
            </w:rPr>
            <w:fldChar w:fldCharType="begin"/>
          </w:r>
          <w:r>
            <w:rPr>
              <w:sz w:val="30"/>
              <w:szCs w:val="30"/>
            </w:rPr>
            <w:instrText xml:space="preserve"> PAGEREF _Toc22759 \h </w:instrText>
          </w:r>
          <w:r>
            <w:rPr>
              <w:sz w:val="30"/>
              <w:szCs w:val="30"/>
            </w:rPr>
            <w:fldChar w:fldCharType="separate"/>
          </w:r>
          <w:r>
            <w:rPr>
              <w:sz w:val="30"/>
              <w:szCs w:val="30"/>
            </w:rPr>
            <w:t>7</w:t>
          </w:r>
          <w:r>
            <w:rPr>
              <w:sz w:val="30"/>
              <w:szCs w:val="30"/>
            </w:rPr>
            <w:fldChar w:fldCharType="end"/>
          </w:r>
          <w:r>
            <w:rPr>
              <w:rFonts w:ascii="黑体" w:hAnsi="黑体" w:eastAsia="黑体" w:cs="黑体"/>
              <w:sz w:val="30"/>
              <w:szCs w:val="30"/>
            </w:rPr>
            <w:fldChar w:fldCharType="end"/>
          </w:r>
        </w:p>
        <w:p>
          <w:pPr>
            <w:pStyle w:val="6"/>
            <w:tabs>
              <w:tab w:val="right" w:leader="dot" w:pos="8306"/>
            </w:tabs>
          </w:pPr>
          <w:r>
            <w:rPr>
              <w:rFonts w:ascii="黑体" w:hAnsi="黑体" w:eastAsia="黑体" w:cs="黑体"/>
              <w:sz w:val="30"/>
              <w:szCs w:val="30"/>
            </w:rPr>
            <w:fldChar w:fldCharType="begin"/>
          </w:r>
          <w:r>
            <w:rPr>
              <w:rFonts w:ascii="黑体" w:hAnsi="黑体" w:eastAsia="黑体" w:cs="黑体"/>
              <w:sz w:val="30"/>
              <w:szCs w:val="30"/>
            </w:rPr>
            <w:instrText xml:space="preserve"> HYPERLINK \l _Toc1675 </w:instrText>
          </w:r>
          <w:r>
            <w:rPr>
              <w:rFonts w:ascii="黑体" w:hAnsi="黑体" w:eastAsia="黑体" w:cs="黑体"/>
              <w:sz w:val="30"/>
              <w:szCs w:val="30"/>
            </w:rPr>
            <w:fldChar w:fldCharType="separate"/>
          </w:r>
          <w:r>
            <w:rPr>
              <w:rFonts w:hint="eastAsia" w:ascii="宋体" w:hAnsi="宋体" w:eastAsia="宋体" w:cs="宋体"/>
              <w:bCs/>
              <w:sz w:val="30"/>
              <w:szCs w:val="30"/>
            </w:rPr>
            <w:t>9 其他应予说明的事项</w:t>
          </w:r>
          <w:r>
            <w:rPr>
              <w:sz w:val="30"/>
              <w:szCs w:val="30"/>
            </w:rPr>
            <w:tab/>
          </w:r>
          <w:r>
            <w:rPr>
              <w:sz w:val="30"/>
              <w:szCs w:val="30"/>
            </w:rPr>
            <w:fldChar w:fldCharType="begin"/>
          </w:r>
          <w:r>
            <w:rPr>
              <w:sz w:val="30"/>
              <w:szCs w:val="30"/>
            </w:rPr>
            <w:instrText xml:space="preserve"> PAGEREF _Toc1675 \h </w:instrText>
          </w:r>
          <w:r>
            <w:rPr>
              <w:sz w:val="30"/>
              <w:szCs w:val="30"/>
            </w:rPr>
            <w:fldChar w:fldCharType="separate"/>
          </w:r>
          <w:r>
            <w:rPr>
              <w:sz w:val="30"/>
              <w:szCs w:val="30"/>
            </w:rPr>
            <w:t>7</w:t>
          </w:r>
          <w:r>
            <w:rPr>
              <w:sz w:val="30"/>
              <w:szCs w:val="30"/>
            </w:rPr>
            <w:fldChar w:fldCharType="end"/>
          </w:r>
          <w:r>
            <w:rPr>
              <w:rFonts w:ascii="黑体" w:hAnsi="黑体" w:eastAsia="黑体" w:cs="黑体"/>
              <w:sz w:val="30"/>
              <w:szCs w:val="30"/>
            </w:rPr>
            <w:fldChar w:fldCharType="end"/>
          </w:r>
        </w:p>
        <w:p>
          <w:pPr>
            <w:rPr>
              <w:rFonts w:ascii="黑体" w:hAnsi="黑体" w:eastAsia="黑体" w:cs="黑体"/>
              <w:sz w:val="30"/>
              <w:szCs w:val="30"/>
            </w:rPr>
          </w:pPr>
          <w:r>
            <w:rPr>
              <w:rFonts w:ascii="黑体" w:hAnsi="黑体" w:eastAsia="黑体" w:cs="黑体"/>
              <w:szCs w:val="30"/>
            </w:rPr>
            <w:fldChar w:fldCharType="end"/>
          </w:r>
        </w:p>
      </w:sdtContent>
    </w:sdt>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numPr>
          <w:numId w:val="0"/>
        </w:numPr>
        <w:outlineLvl w:val="0"/>
        <w:rPr>
          <w:rFonts w:ascii="黑体" w:hAnsi="黑体" w:eastAsia="黑体" w:cs="黑体"/>
          <w:sz w:val="30"/>
          <w:szCs w:val="30"/>
        </w:rPr>
        <w:sectPr>
          <w:footerReference r:id="rId3" w:type="default"/>
          <w:pgSz w:w="11906" w:h="16838"/>
          <w:pgMar w:top="1440" w:right="1800" w:bottom="1440" w:left="1800" w:header="851" w:footer="992" w:gutter="0"/>
          <w:pgNumType w:fmt="upperRoman" w:start="1"/>
          <w:cols w:space="425" w:num="1"/>
          <w:docGrid w:type="lines" w:linePitch="312" w:charSpace="0"/>
        </w:sectPr>
      </w:pPr>
      <w:bookmarkStart w:id="9" w:name="_GoBack"/>
      <w:bookmarkEnd w:id="9"/>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宋体" w:hAnsi="宋体" w:eastAsia="宋体" w:cs="宋体"/>
          <w:b/>
          <w:bCs/>
          <w:sz w:val="24"/>
          <w:szCs w:val="24"/>
        </w:rPr>
      </w:pPr>
      <w:bookmarkStart w:id="0" w:name="_Toc19008"/>
      <w:r>
        <w:rPr>
          <w:rFonts w:hint="eastAsia" w:ascii="宋体" w:hAnsi="宋体" w:eastAsia="宋体" w:cs="宋体"/>
          <w:b/>
          <w:bCs/>
          <w:sz w:val="24"/>
          <w:szCs w:val="24"/>
        </w:rPr>
        <w:t>1 工作简况</w:t>
      </w:r>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1.1任务来源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根据中国港口协会关于下达2019年中国港口协会团体标准化计划通知（中港协行函[2019]32号）的要求，修订中国港口协会团体标准——港口集装箱智能理货技术要求（计划编号：2019-05），由广州港股份有限公司完成该项制定任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1.2协作单位</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1"/>
        <w:gridCol w:w="42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4261"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单位名称</w:t>
            </w:r>
          </w:p>
        </w:tc>
        <w:tc>
          <w:tcPr>
            <w:tcW w:w="4261" w:type="dxa"/>
            <w:vAlign w:val="center"/>
          </w:tcPr>
          <w:p>
            <w:pPr>
              <w:jc w:val="center"/>
              <w:rPr>
                <w:rFonts w:ascii="黑体" w:hAnsi="黑体" w:eastAsia="黑体" w:cs="黑体"/>
                <w:sz w:val="24"/>
                <w:szCs w:val="24"/>
              </w:rPr>
            </w:pPr>
            <w:r>
              <w:rPr>
                <w:rFonts w:hint="eastAsia" w:cs="黑体" w:asciiTheme="majorEastAsia" w:hAnsiTheme="majorEastAsia" w:eastAsiaTheme="majorEastAsia"/>
                <w:sz w:val="24"/>
                <w:szCs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4261" w:type="dxa"/>
            <w:vAlign w:val="center"/>
          </w:tcPr>
          <w:p>
            <w:pPr>
              <w:jc w:val="center"/>
              <w:rPr>
                <w:rFonts w:ascii="黑体" w:hAnsi="黑体" w:eastAsia="黑体" w:cs="黑体"/>
                <w:sz w:val="24"/>
                <w:szCs w:val="24"/>
              </w:rPr>
            </w:pPr>
            <w:r>
              <w:rPr>
                <w:rFonts w:hint="eastAsia" w:cs="黑体" w:asciiTheme="majorEastAsia" w:hAnsiTheme="majorEastAsia" w:eastAsiaTheme="majorEastAsia"/>
                <w:sz w:val="24"/>
                <w:szCs w:val="24"/>
              </w:rPr>
              <w:t>上海外轮理货有限公司</w:t>
            </w:r>
          </w:p>
        </w:tc>
        <w:tc>
          <w:tcPr>
            <w:tcW w:w="4261"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021-65868800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4261" w:type="dxa"/>
            <w:vAlign w:val="center"/>
          </w:tcPr>
          <w:p>
            <w:pPr>
              <w:jc w:val="center"/>
              <w:rPr>
                <w:rFonts w:ascii="黑体" w:hAnsi="黑体" w:eastAsia="黑体" w:cs="黑体"/>
                <w:sz w:val="24"/>
                <w:szCs w:val="24"/>
              </w:rPr>
            </w:pPr>
            <w:r>
              <w:rPr>
                <w:rFonts w:hint="eastAsia" w:cs="黑体" w:asciiTheme="majorEastAsia" w:hAnsiTheme="majorEastAsia" w:eastAsiaTheme="majorEastAsia"/>
                <w:sz w:val="24"/>
                <w:szCs w:val="24"/>
              </w:rPr>
              <w:t>厦门外轮理货有限公司</w:t>
            </w:r>
          </w:p>
        </w:tc>
        <w:tc>
          <w:tcPr>
            <w:tcW w:w="4261"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0592-6376070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4261" w:type="dxa"/>
            <w:vAlign w:val="center"/>
          </w:tcPr>
          <w:p>
            <w:pPr>
              <w:jc w:val="center"/>
              <w:rPr>
                <w:rFonts w:ascii="黑体" w:hAnsi="黑体" w:eastAsia="黑体" w:cs="黑体"/>
                <w:sz w:val="24"/>
                <w:szCs w:val="24"/>
              </w:rPr>
            </w:pPr>
            <w:r>
              <w:rPr>
                <w:rFonts w:hint="eastAsia" w:cs="黑体" w:asciiTheme="majorEastAsia" w:hAnsiTheme="majorEastAsia" w:eastAsiaTheme="majorEastAsia"/>
                <w:sz w:val="24"/>
                <w:szCs w:val="24"/>
              </w:rPr>
              <w:t>连云港外轮理货有限公司</w:t>
            </w:r>
          </w:p>
        </w:tc>
        <w:tc>
          <w:tcPr>
            <w:tcW w:w="4261"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0518-82388718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4261" w:type="dxa"/>
            <w:vAlign w:val="center"/>
          </w:tcPr>
          <w:p>
            <w:pPr>
              <w:jc w:val="center"/>
              <w:rPr>
                <w:rFonts w:ascii="黑体" w:hAnsi="黑体" w:eastAsia="黑体" w:cs="黑体"/>
                <w:sz w:val="24"/>
                <w:szCs w:val="24"/>
              </w:rPr>
            </w:pPr>
            <w:r>
              <w:rPr>
                <w:rFonts w:hint="eastAsia" w:cs="黑体" w:asciiTheme="majorEastAsia" w:hAnsiTheme="majorEastAsia" w:eastAsiaTheme="majorEastAsia"/>
                <w:sz w:val="24"/>
                <w:szCs w:val="24"/>
              </w:rPr>
              <w:t>湛江中理外轮理货有限公司</w:t>
            </w:r>
          </w:p>
        </w:tc>
        <w:tc>
          <w:tcPr>
            <w:tcW w:w="4261"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0759-2252261</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szCs w:val="24"/>
        </w:rPr>
      </w:pPr>
      <w:r>
        <w:rPr>
          <w:rFonts w:hint="eastAsia" w:ascii="黑体" w:hAnsi="黑体" w:eastAsia="黑体" w:cs="黑体"/>
          <w:sz w:val="24"/>
          <w:szCs w:val="24"/>
        </w:rPr>
        <w:t>1.3主要工作过程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（1）2019年5月，成立标准起草组，组员：陈宏伟、梁万敏、汪德贵、詹建北、赵健宇、陈雄、李东、段远斌、万柏玲、谢泽彪、谢树鸿、郭宜谨、陈晓荣、董入双、钟伟；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（2）2019年5月28日，向中港协提交团体标准项目申报书；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（3）2019年11月22日，中港协在广州召开团体标准大纲咨询会。与会专家针对标准大纲提出咨询意见，会后根据专家意见进行修改；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（4）2020年1月7日，中港协在上海召开团体标准大纲评审会，大纲评审通过。与会专家针对标准大纲提出修改意见，会后根据专家意见进行修改，形成标准大纲终稿；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（5）在查阅国内外相关标准文献资料的基础上，标准编写组对港口集装箱智能理货技术的发展现状和存在问题进行调研和分析，明确标准结构和要素；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（6）2020年2月~2020年4月，结合广州外理、上海外理、厦门外理、连云港外理和湛江外理对港口集装箱智能理货技术的实际</w:t>
      </w:r>
      <w:r>
        <w:rPr>
          <w:rFonts w:hint="eastAsia" w:cs="黑体" w:asciiTheme="majorEastAsia" w:hAnsiTheme="majorEastAsia" w:eastAsiaTheme="majorEastAsia"/>
          <w:sz w:val="24"/>
          <w:szCs w:val="24"/>
          <w:lang w:val="en-US" w:eastAsia="zh-CN"/>
        </w:rPr>
        <w:t>项目</w:t>
      </w:r>
      <w:r>
        <w:rPr>
          <w:rFonts w:hint="eastAsia" w:cs="黑体" w:asciiTheme="majorEastAsia" w:hAnsiTheme="majorEastAsia" w:eastAsiaTheme="majorEastAsia"/>
          <w:sz w:val="24"/>
          <w:szCs w:val="24"/>
        </w:rPr>
        <w:t>情况，编写小组多次进行讨论和修改，形成标准初稿。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（7）2020年4月15日，编写小组组织线上讨论会，对标准的初稿，逐条进行讨论，对各参编单位编写的章节进行通稿和协调，提出相关修改意见。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8）2020年5月~2020年6月，完成标准征求意见稿和编制说明，发送中国理货协会、中国外轮理货总公司、中联理货有限公司、青岛外轮理货有限公司、宁波外轮理货有限公司、福州外轮理货有限公司、天津外轮理货有限公司、大连外轮理货有限公司、珠海外轮理货有限公司、北部湾外轮理货有限公司、重庆中理外轮理货有限公司、日照中理外轮理货有限公司、南通中理外轮理货有限公司、南京中理外轮理货有限公司、深圳中理外轮理货有限公司、营口中理外轮理货有限公司、广州中联理货有限公司、大连中联理货有限公司、张家港中联理货有限公司、扬州中理国际理货有限责任公司等单位广发征求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szCs w:val="24"/>
        </w:rPr>
      </w:pPr>
      <w:r>
        <w:rPr>
          <w:rFonts w:hint="eastAsia" w:ascii="黑体" w:hAnsi="黑体" w:eastAsia="黑体" w:cs="黑体"/>
          <w:sz w:val="24"/>
          <w:szCs w:val="24"/>
        </w:rPr>
        <w:t>1.4标准主要起草人及其所做工作</w:t>
      </w:r>
    </w:p>
    <w:tbl>
      <w:tblPr>
        <w:tblStyle w:val="8"/>
        <w:tblW w:w="8474"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9"/>
        <w:gridCol w:w="3126"/>
        <w:gridCol w:w="1185"/>
        <w:gridCol w:w="1440"/>
        <w:gridCol w:w="17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99"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姓名</w:t>
            </w:r>
          </w:p>
        </w:tc>
        <w:tc>
          <w:tcPr>
            <w:tcW w:w="3126"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工作单位</w:t>
            </w:r>
          </w:p>
        </w:tc>
        <w:tc>
          <w:tcPr>
            <w:tcW w:w="118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从事专业</w:t>
            </w:r>
          </w:p>
        </w:tc>
        <w:tc>
          <w:tcPr>
            <w:tcW w:w="1440"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职称/职务</w:t>
            </w:r>
          </w:p>
        </w:tc>
        <w:tc>
          <w:tcPr>
            <w:tcW w:w="1724"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负责工作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99"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陈宏伟</w:t>
            </w:r>
          </w:p>
        </w:tc>
        <w:tc>
          <w:tcPr>
            <w:tcW w:w="3126"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广州港股份有限公司</w:t>
            </w:r>
          </w:p>
        </w:tc>
        <w:tc>
          <w:tcPr>
            <w:tcW w:w="118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港口技术</w:t>
            </w:r>
          </w:p>
        </w:tc>
        <w:tc>
          <w:tcPr>
            <w:tcW w:w="1440" w:type="dxa"/>
            <w:vAlign w:val="center"/>
          </w:tcPr>
          <w:p>
            <w:pPr>
              <w:jc w:val="center"/>
              <w:rPr>
                <w:rFonts w:cs="黑体" w:asciiTheme="majorEastAsia" w:hAnsiTheme="majorEastAsia" w:eastAsiaTheme="majorEastAsia"/>
                <w:sz w:val="24"/>
                <w:szCs w:val="24"/>
              </w:rPr>
            </w:pPr>
            <w:r>
              <w:rPr>
                <w:rFonts w:hint="eastAsia" w:asciiTheme="majorEastAsia" w:hAnsiTheme="majorEastAsia" w:eastAsiaTheme="majorEastAsia"/>
                <w:bCs/>
                <w:sz w:val="24"/>
                <w:szCs w:val="24"/>
              </w:rPr>
              <w:t>高级工程师</w:t>
            </w:r>
          </w:p>
        </w:tc>
        <w:tc>
          <w:tcPr>
            <w:tcW w:w="1724"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总负责人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99"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梁万敏</w:t>
            </w:r>
          </w:p>
        </w:tc>
        <w:tc>
          <w:tcPr>
            <w:tcW w:w="3126"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广州外轮理货有限公司</w:t>
            </w:r>
          </w:p>
        </w:tc>
        <w:tc>
          <w:tcPr>
            <w:tcW w:w="118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港口理货</w:t>
            </w:r>
          </w:p>
        </w:tc>
        <w:tc>
          <w:tcPr>
            <w:tcW w:w="1440"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主管</w:t>
            </w:r>
          </w:p>
        </w:tc>
        <w:tc>
          <w:tcPr>
            <w:tcW w:w="1724"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标准起草主笔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99"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汪德贵</w:t>
            </w:r>
          </w:p>
        </w:tc>
        <w:tc>
          <w:tcPr>
            <w:tcW w:w="3126"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广州港集团有限公司</w:t>
            </w:r>
          </w:p>
        </w:tc>
        <w:tc>
          <w:tcPr>
            <w:tcW w:w="118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技术管理</w:t>
            </w:r>
          </w:p>
        </w:tc>
        <w:tc>
          <w:tcPr>
            <w:tcW w:w="1440"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部长</w:t>
            </w:r>
          </w:p>
        </w:tc>
        <w:tc>
          <w:tcPr>
            <w:tcW w:w="1724"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标准起草协调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99"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詹建北</w:t>
            </w:r>
          </w:p>
        </w:tc>
        <w:tc>
          <w:tcPr>
            <w:tcW w:w="3126"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广州港集团有限公司</w:t>
            </w:r>
          </w:p>
        </w:tc>
        <w:tc>
          <w:tcPr>
            <w:tcW w:w="118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技术管理</w:t>
            </w:r>
          </w:p>
        </w:tc>
        <w:tc>
          <w:tcPr>
            <w:tcW w:w="1440"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副部长</w:t>
            </w:r>
          </w:p>
        </w:tc>
        <w:tc>
          <w:tcPr>
            <w:tcW w:w="1724"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标准起草协调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99"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赵健宇</w:t>
            </w:r>
          </w:p>
        </w:tc>
        <w:tc>
          <w:tcPr>
            <w:tcW w:w="3126"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广州港股份有限公司</w:t>
            </w:r>
          </w:p>
        </w:tc>
        <w:tc>
          <w:tcPr>
            <w:tcW w:w="118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技术管理</w:t>
            </w:r>
          </w:p>
        </w:tc>
        <w:tc>
          <w:tcPr>
            <w:tcW w:w="1440"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副部长</w:t>
            </w:r>
          </w:p>
        </w:tc>
        <w:tc>
          <w:tcPr>
            <w:tcW w:w="1724"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标准起草协调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99"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陈雄</w:t>
            </w:r>
          </w:p>
        </w:tc>
        <w:tc>
          <w:tcPr>
            <w:tcW w:w="3126"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广州外轮理货有限公司</w:t>
            </w:r>
          </w:p>
        </w:tc>
        <w:tc>
          <w:tcPr>
            <w:tcW w:w="118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港口理货</w:t>
            </w:r>
          </w:p>
        </w:tc>
        <w:tc>
          <w:tcPr>
            <w:tcW w:w="1440"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总经理</w:t>
            </w:r>
          </w:p>
        </w:tc>
        <w:tc>
          <w:tcPr>
            <w:tcW w:w="1724"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标准起草规划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99"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李东</w:t>
            </w:r>
          </w:p>
        </w:tc>
        <w:tc>
          <w:tcPr>
            <w:tcW w:w="3126"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广州外轮理货有限公司</w:t>
            </w:r>
          </w:p>
        </w:tc>
        <w:tc>
          <w:tcPr>
            <w:tcW w:w="118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港口理货</w:t>
            </w:r>
          </w:p>
        </w:tc>
        <w:tc>
          <w:tcPr>
            <w:tcW w:w="1440"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副总经理</w:t>
            </w:r>
          </w:p>
        </w:tc>
        <w:tc>
          <w:tcPr>
            <w:tcW w:w="1724"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标准起草规划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99"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段远斌</w:t>
            </w:r>
          </w:p>
        </w:tc>
        <w:tc>
          <w:tcPr>
            <w:tcW w:w="3126"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广州外轮理货有限公司</w:t>
            </w:r>
          </w:p>
        </w:tc>
        <w:tc>
          <w:tcPr>
            <w:tcW w:w="118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港口理货</w:t>
            </w:r>
          </w:p>
        </w:tc>
        <w:tc>
          <w:tcPr>
            <w:tcW w:w="1440"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副总经理</w:t>
            </w:r>
          </w:p>
        </w:tc>
        <w:tc>
          <w:tcPr>
            <w:tcW w:w="1724"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标准起草规划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99"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万柏玲</w:t>
            </w:r>
          </w:p>
        </w:tc>
        <w:tc>
          <w:tcPr>
            <w:tcW w:w="3126"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广州港集团有限公司</w:t>
            </w:r>
          </w:p>
        </w:tc>
        <w:tc>
          <w:tcPr>
            <w:tcW w:w="118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技术管理</w:t>
            </w:r>
          </w:p>
        </w:tc>
        <w:tc>
          <w:tcPr>
            <w:tcW w:w="1440"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科长</w:t>
            </w:r>
          </w:p>
        </w:tc>
        <w:tc>
          <w:tcPr>
            <w:tcW w:w="1724"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标准起草协调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99"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谢泽彪</w:t>
            </w:r>
          </w:p>
        </w:tc>
        <w:tc>
          <w:tcPr>
            <w:tcW w:w="3126"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广州外轮理货有限公司</w:t>
            </w:r>
          </w:p>
        </w:tc>
        <w:tc>
          <w:tcPr>
            <w:tcW w:w="118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港口理货</w:t>
            </w:r>
          </w:p>
        </w:tc>
        <w:tc>
          <w:tcPr>
            <w:tcW w:w="1440"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副经理</w:t>
            </w:r>
          </w:p>
        </w:tc>
        <w:tc>
          <w:tcPr>
            <w:tcW w:w="1724"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标准起草调研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99"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谢树鸿</w:t>
            </w:r>
          </w:p>
        </w:tc>
        <w:tc>
          <w:tcPr>
            <w:tcW w:w="3126"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广州外轮理货有限公司</w:t>
            </w:r>
          </w:p>
        </w:tc>
        <w:tc>
          <w:tcPr>
            <w:tcW w:w="118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港口理货</w:t>
            </w:r>
          </w:p>
        </w:tc>
        <w:tc>
          <w:tcPr>
            <w:tcW w:w="1440"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副经理</w:t>
            </w:r>
          </w:p>
        </w:tc>
        <w:tc>
          <w:tcPr>
            <w:tcW w:w="1724"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标准起草调研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99"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郭宜谨</w:t>
            </w:r>
          </w:p>
        </w:tc>
        <w:tc>
          <w:tcPr>
            <w:tcW w:w="3126"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上海外轮理货有限公司</w:t>
            </w:r>
          </w:p>
        </w:tc>
        <w:tc>
          <w:tcPr>
            <w:tcW w:w="118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港口理货</w:t>
            </w:r>
          </w:p>
        </w:tc>
        <w:tc>
          <w:tcPr>
            <w:tcW w:w="1440"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副经理</w:t>
            </w:r>
          </w:p>
        </w:tc>
        <w:tc>
          <w:tcPr>
            <w:tcW w:w="1724"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标准起草调研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99"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陈晓荣</w:t>
            </w:r>
          </w:p>
        </w:tc>
        <w:tc>
          <w:tcPr>
            <w:tcW w:w="3126"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厦门外轮理货有限公司</w:t>
            </w:r>
          </w:p>
        </w:tc>
        <w:tc>
          <w:tcPr>
            <w:tcW w:w="118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港口理货</w:t>
            </w:r>
          </w:p>
        </w:tc>
        <w:tc>
          <w:tcPr>
            <w:tcW w:w="1440"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经理</w:t>
            </w:r>
          </w:p>
        </w:tc>
        <w:tc>
          <w:tcPr>
            <w:tcW w:w="1724"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标准起草调研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99"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董入双</w:t>
            </w:r>
          </w:p>
        </w:tc>
        <w:tc>
          <w:tcPr>
            <w:tcW w:w="3126"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连云港外轮理货有限公司</w:t>
            </w:r>
          </w:p>
        </w:tc>
        <w:tc>
          <w:tcPr>
            <w:tcW w:w="118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港口理货</w:t>
            </w:r>
          </w:p>
        </w:tc>
        <w:tc>
          <w:tcPr>
            <w:tcW w:w="1440"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副总经理</w:t>
            </w:r>
          </w:p>
        </w:tc>
        <w:tc>
          <w:tcPr>
            <w:tcW w:w="1724"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标准起草调研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99"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钟伟</w:t>
            </w:r>
          </w:p>
        </w:tc>
        <w:tc>
          <w:tcPr>
            <w:tcW w:w="3126"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湛江中理外轮理货有限公司</w:t>
            </w:r>
          </w:p>
        </w:tc>
        <w:tc>
          <w:tcPr>
            <w:tcW w:w="118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港口理货</w:t>
            </w:r>
          </w:p>
        </w:tc>
        <w:tc>
          <w:tcPr>
            <w:tcW w:w="1440"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经理</w:t>
            </w:r>
          </w:p>
        </w:tc>
        <w:tc>
          <w:tcPr>
            <w:tcW w:w="1724"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标准起草调研</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宋体" w:hAnsi="宋体" w:eastAsia="宋体" w:cs="宋体"/>
          <w:b/>
          <w:bCs/>
          <w:sz w:val="24"/>
          <w:szCs w:val="24"/>
        </w:rPr>
      </w:pPr>
      <w:bookmarkStart w:id="1" w:name="_Toc3082"/>
      <w:r>
        <w:rPr>
          <w:rFonts w:hint="eastAsia" w:ascii="宋体" w:hAnsi="宋体" w:eastAsia="宋体" w:cs="宋体"/>
          <w:b/>
          <w:bCs/>
          <w:sz w:val="24"/>
          <w:szCs w:val="24"/>
        </w:rPr>
        <w:t>2 标准编制的原则和</w:t>
      </w:r>
      <w:r>
        <w:rPr>
          <w:rFonts w:hint="eastAsia" w:ascii="宋体" w:hAnsi="宋体" w:eastAsia="宋体" w:cs="宋体"/>
          <w:b/>
          <w:bCs/>
          <w:sz w:val="24"/>
          <w:szCs w:val="24"/>
          <w:lang w:val="en-US" w:eastAsia="zh-CN"/>
        </w:rPr>
        <w:t>确定标准主要内容的论</w:t>
      </w:r>
      <w:r>
        <w:rPr>
          <w:rFonts w:hint="eastAsia" w:ascii="宋体" w:hAnsi="宋体" w:eastAsia="宋体" w:cs="宋体"/>
          <w:b/>
          <w:bCs/>
          <w:sz w:val="24"/>
          <w:szCs w:val="24"/>
        </w:rPr>
        <w:t>据</w:t>
      </w:r>
      <w:bookmarkEnd w:id="1"/>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2.1 标准编制的原则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本标准按照GB/T1.1-2009 《标准化工作导则 第一部分：标准的结构和编写》给出的规则制定。标准编制遵循“统一性、协调性、适用性、一致性、规范性”的原则。本标准是在广泛调查研究的基础上制定的，规定明确的港口集装箱智能理货技术要求，以便促进港口集装箱智能理货技术的推广和应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本标准编写过程中主要引用下列标准：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GB/T 4798.4 电工电子产品应用环境条件 第4部分：无气候防护场所固定使用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GB/T 21050 信息安全技术 网络交换机安全技术要求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GB/T 25070 信息安全技术 网络安全等级保护安全设计技术要求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 xml:space="preserve">GB/T 26806 工业控制计算机系统 工业控制计算机基本平台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GB/T 28181 安全防范视频监控联网系统信息传输、交换、控制技术要求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GB/T 30094 工业以太网交换机技术规范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GB/T 37025 信息安全技术 物联网数据传输安全技术要求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GA/T 1211 安全防范高清视频监控系统技术要求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JT/J 244 港口设备安装工程质量检验评定标准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JT/S 217 港口设备安装工程技术规范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T/CTA 001集装箱智能理货业务规程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 xml:space="preserve">待定 岸边集装箱起重机自动识别系统技术要求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2.2 确定标准主要内容的论据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（1）有关“第5章 岸桥信息采集设备要求”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a)标准5.1.1中对岸桥摄像机布置提出要求。对多家理货公司的智能理货项目进行现场调研，实地考察了摄像机布置方案，得出：集装箱两个大侧面的理货作业目标的采集、识别是由布置在岸桥横梁的摄像机完成；集装箱箱前、箱门、箱顶的理货作业目标信息以及车道号、拖车号、前后箱的采集、识别是由布置在岸桥联系梁的摄像机完成；作业现场全方位监控以及装船位置的监控是由布置在岸桥顶部的摄像机完成。尽管摄像机布置的具体位置和数量都不尽相同，但都必须实现对理货作业目标的采集、识别，因此，在5.1.1节中对岸桥海陆侧横梁、左右联系梁以及顶部的摄像机布置提出了目标要求，未对具体安装位置和数量提出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b)标准5.2中对控制箱提出要求。控制箱作为可选项，当岸桥电气房不具备加装机柜条件的，应当考虑在岸桥布置控制箱，用于放置交换机、电源适配器等设备。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（2）有关“第6章 识别系统技术要求”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a)标准6.1.7中提及箱号、箱型尺寸识别至理货指令提交的时间间隔不应超过5s；6.2.7中提及车号识别至理货指令提交的时间间隔不应超过5s。综合考虑了码头对装卸作业效率的要求，避免拖车排队等指令的情况出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b)标准6.1.8中提及箱号、箱型尺寸识别率不应低于95%；主要依据为：结合广州外理、上海外理、厦门外理、连云港外理、湛江外理的实际项目数据，对数据进行统计分析，得出的平均识别率。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c)标准6.2.8中提及车号识别率不应低于90%；主要依据为：结合广州外理、上海外理、厦门外理、连云港外理、湛江外理的实际项目数据，对数据进行统计分析，得出的平均识别率。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d)标准6.4.6中提及的船箱位识别率不应低于90%。主要依据为：结合广州外理、上海外理、厦门外理、连云港外理、湛江外理的实际项目数据，对数据进行统计分析，得出的平均识别率。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（3）有关“第7章 数据传输”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标准7.3中对数据传输方式提出了要求。主要依据：根据实际项目经验，部分港区的桥吊不适合进行有线网络改造，选择无线网络进行数据传输。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宋体" w:hAnsi="宋体" w:eastAsia="宋体" w:cs="宋体"/>
          <w:b/>
          <w:bCs/>
          <w:sz w:val="24"/>
          <w:szCs w:val="24"/>
        </w:rPr>
      </w:pPr>
      <w:bookmarkStart w:id="2" w:name="_Toc21772"/>
      <w:r>
        <w:rPr>
          <w:rFonts w:hint="eastAsia" w:ascii="宋体" w:hAnsi="宋体" w:eastAsia="宋体" w:cs="宋体"/>
          <w:b/>
          <w:bCs/>
          <w:sz w:val="24"/>
          <w:szCs w:val="24"/>
        </w:rPr>
        <w:t>3 预期的经济效果、社会效果分析和主要实验分析</w:t>
      </w:r>
      <w:bookmarkEnd w:id="2"/>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3.1预期的经济效果、社会效果分析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智能理货技术的应用，能有效提高理货效率，配合港口多装快卸，缩短船期和货物进出口周期，直接为客户带来了时间效益。此外，还可实现24小时配合海关等政府机构预防与打击走私等违法犯罪活动，为维护国家经贸安全提供有力保障，经济效果、社会效果显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1）安全管理：优化理货工作流程，减少操作环节，取消原有现场理货员“站位盯箱”的操作模式，从源头规避或大大降低集装箱理货生产安全管理面临的风险，从根本上保证理货一线生产安全，使理货工作更加便捷与顺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（2）改善理货作业环境：用现代化的理货信息中心替代“站酷暑、躲严寒、爬高架”的恶劣现场操作环境。实现从“汗水理货”向智能理货转型。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3）成本控制：节约人力资源成本支出。结合现场作业的实际情况，淘汰现有的理货员“一对一”的作业模式，取而代之的是在后台理货信息中心，理货员“一对N”的作业模式，实现优员增效，节省人工成本约50%以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ascii="黑体" w:hAnsi="黑体" w:eastAsia="黑体" w:cs="黑体"/>
          <w:sz w:val="28"/>
          <w:szCs w:val="28"/>
        </w:rPr>
      </w:pPr>
      <w:r>
        <w:rPr>
          <w:rFonts w:hint="eastAsia" w:cs="黑体" w:asciiTheme="majorEastAsia" w:hAnsiTheme="majorEastAsia" w:eastAsiaTheme="majorEastAsia"/>
          <w:sz w:val="24"/>
          <w:szCs w:val="24"/>
        </w:rPr>
        <w:t>（4）稳定队伍：提升理货员素质，破解招工荒的难题。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3.2 主要实验分析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以实际装卸船作业为实验对象，全天候三班（白班/中班/夜班）交接班方式，每班次一个后台理货员一对二的操作方式，在后台进行智能理货实际操作。同时对系统主要几个识别指标进行实验统计，自2019年12月10日开始统计至2020年2月29日，共进行了81天，223个班次，200个航次（含班轮/驳船）的测试，统计结果如下：</w:t>
      </w:r>
    </w:p>
    <w:tbl>
      <w:tblPr>
        <w:tblStyle w:val="7"/>
        <w:tblW w:w="8556" w:type="dxa"/>
        <w:tblInd w:w="0" w:type="dxa"/>
        <w:tblLayout w:type="fixed"/>
        <w:tblCellMar>
          <w:top w:w="0" w:type="dxa"/>
          <w:left w:w="0" w:type="dxa"/>
          <w:bottom w:w="0" w:type="dxa"/>
          <w:right w:w="0" w:type="dxa"/>
        </w:tblCellMar>
      </w:tblPr>
      <w:tblGrid>
        <w:gridCol w:w="816"/>
        <w:gridCol w:w="855"/>
        <w:gridCol w:w="795"/>
        <w:gridCol w:w="735"/>
        <w:gridCol w:w="1050"/>
        <w:gridCol w:w="1170"/>
        <w:gridCol w:w="1050"/>
        <w:gridCol w:w="1095"/>
        <w:gridCol w:w="990"/>
      </w:tblGrid>
      <w:tr>
        <w:tblPrEx>
          <w:tblLayout w:type="fixed"/>
          <w:tblCellMar>
            <w:top w:w="0" w:type="dxa"/>
            <w:left w:w="0" w:type="dxa"/>
            <w:bottom w:w="0" w:type="dxa"/>
            <w:right w:w="0" w:type="dxa"/>
          </w:tblCellMar>
        </w:tblPrEx>
        <w:trPr>
          <w:trHeight w:val="1066" w:hRule="atLeast"/>
        </w:trPr>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类型</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班次数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箱量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箱号、箱型尺码</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车号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前后箱</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船箱位</w:t>
            </w:r>
          </w:p>
        </w:tc>
      </w:tr>
      <w:tr>
        <w:tblPrEx>
          <w:tblLayout w:type="fixed"/>
          <w:tblCellMar>
            <w:top w:w="0" w:type="dxa"/>
            <w:left w:w="0" w:type="dxa"/>
            <w:bottom w:w="0" w:type="dxa"/>
            <w:right w:w="0" w:type="dxa"/>
          </w:tblCellMar>
        </w:tblPrEx>
        <w:trPr>
          <w:trHeight w:val="624"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内贸</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班轮</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装船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4775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98.33%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98.56%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98.89%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99.13%</w:t>
            </w:r>
          </w:p>
        </w:tc>
      </w:tr>
      <w:tr>
        <w:tblPrEx>
          <w:tblLayout w:type="fixed"/>
          <w:tblCellMar>
            <w:top w:w="0" w:type="dxa"/>
            <w:left w:w="0" w:type="dxa"/>
            <w:bottom w:w="0" w:type="dxa"/>
            <w:right w:w="0" w:type="dxa"/>
          </w:tblCellMar>
        </w:tblPrEx>
        <w:trPr>
          <w:trHeight w:val="624"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卸船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6057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98.11%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98.78%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99.65%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tblPrEx>
          <w:tblLayout w:type="fixed"/>
          <w:tblCellMar>
            <w:top w:w="0" w:type="dxa"/>
            <w:left w:w="0" w:type="dxa"/>
            <w:bottom w:w="0" w:type="dxa"/>
            <w:right w:w="0" w:type="dxa"/>
          </w:tblCellMar>
        </w:tblPrEx>
        <w:trPr>
          <w:trHeight w:val="624"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驳船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装船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6772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98.47%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98.45%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99.05%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98.27%</w:t>
            </w:r>
          </w:p>
        </w:tc>
      </w:tr>
      <w:tr>
        <w:tblPrEx>
          <w:tblLayout w:type="fixed"/>
          <w:tblCellMar>
            <w:top w:w="0" w:type="dxa"/>
            <w:left w:w="0" w:type="dxa"/>
            <w:bottom w:w="0" w:type="dxa"/>
            <w:right w:w="0" w:type="dxa"/>
          </w:tblCellMar>
        </w:tblPrEx>
        <w:trPr>
          <w:trHeight w:val="624"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卸船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6949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98.64%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98.43%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98.79%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tblPrEx>
          <w:tblLayout w:type="fixed"/>
          <w:tblCellMar>
            <w:top w:w="0" w:type="dxa"/>
            <w:left w:w="0" w:type="dxa"/>
            <w:bottom w:w="0" w:type="dxa"/>
            <w:right w:w="0" w:type="dxa"/>
          </w:tblCellMar>
        </w:tblPrEx>
        <w:trPr>
          <w:trHeight w:val="624"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外贸</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班轮</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装船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1876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99.15%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98.23%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98.95%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99.54%</w:t>
            </w:r>
          </w:p>
        </w:tc>
      </w:tr>
      <w:tr>
        <w:tblPrEx>
          <w:tblLayout w:type="fixed"/>
          <w:tblCellMar>
            <w:top w:w="0" w:type="dxa"/>
            <w:left w:w="0" w:type="dxa"/>
            <w:bottom w:w="0" w:type="dxa"/>
            <w:right w:w="0" w:type="dxa"/>
          </w:tblCellMar>
        </w:tblPrEx>
        <w:trPr>
          <w:trHeight w:val="624"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卸船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2549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99.12%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98.96%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99.03%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tblPrEx>
          <w:tblLayout w:type="fixed"/>
          <w:tblCellMar>
            <w:top w:w="0" w:type="dxa"/>
            <w:left w:w="0" w:type="dxa"/>
            <w:bottom w:w="0" w:type="dxa"/>
            <w:right w:w="0" w:type="dxa"/>
          </w:tblCellMar>
        </w:tblPrEx>
        <w:trPr>
          <w:trHeight w:val="624"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驳船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装船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3267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98.14%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98.42%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98.84%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98.05%</w:t>
            </w:r>
          </w:p>
        </w:tc>
      </w:tr>
      <w:tr>
        <w:tblPrEx>
          <w:tblLayout w:type="fixed"/>
          <w:tblCellMar>
            <w:top w:w="0" w:type="dxa"/>
            <w:left w:w="0" w:type="dxa"/>
            <w:bottom w:w="0" w:type="dxa"/>
            <w:right w:w="0" w:type="dxa"/>
          </w:tblCellMar>
        </w:tblPrEx>
        <w:trPr>
          <w:trHeight w:val="624"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卸船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3667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98.05%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97.95%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99.07%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tblPrEx>
          <w:tblLayout w:type="fixed"/>
          <w:tblCellMar>
            <w:top w:w="0" w:type="dxa"/>
            <w:left w:w="0" w:type="dxa"/>
            <w:bottom w:w="0" w:type="dxa"/>
            <w:right w:w="0" w:type="dxa"/>
          </w:tblCellMar>
        </w:tblPrEx>
        <w:trPr>
          <w:trHeight w:val="624" w:hRule="atLeast"/>
        </w:trPr>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综合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223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35912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98.47%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99.03%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98.75%</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宋体" w:hAnsi="宋体" w:eastAsia="宋体" w:cs="宋体"/>
          <w:b/>
          <w:bCs/>
          <w:sz w:val="24"/>
          <w:szCs w:val="24"/>
        </w:rPr>
      </w:pPr>
      <w:bookmarkStart w:id="3" w:name="_Toc20239"/>
      <w:r>
        <w:rPr>
          <w:rFonts w:hint="eastAsia" w:ascii="宋体" w:hAnsi="宋体" w:eastAsia="宋体" w:cs="宋体"/>
          <w:b/>
          <w:bCs/>
          <w:sz w:val="24"/>
          <w:szCs w:val="24"/>
        </w:rPr>
        <w:t>4 采用国际标准和国外先进标准的程度，以及与国际、国外同类标准水平的对比情况，或与测试的国外样品、样机的有关数据对比情况</w:t>
      </w:r>
      <w:bookmarkEnd w:id="3"/>
    </w:p>
    <w:p>
      <w:pPr>
        <w:rPr>
          <w:rFonts w:asciiTheme="majorEastAsia" w:hAnsiTheme="majorEastAsia" w:eastAsiaTheme="majorEastAsia"/>
          <w:sz w:val="24"/>
        </w:rPr>
      </w:pPr>
      <w:r>
        <w:rPr>
          <w:rFonts w:hint="eastAsia" w:asciiTheme="majorEastAsia" w:hAnsiTheme="majorEastAsia" w:eastAsiaTheme="majorEastAsia"/>
          <w:sz w:val="24"/>
        </w:rPr>
        <w:t xml:space="preserve">    </w:t>
      </w:r>
      <w:r>
        <w:rPr>
          <w:rFonts w:hint="eastAsia" w:cs="黑体" w:asciiTheme="majorEastAsia" w:hAnsiTheme="majorEastAsia" w:eastAsiaTheme="majorEastAsia"/>
          <w:sz w:val="24"/>
          <w:szCs w:val="24"/>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宋体" w:hAnsi="宋体" w:eastAsia="宋体" w:cs="宋体"/>
          <w:b/>
          <w:bCs/>
          <w:sz w:val="24"/>
          <w:szCs w:val="24"/>
        </w:rPr>
      </w:pPr>
      <w:bookmarkStart w:id="4" w:name="_Toc8539"/>
      <w:r>
        <w:rPr>
          <w:rFonts w:hint="eastAsia" w:ascii="宋体" w:hAnsi="宋体" w:eastAsia="宋体" w:cs="宋体"/>
          <w:b/>
          <w:bCs/>
          <w:sz w:val="24"/>
          <w:szCs w:val="24"/>
        </w:rPr>
        <w:t>5 与有关的现行法律、法规和强制性标准的关系</w:t>
      </w:r>
      <w:bookmarkEnd w:id="4"/>
    </w:p>
    <w:p>
      <w:pPr>
        <w:ind w:firstLine="480" w:firstLineChars="200"/>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本标准与现行的其它标准没有矛盾，与现行的法律、法规也无冲突和违背。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宋体" w:hAnsi="宋体" w:eastAsia="宋体" w:cs="宋体"/>
          <w:b/>
          <w:bCs/>
          <w:sz w:val="24"/>
          <w:szCs w:val="24"/>
        </w:rPr>
      </w:pPr>
      <w:bookmarkStart w:id="5" w:name="_Toc27433"/>
      <w:r>
        <w:rPr>
          <w:rFonts w:hint="eastAsia" w:ascii="宋体" w:hAnsi="宋体" w:eastAsia="宋体" w:cs="宋体"/>
          <w:b/>
          <w:bCs/>
          <w:sz w:val="24"/>
          <w:szCs w:val="24"/>
        </w:rPr>
        <w:t>6 重大分歧意见的处理经过和依据</w:t>
      </w:r>
      <w:bookmarkEnd w:id="5"/>
    </w:p>
    <w:p>
      <w:pPr>
        <w:ind w:firstLine="424" w:firstLineChars="177"/>
        <w:rPr>
          <w:rFonts w:ascii="黑体" w:hAnsi="黑体" w:eastAsia="黑体" w:cs="黑体"/>
          <w:sz w:val="28"/>
          <w:szCs w:val="28"/>
        </w:rPr>
      </w:pPr>
      <w:r>
        <w:rPr>
          <w:rFonts w:hint="eastAsia" w:asciiTheme="majorEastAsia" w:hAnsiTheme="majorEastAsia" w:eastAsiaTheme="majorEastAsia"/>
          <w:sz w:val="24"/>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宋体" w:hAnsi="宋体" w:eastAsia="宋体" w:cs="宋体"/>
          <w:b/>
          <w:bCs/>
          <w:sz w:val="24"/>
          <w:szCs w:val="24"/>
        </w:rPr>
      </w:pPr>
      <w:bookmarkStart w:id="6" w:name="_Toc1691"/>
      <w:r>
        <w:rPr>
          <w:rFonts w:hint="eastAsia" w:ascii="宋体" w:hAnsi="宋体" w:eastAsia="宋体" w:cs="宋体"/>
          <w:b/>
          <w:bCs/>
          <w:sz w:val="24"/>
          <w:szCs w:val="24"/>
        </w:rPr>
        <w:t>7 贯彻标准的要求和措施的建议</w:t>
      </w:r>
      <w:bookmarkEnd w:id="6"/>
    </w:p>
    <w:p>
      <w:pPr>
        <w:ind w:firstLine="424" w:firstLineChars="177"/>
        <w:rPr>
          <w:rFonts w:asciiTheme="majorEastAsia" w:hAnsiTheme="majorEastAsia" w:eastAsiaTheme="majorEastAsia"/>
          <w:sz w:val="24"/>
        </w:rPr>
      </w:pPr>
      <w:r>
        <w:rPr>
          <w:rFonts w:hint="eastAsia" w:asciiTheme="majorEastAsia" w:hAnsiTheme="majorEastAsia" w:eastAsiaTheme="majorEastAsia"/>
          <w:sz w:val="24"/>
        </w:rPr>
        <w:t>建议本标准按推荐性技术文件发布。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宋体" w:hAnsi="宋体" w:eastAsia="宋体" w:cs="宋体"/>
          <w:b/>
          <w:bCs/>
          <w:sz w:val="24"/>
          <w:szCs w:val="24"/>
        </w:rPr>
      </w:pPr>
      <w:bookmarkStart w:id="7" w:name="_Toc22759"/>
      <w:r>
        <w:rPr>
          <w:rFonts w:hint="eastAsia" w:ascii="宋体" w:hAnsi="宋体" w:eastAsia="宋体" w:cs="宋体"/>
          <w:b/>
          <w:bCs/>
          <w:sz w:val="24"/>
          <w:szCs w:val="24"/>
        </w:rPr>
        <w:t>8 废止现行有关标准的建议</w:t>
      </w:r>
      <w:bookmarkEnd w:id="7"/>
    </w:p>
    <w:p>
      <w:pPr>
        <w:ind w:firstLine="424" w:firstLineChars="177"/>
        <w:rPr>
          <w:rFonts w:ascii="黑体" w:hAnsi="黑体" w:eastAsia="黑体" w:cs="黑体"/>
          <w:sz w:val="28"/>
          <w:szCs w:val="28"/>
        </w:rPr>
      </w:pPr>
      <w:r>
        <w:rPr>
          <w:rFonts w:hint="eastAsia" w:asciiTheme="majorEastAsia" w:hAnsiTheme="majorEastAsia" w:eastAsiaTheme="majorEastAsia"/>
          <w:sz w:val="24"/>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宋体" w:hAnsi="宋体" w:eastAsia="宋体" w:cs="宋体"/>
          <w:b/>
          <w:bCs/>
          <w:sz w:val="24"/>
          <w:szCs w:val="24"/>
        </w:rPr>
      </w:pPr>
      <w:bookmarkStart w:id="8" w:name="_Toc1675"/>
      <w:r>
        <w:rPr>
          <w:rFonts w:hint="eastAsia" w:ascii="宋体" w:hAnsi="宋体" w:eastAsia="宋体" w:cs="宋体"/>
          <w:b/>
          <w:bCs/>
          <w:sz w:val="24"/>
          <w:szCs w:val="24"/>
        </w:rPr>
        <w:t>9 其他应予说明的事项</w:t>
      </w:r>
      <w:bookmarkEnd w:id="8"/>
    </w:p>
    <w:p>
      <w:pPr>
        <w:ind w:firstLine="424" w:firstLineChars="177"/>
        <w:rPr>
          <w:rFonts w:asciiTheme="majorEastAsia" w:hAnsiTheme="majorEastAsia" w:eastAsiaTheme="majorEastAsia"/>
          <w:sz w:val="24"/>
        </w:rPr>
      </w:pPr>
      <w:r>
        <w:rPr>
          <w:rFonts w:hint="eastAsia" w:asciiTheme="majorEastAsia" w:hAnsiTheme="majorEastAsia" w:eastAsiaTheme="majorEastAsia"/>
          <w:sz w:val="24"/>
        </w:rPr>
        <w:t>无</w:t>
      </w:r>
    </w:p>
    <w:p>
      <w:pPr>
        <w:rPr>
          <w:rFonts w:asciiTheme="majorEastAsia" w:hAnsiTheme="majorEastAsia" w:eastAsiaTheme="majorEastAsia"/>
          <w:sz w:val="24"/>
        </w:rPr>
      </w:pPr>
    </w:p>
    <w:p>
      <w:pPr>
        <w:rPr>
          <w:rFonts w:asciiTheme="majorEastAsia" w:hAnsiTheme="majorEastAsia" w:eastAsiaTheme="majorEastAsia"/>
          <w:sz w:val="24"/>
        </w:rPr>
      </w:pPr>
    </w:p>
    <w:p>
      <w:pPr>
        <w:rPr>
          <w:rFonts w:asciiTheme="majorEastAsia" w:hAnsiTheme="majorEastAsia" w:eastAsiaTheme="majorEastAsia"/>
          <w:sz w:val="24"/>
        </w:rPr>
      </w:pPr>
    </w:p>
    <w:p>
      <w:pPr>
        <w:rPr>
          <w:rFonts w:asciiTheme="majorEastAsia" w:hAnsiTheme="majorEastAsia" w:eastAsiaTheme="majorEastAsia"/>
          <w:sz w:val="24"/>
        </w:rPr>
      </w:pPr>
    </w:p>
    <w:p>
      <w:pPr>
        <w:rPr>
          <w:rFonts w:asciiTheme="majorEastAsia" w:hAnsiTheme="majorEastAsia" w:eastAsiaTheme="majorEastAsia"/>
          <w:sz w:val="24"/>
        </w:rPr>
      </w:pPr>
    </w:p>
    <w:p>
      <w:pPr>
        <w:rPr>
          <w:rFonts w:asciiTheme="majorEastAsia" w:hAnsiTheme="majorEastAsia" w:eastAsiaTheme="majorEastAsia"/>
          <w:sz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textAlignment w:val="auto"/>
        <w:rPr>
          <w:rFonts w:hint="eastAsia" w:cs="黑体" w:asciiTheme="majorEastAsia" w:hAnsiTheme="majorEastAsia" w:eastAsiaTheme="majorEastAsia"/>
          <w:sz w:val="24"/>
          <w:szCs w:val="24"/>
        </w:rPr>
      </w:pPr>
      <w:r>
        <w:rPr>
          <w:rFonts w:hint="eastAsia" w:asciiTheme="majorEastAsia" w:hAnsiTheme="majorEastAsia" w:eastAsiaTheme="majorEastAsia"/>
          <w:sz w:val="28"/>
          <w:szCs w:val="28"/>
        </w:rPr>
        <w:t xml:space="preserve">                                              </w:t>
      </w:r>
      <w:r>
        <w:rPr>
          <w:rFonts w:hint="eastAsia" w:cs="黑体" w:asciiTheme="majorEastAsia" w:hAnsiTheme="majorEastAsia" w:eastAsiaTheme="majorEastAsia"/>
          <w:sz w:val="24"/>
          <w:szCs w:val="24"/>
        </w:rPr>
        <w:t>标准工作组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 xml:space="preserve"> </w:t>
      </w:r>
      <w:r>
        <w:rPr>
          <w:rFonts w:hint="eastAsia" w:cs="黑体" w:asciiTheme="majorEastAsia" w:hAnsiTheme="majorEastAsia" w:eastAsiaTheme="majorEastAsia"/>
          <w:sz w:val="24"/>
          <w:szCs w:val="24"/>
          <w:lang w:val="en-US" w:eastAsia="zh-CN"/>
        </w:rPr>
        <w:t xml:space="preserve">                                               </w:t>
      </w:r>
      <w:r>
        <w:rPr>
          <w:rFonts w:hint="eastAsia" w:cs="黑体" w:asciiTheme="majorEastAsia" w:hAnsiTheme="majorEastAsia" w:eastAsiaTheme="majorEastAsia"/>
          <w:sz w:val="24"/>
          <w:szCs w:val="24"/>
        </w:rPr>
        <w:t xml:space="preserve"> </w:t>
      </w:r>
      <w:r>
        <w:rPr>
          <w:rFonts w:hint="eastAsia" w:cs="黑体" w:asciiTheme="majorEastAsia" w:hAnsiTheme="majorEastAsia" w:eastAsiaTheme="majorEastAsia"/>
          <w:sz w:val="24"/>
          <w:szCs w:val="24"/>
          <w:lang w:val="en-US" w:eastAsia="zh-CN"/>
        </w:rPr>
        <w:t xml:space="preserve">     </w:t>
      </w:r>
      <w:r>
        <w:rPr>
          <w:rFonts w:hint="eastAsia" w:cs="黑体" w:asciiTheme="majorEastAsia" w:hAnsiTheme="majorEastAsia" w:eastAsiaTheme="majorEastAsia"/>
          <w:sz w:val="24"/>
          <w:szCs w:val="24"/>
        </w:rPr>
        <w:t>2020年4月</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4" o:spid="_x0000_s3074"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5" o:spid="_x0000_s3075"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2B4F"/>
    <w:rsid w:val="00002451"/>
    <w:rsid w:val="00017334"/>
    <w:rsid w:val="000C3BBB"/>
    <w:rsid w:val="000D1BBA"/>
    <w:rsid w:val="000D75A4"/>
    <w:rsid w:val="00130530"/>
    <w:rsid w:val="0017071E"/>
    <w:rsid w:val="001713E8"/>
    <w:rsid w:val="0019080A"/>
    <w:rsid w:val="001B1374"/>
    <w:rsid w:val="001B569E"/>
    <w:rsid w:val="001E1AE1"/>
    <w:rsid w:val="001F6736"/>
    <w:rsid w:val="002E0A79"/>
    <w:rsid w:val="002F7E57"/>
    <w:rsid w:val="003136DB"/>
    <w:rsid w:val="003702E4"/>
    <w:rsid w:val="003863A8"/>
    <w:rsid w:val="00390E8E"/>
    <w:rsid w:val="004404AF"/>
    <w:rsid w:val="00442BD5"/>
    <w:rsid w:val="004677B7"/>
    <w:rsid w:val="004849BF"/>
    <w:rsid w:val="004B5CD6"/>
    <w:rsid w:val="004B7DA6"/>
    <w:rsid w:val="004D26B1"/>
    <w:rsid w:val="004D4A21"/>
    <w:rsid w:val="004D6F22"/>
    <w:rsid w:val="004F7E13"/>
    <w:rsid w:val="00524D03"/>
    <w:rsid w:val="0053717C"/>
    <w:rsid w:val="00576EBA"/>
    <w:rsid w:val="005C2B4F"/>
    <w:rsid w:val="005D6FE9"/>
    <w:rsid w:val="00607862"/>
    <w:rsid w:val="00643508"/>
    <w:rsid w:val="0069319C"/>
    <w:rsid w:val="006D37EC"/>
    <w:rsid w:val="006F333F"/>
    <w:rsid w:val="007107B2"/>
    <w:rsid w:val="0075485F"/>
    <w:rsid w:val="007715F4"/>
    <w:rsid w:val="007872B2"/>
    <w:rsid w:val="007D4FED"/>
    <w:rsid w:val="00851B4A"/>
    <w:rsid w:val="0087640D"/>
    <w:rsid w:val="008C5AFE"/>
    <w:rsid w:val="008D486F"/>
    <w:rsid w:val="008D4E6D"/>
    <w:rsid w:val="009129E1"/>
    <w:rsid w:val="00913DFC"/>
    <w:rsid w:val="00946168"/>
    <w:rsid w:val="009D5049"/>
    <w:rsid w:val="009E45DD"/>
    <w:rsid w:val="009E705F"/>
    <w:rsid w:val="00A20276"/>
    <w:rsid w:val="00A44C53"/>
    <w:rsid w:val="00A51423"/>
    <w:rsid w:val="00AA44D6"/>
    <w:rsid w:val="00AB0E7E"/>
    <w:rsid w:val="00AC06B7"/>
    <w:rsid w:val="00AD353F"/>
    <w:rsid w:val="00AE00B6"/>
    <w:rsid w:val="00AF3550"/>
    <w:rsid w:val="00B44C56"/>
    <w:rsid w:val="00B744E4"/>
    <w:rsid w:val="00B804F6"/>
    <w:rsid w:val="00B80FF4"/>
    <w:rsid w:val="00C15C2E"/>
    <w:rsid w:val="00C5022D"/>
    <w:rsid w:val="00C50B7E"/>
    <w:rsid w:val="00C66A4C"/>
    <w:rsid w:val="00C95607"/>
    <w:rsid w:val="00CA473D"/>
    <w:rsid w:val="00CE5175"/>
    <w:rsid w:val="00D35C3C"/>
    <w:rsid w:val="00D5161D"/>
    <w:rsid w:val="00D81556"/>
    <w:rsid w:val="00D86184"/>
    <w:rsid w:val="00DB061B"/>
    <w:rsid w:val="00DB4A6B"/>
    <w:rsid w:val="00E16816"/>
    <w:rsid w:val="00E459FF"/>
    <w:rsid w:val="00EF5875"/>
    <w:rsid w:val="00F2046B"/>
    <w:rsid w:val="00F24FED"/>
    <w:rsid w:val="00F46288"/>
    <w:rsid w:val="00F94F70"/>
    <w:rsid w:val="00FB3703"/>
    <w:rsid w:val="026D4E71"/>
    <w:rsid w:val="0C743799"/>
    <w:rsid w:val="0DA56A28"/>
    <w:rsid w:val="0EDE62DC"/>
    <w:rsid w:val="13887F37"/>
    <w:rsid w:val="19383CB9"/>
    <w:rsid w:val="1B3A2127"/>
    <w:rsid w:val="27762942"/>
    <w:rsid w:val="27C33A64"/>
    <w:rsid w:val="2B466DCD"/>
    <w:rsid w:val="2C6D006A"/>
    <w:rsid w:val="36B4380E"/>
    <w:rsid w:val="384B61D2"/>
    <w:rsid w:val="38575CF7"/>
    <w:rsid w:val="386C0913"/>
    <w:rsid w:val="39077CB0"/>
    <w:rsid w:val="3B656430"/>
    <w:rsid w:val="3D587ABB"/>
    <w:rsid w:val="42ED155C"/>
    <w:rsid w:val="44551527"/>
    <w:rsid w:val="48B201C8"/>
    <w:rsid w:val="4AC600BA"/>
    <w:rsid w:val="4EC65470"/>
    <w:rsid w:val="569A375F"/>
    <w:rsid w:val="586B4824"/>
    <w:rsid w:val="5FA522F9"/>
    <w:rsid w:val="6BB66224"/>
    <w:rsid w:val="6C7E7FE3"/>
    <w:rsid w:val="6EB7669C"/>
    <w:rsid w:val="6ED74D58"/>
    <w:rsid w:val="76A856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link w:val="16"/>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character" w:customStyle="1" w:styleId="13">
    <w:name w:val="日期 Char"/>
    <w:basedOn w:val="9"/>
    <w:link w:val="2"/>
    <w:qFormat/>
    <w:uiPriority w:val="0"/>
    <w:rPr>
      <w:kern w:val="2"/>
      <w:sz w:val="21"/>
      <w:szCs w:val="24"/>
    </w:rPr>
  </w:style>
  <w:style w:type="paragraph" w:styleId="14">
    <w:name w:val="List Paragraph"/>
    <w:basedOn w:val="1"/>
    <w:link w:val="15"/>
    <w:qFormat/>
    <w:uiPriority w:val="34"/>
    <w:pPr>
      <w:ind w:firstLine="420" w:firstLineChars="200"/>
    </w:pPr>
    <w:rPr>
      <w:szCs w:val="22"/>
    </w:rPr>
  </w:style>
  <w:style w:type="character" w:customStyle="1" w:styleId="15">
    <w:name w:val="列出段落 Char"/>
    <w:link w:val="14"/>
    <w:qFormat/>
    <w:locked/>
    <w:uiPriority w:val="34"/>
    <w:rPr>
      <w:kern w:val="2"/>
      <w:sz w:val="21"/>
      <w:szCs w:val="22"/>
    </w:rPr>
  </w:style>
  <w:style w:type="character" w:customStyle="1" w:styleId="16">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760</Words>
  <Characters>4333</Characters>
  <Lines>36</Lines>
  <Paragraphs>10</Paragraphs>
  <TotalTime>44</TotalTime>
  <ScaleCrop>false</ScaleCrop>
  <LinksUpToDate>false</LinksUpToDate>
  <CharactersWithSpaces>5083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2020-04-26T03:07:00Z</dcterms:created>
  <dc:creator>lmp126</dc:creator>
  <cp:lastModifiedBy>lmp126</cp:lastModifiedBy>
  <dcterms:modified xsi:type="dcterms:W3CDTF">2020-06-15T07:28:57Z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