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44B41E" w14:textId="77777777" w:rsidR="00FE0E22" w:rsidRPr="00E103F5" w:rsidRDefault="00FE0E22"/>
    <w:p w14:paraId="20BE88BE" w14:textId="77777777" w:rsidR="00FE0E22" w:rsidRPr="00E103F5" w:rsidRDefault="00FE0E22">
      <w:pPr>
        <w:widowControl/>
        <w:rPr>
          <w:sz w:val="28"/>
          <w:szCs w:val="28"/>
        </w:rPr>
      </w:pPr>
    </w:p>
    <w:p w14:paraId="4890A115" w14:textId="77777777" w:rsidR="00FE0E22" w:rsidRPr="00E103F5" w:rsidRDefault="00FE0E22">
      <w:pPr>
        <w:widowControl/>
        <w:rPr>
          <w:sz w:val="28"/>
          <w:szCs w:val="28"/>
        </w:rPr>
      </w:pPr>
    </w:p>
    <w:p w14:paraId="6F808070" w14:textId="77777777" w:rsidR="00FE0E22" w:rsidRPr="00E103F5" w:rsidRDefault="004255FF">
      <w:pPr>
        <w:widowControl/>
        <w:jc w:val="center"/>
        <w:rPr>
          <w:rFonts w:ascii="黑体" w:eastAsia="黑体" w:hAnsi="黑体"/>
          <w:b/>
          <w:sz w:val="44"/>
          <w:szCs w:val="44"/>
        </w:rPr>
      </w:pPr>
      <w:r w:rsidRPr="00E103F5">
        <w:rPr>
          <w:rFonts w:ascii="黑体" w:eastAsia="黑体" w:hAnsi="黑体" w:hint="eastAsia"/>
          <w:b/>
          <w:sz w:val="44"/>
          <w:szCs w:val="44"/>
        </w:rPr>
        <w:t xml:space="preserve">团 体 </w:t>
      </w:r>
      <w:r w:rsidRPr="00E103F5">
        <w:rPr>
          <w:rFonts w:ascii="黑体" w:eastAsia="黑体" w:hAnsi="黑体"/>
          <w:b/>
          <w:sz w:val="44"/>
          <w:szCs w:val="44"/>
        </w:rPr>
        <w:t>标</w:t>
      </w:r>
      <w:r w:rsidRPr="00E103F5">
        <w:rPr>
          <w:rFonts w:ascii="黑体" w:eastAsia="黑体" w:hAnsi="黑体" w:hint="eastAsia"/>
          <w:b/>
          <w:sz w:val="44"/>
          <w:szCs w:val="44"/>
        </w:rPr>
        <w:t xml:space="preserve"> </w:t>
      </w:r>
      <w:r w:rsidRPr="00E103F5">
        <w:rPr>
          <w:rFonts w:ascii="黑体" w:eastAsia="黑体" w:hAnsi="黑体"/>
          <w:b/>
          <w:sz w:val="44"/>
          <w:szCs w:val="44"/>
        </w:rPr>
        <w:t>准</w:t>
      </w:r>
    </w:p>
    <w:p w14:paraId="2FCC326A" w14:textId="77777777" w:rsidR="00FE0E22" w:rsidRPr="00E103F5" w:rsidRDefault="00FE0E22">
      <w:pPr>
        <w:widowControl/>
        <w:jc w:val="center"/>
        <w:rPr>
          <w:rFonts w:ascii="黑体" w:eastAsia="黑体" w:hAnsi="黑体"/>
          <w:b/>
          <w:sz w:val="44"/>
          <w:szCs w:val="44"/>
        </w:rPr>
      </w:pPr>
    </w:p>
    <w:p w14:paraId="3F9647FE" w14:textId="77777777" w:rsidR="00FE0E22" w:rsidRPr="00E103F5" w:rsidRDefault="004255FF">
      <w:pPr>
        <w:spacing w:line="360" w:lineRule="auto"/>
        <w:jc w:val="center"/>
        <w:rPr>
          <w:rFonts w:ascii="黑体" w:eastAsia="黑体" w:hAnsi="黑体"/>
          <w:b/>
          <w:sz w:val="44"/>
          <w:szCs w:val="44"/>
        </w:rPr>
      </w:pPr>
      <w:r w:rsidRPr="00E103F5">
        <w:rPr>
          <w:rFonts w:ascii="黑体" w:eastAsia="黑体" w:hAnsi="黑体" w:hint="eastAsia"/>
          <w:b/>
          <w:sz w:val="44"/>
          <w:szCs w:val="44"/>
        </w:rPr>
        <w:t>港口物流节点代码编制规则</w:t>
      </w:r>
    </w:p>
    <w:p w14:paraId="32E1351D" w14:textId="77777777" w:rsidR="00FE0E22" w:rsidRPr="00E103F5" w:rsidRDefault="004255FF">
      <w:pPr>
        <w:spacing w:line="360" w:lineRule="auto"/>
        <w:jc w:val="center"/>
        <w:rPr>
          <w:rFonts w:ascii="黑体" w:eastAsia="黑体" w:hAnsi="黑体"/>
          <w:b/>
          <w:sz w:val="44"/>
          <w:szCs w:val="44"/>
        </w:rPr>
      </w:pPr>
      <w:r w:rsidRPr="00E103F5">
        <w:rPr>
          <w:rFonts w:ascii="黑体" w:eastAsia="黑体" w:hAnsi="黑体" w:hint="eastAsia"/>
          <w:sz w:val="44"/>
          <w:szCs w:val="44"/>
        </w:rPr>
        <w:t>Compilation Rules for Port Logistics Node Code</w:t>
      </w:r>
      <w:r w:rsidRPr="00E103F5">
        <w:rPr>
          <w:rFonts w:ascii="黑体" w:eastAsia="黑体" w:hAnsi="黑体"/>
          <w:sz w:val="44"/>
          <w:szCs w:val="44"/>
        </w:rPr>
        <w:t> </w:t>
      </w:r>
      <w:r w:rsidRPr="00E103F5">
        <w:rPr>
          <w:rFonts w:ascii="黑体" w:eastAsia="黑体" w:hAnsi="黑体"/>
          <w:sz w:val="44"/>
          <w:szCs w:val="44"/>
        </w:rPr>
        <w:t xml:space="preserve"> </w:t>
      </w:r>
    </w:p>
    <w:p w14:paraId="5552C169" w14:textId="77777777" w:rsidR="00FE0E22" w:rsidRPr="00E103F5" w:rsidRDefault="004255FF">
      <w:pPr>
        <w:widowControl/>
        <w:jc w:val="center"/>
        <w:rPr>
          <w:rFonts w:ascii="黑体" w:eastAsia="黑体" w:hAnsi="黑体"/>
          <w:b/>
          <w:sz w:val="44"/>
          <w:szCs w:val="44"/>
        </w:rPr>
      </w:pPr>
      <w:r w:rsidRPr="00E103F5">
        <w:rPr>
          <w:rFonts w:ascii="黑体" w:eastAsia="黑体" w:hAnsi="黑体" w:hint="eastAsia"/>
          <w:b/>
          <w:sz w:val="44"/>
          <w:szCs w:val="44"/>
        </w:rPr>
        <w:t>（征求意见稿）</w:t>
      </w:r>
    </w:p>
    <w:p w14:paraId="04BF7A59" w14:textId="77777777" w:rsidR="00FE0E22" w:rsidRPr="00E103F5" w:rsidRDefault="00FE0E22">
      <w:pPr>
        <w:widowControl/>
        <w:rPr>
          <w:rFonts w:ascii="黑体" w:eastAsia="黑体" w:hAnsi="黑体"/>
          <w:b/>
          <w:sz w:val="44"/>
          <w:szCs w:val="44"/>
        </w:rPr>
      </w:pPr>
    </w:p>
    <w:p w14:paraId="40C54F85" w14:textId="77777777" w:rsidR="00FE0E22" w:rsidRPr="00E103F5" w:rsidRDefault="00FE0E22">
      <w:pPr>
        <w:widowControl/>
        <w:rPr>
          <w:rFonts w:ascii="黑体" w:eastAsia="黑体" w:hAnsi="黑体"/>
          <w:b/>
          <w:sz w:val="44"/>
          <w:szCs w:val="44"/>
        </w:rPr>
      </w:pPr>
    </w:p>
    <w:p w14:paraId="6C887B14" w14:textId="77777777" w:rsidR="00FE0E22" w:rsidRPr="00E103F5" w:rsidRDefault="00FE0E22">
      <w:pPr>
        <w:widowControl/>
        <w:rPr>
          <w:rFonts w:ascii="黑体" w:eastAsia="黑体" w:hAnsi="黑体"/>
          <w:b/>
          <w:sz w:val="44"/>
          <w:szCs w:val="44"/>
        </w:rPr>
      </w:pPr>
    </w:p>
    <w:p w14:paraId="0C7B5D78" w14:textId="77777777" w:rsidR="00FE0E22" w:rsidRPr="00E103F5" w:rsidRDefault="004255FF">
      <w:pPr>
        <w:widowControl/>
        <w:jc w:val="center"/>
        <w:rPr>
          <w:rFonts w:ascii="黑体" w:eastAsia="黑体" w:hAnsi="黑体"/>
          <w:b/>
          <w:sz w:val="44"/>
          <w:szCs w:val="44"/>
        </w:rPr>
      </w:pPr>
      <w:r w:rsidRPr="00E103F5">
        <w:rPr>
          <w:rFonts w:ascii="黑体" w:eastAsia="黑体" w:hAnsi="黑体"/>
          <w:b/>
          <w:sz w:val="44"/>
          <w:szCs w:val="44"/>
        </w:rPr>
        <w:t>编</w:t>
      </w:r>
      <w:r w:rsidRPr="00E103F5">
        <w:rPr>
          <w:rFonts w:ascii="黑体" w:eastAsia="黑体" w:hAnsi="黑体" w:hint="eastAsia"/>
          <w:b/>
          <w:sz w:val="44"/>
          <w:szCs w:val="44"/>
        </w:rPr>
        <w:t xml:space="preserve"> </w:t>
      </w:r>
      <w:r w:rsidRPr="00E103F5">
        <w:rPr>
          <w:rFonts w:ascii="黑体" w:eastAsia="黑体" w:hAnsi="黑体"/>
          <w:b/>
          <w:sz w:val="44"/>
          <w:szCs w:val="44"/>
        </w:rPr>
        <w:t>制</w:t>
      </w:r>
      <w:r w:rsidRPr="00E103F5">
        <w:rPr>
          <w:rFonts w:ascii="黑体" w:eastAsia="黑体" w:hAnsi="黑体" w:hint="eastAsia"/>
          <w:b/>
          <w:sz w:val="44"/>
          <w:szCs w:val="44"/>
        </w:rPr>
        <w:t xml:space="preserve"> </w:t>
      </w:r>
      <w:r w:rsidRPr="00E103F5">
        <w:rPr>
          <w:rFonts w:ascii="黑体" w:eastAsia="黑体" w:hAnsi="黑体"/>
          <w:b/>
          <w:sz w:val="44"/>
          <w:szCs w:val="44"/>
        </w:rPr>
        <w:t>说</w:t>
      </w:r>
      <w:r w:rsidRPr="00E103F5">
        <w:rPr>
          <w:rFonts w:ascii="黑体" w:eastAsia="黑体" w:hAnsi="黑体" w:hint="eastAsia"/>
          <w:b/>
          <w:sz w:val="44"/>
          <w:szCs w:val="44"/>
        </w:rPr>
        <w:t xml:space="preserve"> </w:t>
      </w:r>
      <w:r w:rsidRPr="00E103F5">
        <w:rPr>
          <w:rFonts w:ascii="黑体" w:eastAsia="黑体" w:hAnsi="黑体"/>
          <w:b/>
          <w:sz w:val="44"/>
          <w:szCs w:val="44"/>
        </w:rPr>
        <w:t>明</w:t>
      </w:r>
    </w:p>
    <w:p w14:paraId="73BD730C" w14:textId="77777777" w:rsidR="00FE0E22" w:rsidRPr="00E103F5" w:rsidRDefault="00FE0E22">
      <w:pPr>
        <w:widowControl/>
        <w:rPr>
          <w:szCs w:val="21"/>
        </w:rPr>
      </w:pPr>
    </w:p>
    <w:p w14:paraId="45F384E0" w14:textId="77777777" w:rsidR="00FE0E22" w:rsidRPr="00E103F5" w:rsidRDefault="00FE0E22">
      <w:pPr>
        <w:widowControl/>
        <w:rPr>
          <w:szCs w:val="21"/>
        </w:rPr>
      </w:pPr>
    </w:p>
    <w:p w14:paraId="2A3D6669" w14:textId="77777777" w:rsidR="00FE0E22" w:rsidRPr="00E103F5" w:rsidRDefault="00FE0E22">
      <w:pPr>
        <w:widowControl/>
        <w:rPr>
          <w:szCs w:val="21"/>
        </w:rPr>
      </w:pPr>
    </w:p>
    <w:p w14:paraId="108E863E" w14:textId="77777777" w:rsidR="00FE0E22" w:rsidRPr="00E103F5" w:rsidRDefault="00FE0E22">
      <w:pPr>
        <w:widowControl/>
        <w:rPr>
          <w:szCs w:val="21"/>
        </w:rPr>
      </w:pPr>
    </w:p>
    <w:p w14:paraId="46C09F90" w14:textId="77777777" w:rsidR="00FE0E22" w:rsidRPr="00E103F5" w:rsidRDefault="00FE0E22">
      <w:pPr>
        <w:widowControl/>
        <w:rPr>
          <w:szCs w:val="21"/>
        </w:rPr>
      </w:pPr>
    </w:p>
    <w:p w14:paraId="66B62323" w14:textId="77777777" w:rsidR="00FE0E22" w:rsidRPr="00E103F5" w:rsidRDefault="00FE0E22">
      <w:pPr>
        <w:widowControl/>
        <w:rPr>
          <w:szCs w:val="21"/>
        </w:rPr>
      </w:pPr>
    </w:p>
    <w:p w14:paraId="746EEF05" w14:textId="77777777" w:rsidR="00FE0E22" w:rsidRPr="00E103F5" w:rsidRDefault="00FE0E22">
      <w:pPr>
        <w:widowControl/>
        <w:rPr>
          <w:szCs w:val="21"/>
        </w:rPr>
      </w:pPr>
    </w:p>
    <w:p w14:paraId="5ED495F0" w14:textId="77777777" w:rsidR="00FE0E22" w:rsidRPr="00E103F5" w:rsidRDefault="00FE0E22">
      <w:pPr>
        <w:widowControl/>
        <w:rPr>
          <w:szCs w:val="21"/>
        </w:rPr>
      </w:pPr>
    </w:p>
    <w:p w14:paraId="1C891399" w14:textId="77777777" w:rsidR="00FE0E22" w:rsidRPr="00E103F5" w:rsidRDefault="00FE0E22">
      <w:pPr>
        <w:widowControl/>
        <w:rPr>
          <w:szCs w:val="21"/>
        </w:rPr>
      </w:pPr>
    </w:p>
    <w:p w14:paraId="51C18E47" w14:textId="77777777" w:rsidR="00FE0E22" w:rsidRPr="00E103F5" w:rsidRDefault="00FE0E22">
      <w:pPr>
        <w:widowControl/>
        <w:rPr>
          <w:szCs w:val="21"/>
        </w:rPr>
      </w:pPr>
    </w:p>
    <w:p w14:paraId="097C0E64" w14:textId="77777777" w:rsidR="00FE0E22" w:rsidRPr="00E103F5" w:rsidRDefault="00FE0E22">
      <w:pPr>
        <w:widowControl/>
        <w:rPr>
          <w:szCs w:val="21"/>
        </w:rPr>
      </w:pPr>
    </w:p>
    <w:p w14:paraId="7740C893" w14:textId="77777777" w:rsidR="00FE0E22" w:rsidRPr="00E103F5" w:rsidRDefault="004255FF">
      <w:pPr>
        <w:widowControl/>
        <w:jc w:val="center"/>
        <w:rPr>
          <w:rFonts w:ascii="黑体" w:eastAsia="黑体" w:hAnsi="黑体"/>
          <w:b/>
          <w:sz w:val="32"/>
          <w:szCs w:val="32"/>
        </w:rPr>
      </w:pPr>
      <w:r w:rsidRPr="00E103F5">
        <w:rPr>
          <w:rFonts w:ascii="黑体" w:eastAsia="黑体" w:hAnsi="黑体"/>
          <w:b/>
          <w:sz w:val="32"/>
          <w:szCs w:val="32"/>
        </w:rPr>
        <w:t>标准起草组</w:t>
      </w:r>
    </w:p>
    <w:p w14:paraId="0B5B9CBA" w14:textId="77777777" w:rsidR="00FE0E22" w:rsidRPr="00E103F5" w:rsidRDefault="004255FF">
      <w:pPr>
        <w:widowControl/>
        <w:jc w:val="center"/>
        <w:rPr>
          <w:rFonts w:ascii="黑体" w:eastAsia="黑体" w:hAnsi="黑体" w:cs="Arial"/>
          <w:b/>
          <w:sz w:val="32"/>
          <w:szCs w:val="32"/>
        </w:rPr>
      </w:pPr>
      <w:r w:rsidRPr="00E103F5">
        <w:rPr>
          <w:rFonts w:ascii="黑体" w:eastAsia="黑体" w:hAnsi="黑体" w:cs="Arial"/>
          <w:b/>
          <w:sz w:val="32"/>
          <w:szCs w:val="32"/>
        </w:rPr>
        <w:t>202</w:t>
      </w:r>
      <w:r w:rsidRPr="00E103F5">
        <w:rPr>
          <w:rFonts w:ascii="黑体" w:eastAsia="黑体" w:hAnsi="黑体" w:cs="Arial" w:hint="eastAsia"/>
          <w:b/>
          <w:sz w:val="32"/>
          <w:szCs w:val="32"/>
        </w:rPr>
        <w:t>6</w:t>
      </w:r>
      <w:r w:rsidRPr="00E103F5">
        <w:rPr>
          <w:rFonts w:ascii="黑体" w:eastAsia="黑体" w:hAnsi="黑体" w:cs="Arial"/>
          <w:b/>
          <w:sz w:val="32"/>
          <w:szCs w:val="32"/>
        </w:rPr>
        <w:t>年</w:t>
      </w:r>
      <w:r w:rsidRPr="00E103F5">
        <w:rPr>
          <w:rFonts w:ascii="黑体" w:eastAsia="黑体" w:hAnsi="黑体" w:cs="Arial" w:hint="eastAsia"/>
          <w:b/>
          <w:sz w:val="32"/>
          <w:szCs w:val="32"/>
        </w:rPr>
        <w:t xml:space="preserve">4 </w:t>
      </w:r>
      <w:r w:rsidRPr="00E103F5">
        <w:rPr>
          <w:rFonts w:ascii="黑体" w:eastAsia="黑体" w:hAnsi="黑体" w:cs="Arial"/>
          <w:b/>
          <w:sz w:val="32"/>
          <w:szCs w:val="32"/>
        </w:rPr>
        <w:t>月</w:t>
      </w:r>
      <w:r w:rsidRPr="00E103F5">
        <w:rPr>
          <w:rFonts w:ascii="黑体" w:eastAsia="黑体" w:hAnsi="黑体" w:cs="Arial" w:hint="eastAsia"/>
          <w:b/>
          <w:sz w:val="32"/>
          <w:szCs w:val="32"/>
        </w:rPr>
        <w:t xml:space="preserve"> </w:t>
      </w:r>
      <w:r w:rsidRPr="00E103F5">
        <w:rPr>
          <w:rFonts w:ascii="黑体" w:eastAsia="黑体" w:hAnsi="黑体" w:cs="Arial"/>
          <w:b/>
          <w:sz w:val="32"/>
          <w:szCs w:val="32"/>
        </w:rPr>
        <w:t>1</w:t>
      </w:r>
      <w:r w:rsidRPr="00E103F5">
        <w:rPr>
          <w:rFonts w:ascii="黑体" w:eastAsia="黑体" w:hAnsi="黑体" w:cs="Arial" w:hint="eastAsia"/>
          <w:b/>
          <w:sz w:val="32"/>
          <w:szCs w:val="32"/>
        </w:rPr>
        <w:t>6</w:t>
      </w:r>
      <w:r w:rsidRPr="00E103F5">
        <w:rPr>
          <w:rFonts w:ascii="黑体" w:eastAsia="黑体" w:hAnsi="黑体" w:cs="Arial"/>
          <w:b/>
          <w:sz w:val="32"/>
          <w:szCs w:val="32"/>
        </w:rPr>
        <w:t>日</w:t>
      </w:r>
    </w:p>
    <w:p w14:paraId="54983FA5" w14:textId="77777777" w:rsidR="00FE0E22" w:rsidRPr="00E103F5" w:rsidRDefault="00FE0E22"/>
    <w:p w14:paraId="6FCE7FFE" w14:textId="77777777" w:rsidR="00FE0E22" w:rsidRPr="00E103F5" w:rsidRDefault="00FE0E22">
      <w:pPr>
        <w:sectPr w:rsidR="00FE0E22" w:rsidRPr="00E103F5">
          <w:footerReference w:type="default" r:id="rId8"/>
          <w:pgSz w:w="11906" w:h="16838"/>
          <w:pgMar w:top="1588" w:right="1814" w:bottom="1588" w:left="1814" w:header="851" w:footer="992" w:gutter="0"/>
          <w:cols w:space="425"/>
          <w:titlePg/>
          <w:docGrid w:type="lines" w:linePitch="312"/>
        </w:sectPr>
      </w:pPr>
    </w:p>
    <w:sdt>
      <w:sdtPr>
        <w:rPr>
          <w:rFonts w:ascii="Times New Roman" w:eastAsia="宋体" w:hAnsi="Times New Roman" w:cs="Times New Roman"/>
          <w:b w:val="0"/>
          <w:bCs w:val="0"/>
          <w:color w:val="auto"/>
          <w:kern w:val="2"/>
          <w:sz w:val="21"/>
          <w:szCs w:val="20"/>
          <w:lang w:val="zh-CN"/>
        </w:rPr>
        <w:id w:val="262339798"/>
        <w:docPartObj>
          <w:docPartGallery w:val="Table of Contents"/>
          <w:docPartUnique/>
        </w:docPartObj>
      </w:sdtPr>
      <w:sdtEndPr>
        <w:rPr>
          <w:rFonts w:ascii="宋体" w:hAnsi="宋体"/>
          <w:sz w:val="24"/>
          <w:szCs w:val="24"/>
          <w:lang w:val="en-US"/>
        </w:rPr>
      </w:sdtEndPr>
      <w:sdtContent>
        <w:p w14:paraId="6011386B" w14:textId="77777777" w:rsidR="00FE0E22" w:rsidRPr="00E103F5" w:rsidRDefault="004255FF">
          <w:pPr>
            <w:pStyle w:val="TOC1"/>
            <w:jc w:val="center"/>
            <w:rPr>
              <w:color w:val="auto"/>
            </w:rPr>
          </w:pPr>
          <w:r w:rsidRPr="00E103F5">
            <w:rPr>
              <w:color w:val="auto"/>
              <w:lang w:val="zh-CN"/>
            </w:rPr>
            <w:t>目</w:t>
          </w:r>
          <w:r w:rsidRPr="00E103F5">
            <w:rPr>
              <w:rFonts w:hint="eastAsia"/>
              <w:color w:val="auto"/>
              <w:lang w:val="zh-CN"/>
            </w:rPr>
            <w:t xml:space="preserve"> </w:t>
          </w:r>
          <w:r w:rsidRPr="00E103F5">
            <w:rPr>
              <w:color w:val="auto"/>
              <w:lang w:val="zh-CN"/>
            </w:rPr>
            <w:t xml:space="preserve">  </w:t>
          </w:r>
          <w:r w:rsidRPr="00E103F5">
            <w:rPr>
              <w:color w:val="auto"/>
              <w:lang w:val="zh-CN"/>
            </w:rPr>
            <w:t>录</w:t>
          </w:r>
        </w:p>
        <w:p w14:paraId="0FAE5889" w14:textId="782DD241" w:rsidR="00FE0E22" w:rsidRPr="00E103F5" w:rsidRDefault="004255FF">
          <w:pPr>
            <w:pStyle w:val="11"/>
            <w:tabs>
              <w:tab w:val="right" w:leader="dot" w:pos="8268"/>
            </w:tabs>
            <w:spacing w:line="360" w:lineRule="auto"/>
            <w:rPr>
              <w:rFonts w:ascii="宋体" w:hAnsi="宋体" w:cstheme="minorBidi"/>
              <w:b w:val="0"/>
              <w:bCs w:val="0"/>
              <w:caps w:val="0"/>
              <w:noProof/>
              <w:sz w:val="24"/>
              <w:szCs w:val="24"/>
            </w:rPr>
          </w:pPr>
          <w:r w:rsidRPr="00E103F5">
            <w:rPr>
              <w:rFonts w:ascii="宋体" w:hAnsi="宋体"/>
              <w:b w:val="0"/>
              <w:bCs w:val="0"/>
              <w:sz w:val="24"/>
              <w:szCs w:val="24"/>
            </w:rPr>
            <w:fldChar w:fldCharType="begin"/>
          </w:r>
          <w:r w:rsidRPr="00E103F5">
            <w:rPr>
              <w:rFonts w:ascii="宋体" w:hAnsi="宋体"/>
              <w:b w:val="0"/>
              <w:bCs w:val="0"/>
              <w:sz w:val="24"/>
              <w:szCs w:val="24"/>
            </w:rPr>
            <w:instrText>TOC \o "1-3" \h \z \u</w:instrText>
          </w:r>
          <w:r w:rsidRPr="00E103F5">
            <w:rPr>
              <w:rFonts w:ascii="宋体" w:hAnsi="宋体"/>
              <w:b w:val="0"/>
              <w:bCs w:val="0"/>
              <w:sz w:val="24"/>
              <w:szCs w:val="24"/>
            </w:rPr>
            <w:fldChar w:fldCharType="separate"/>
          </w:r>
          <w:hyperlink w:anchor="_Toc46098150" w:history="1">
            <w:r w:rsidRPr="00E103F5">
              <w:rPr>
                <w:rStyle w:val="af7"/>
                <w:rFonts w:ascii="宋体" w:hAnsi="宋体"/>
                <w:b w:val="0"/>
                <w:bCs w:val="0"/>
                <w:noProof/>
                <w:color w:val="auto"/>
                <w:sz w:val="24"/>
                <w:szCs w:val="24"/>
              </w:rPr>
              <w:t>一、工</w:t>
            </w:r>
            <w:r w:rsidRPr="00E103F5">
              <w:rPr>
                <w:rStyle w:val="af7"/>
                <w:rFonts w:ascii="宋体" w:hAnsi="宋体" w:cs="Arial"/>
                <w:b w:val="0"/>
                <w:bCs w:val="0"/>
                <w:noProof/>
                <w:color w:val="auto"/>
                <w:sz w:val="24"/>
                <w:szCs w:val="24"/>
              </w:rPr>
              <w:t>作简况</w:t>
            </w:r>
            <w:r w:rsidRPr="00E103F5">
              <w:rPr>
                <w:rFonts w:ascii="宋体" w:hAnsi="宋体"/>
                <w:b w:val="0"/>
                <w:bCs w:val="0"/>
                <w:noProof/>
                <w:sz w:val="24"/>
                <w:szCs w:val="24"/>
              </w:rPr>
              <w:tab/>
            </w:r>
            <w:r w:rsidRPr="00E103F5">
              <w:rPr>
                <w:rFonts w:ascii="宋体" w:hAnsi="宋体"/>
                <w:b w:val="0"/>
                <w:bCs w:val="0"/>
                <w:noProof/>
                <w:sz w:val="24"/>
                <w:szCs w:val="24"/>
              </w:rPr>
              <w:fldChar w:fldCharType="begin"/>
            </w:r>
            <w:r w:rsidRPr="00E103F5">
              <w:rPr>
                <w:rFonts w:ascii="宋体" w:hAnsi="宋体"/>
                <w:b w:val="0"/>
                <w:bCs w:val="0"/>
                <w:noProof/>
                <w:sz w:val="24"/>
                <w:szCs w:val="24"/>
              </w:rPr>
              <w:instrText xml:space="preserve"> PAGEREF _Toc46098150 \h </w:instrText>
            </w:r>
            <w:r w:rsidRPr="00E103F5">
              <w:rPr>
                <w:rFonts w:ascii="宋体" w:hAnsi="宋体"/>
                <w:b w:val="0"/>
                <w:bCs w:val="0"/>
                <w:noProof/>
                <w:sz w:val="24"/>
                <w:szCs w:val="24"/>
              </w:rPr>
            </w:r>
            <w:r w:rsidRPr="00E103F5">
              <w:rPr>
                <w:rFonts w:ascii="宋体" w:hAnsi="宋体"/>
                <w:b w:val="0"/>
                <w:bCs w:val="0"/>
                <w:noProof/>
                <w:sz w:val="24"/>
                <w:szCs w:val="24"/>
              </w:rPr>
              <w:fldChar w:fldCharType="separate"/>
            </w:r>
            <w:r w:rsidR="00F920AD">
              <w:rPr>
                <w:rFonts w:ascii="宋体" w:hAnsi="宋体"/>
                <w:b w:val="0"/>
                <w:bCs w:val="0"/>
                <w:noProof/>
                <w:sz w:val="24"/>
                <w:szCs w:val="24"/>
              </w:rPr>
              <w:t>1</w:t>
            </w:r>
            <w:r w:rsidRPr="00E103F5">
              <w:rPr>
                <w:rFonts w:ascii="宋体" w:hAnsi="宋体"/>
                <w:b w:val="0"/>
                <w:bCs w:val="0"/>
                <w:noProof/>
                <w:sz w:val="24"/>
                <w:szCs w:val="24"/>
              </w:rPr>
              <w:fldChar w:fldCharType="end"/>
            </w:r>
          </w:hyperlink>
        </w:p>
        <w:p w14:paraId="2E873652" w14:textId="2D02B6D2" w:rsidR="00FE0E22" w:rsidRPr="00E103F5" w:rsidRDefault="00694EA1">
          <w:pPr>
            <w:pStyle w:val="11"/>
            <w:tabs>
              <w:tab w:val="right" w:leader="dot" w:pos="8268"/>
            </w:tabs>
            <w:spacing w:line="360" w:lineRule="auto"/>
            <w:rPr>
              <w:rFonts w:ascii="宋体" w:hAnsi="宋体" w:cstheme="minorBidi"/>
              <w:b w:val="0"/>
              <w:bCs w:val="0"/>
              <w:caps w:val="0"/>
              <w:noProof/>
              <w:sz w:val="24"/>
              <w:szCs w:val="24"/>
            </w:rPr>
          </w:pPr>
          <w:hyperlink w:anchor="_Toc46098151" w:history="1">
            <w:r w:rsidR="004255FF" w:rsidRPr="00E103F5">
              <w:rPr>
                <w:rStyle w:val="af7"/>
                <w:rFonts w:ascii="宋体" w:hAnsi="宋体"/>
                <w:b w:val="0"/>
                <w:bCs w:val="0"/>
                <w:noProof/>
                <w:color w:val="auto"/>
                <w:sz w:val="24"/>
                <w:szCs w:val="24"/>
              </w:rPr>
              <w:t>二、标准编制原则和确定标准主要内容的依据</w:t>
            </w:r>
            <w:r w:rsidR="004255FF" w:rsidRPr="00E103F5">
              <w:rPr>
                <w:rFonts w:ascii="宋体" w:hAnsi="宋体"/>
                <w:b w:val="0"/>
                <w:bCs w:val="0"/>
                <w:noProof/>
                <w:sz w:val="24"/>
                <w:szCs w:val="24"/>
              </w:rPr>
              <w:tab/>
            </w:r>
            <w:r w:rsidR="004255FF" w:rsidRPr="00E103F5">
              <w:rPr>
                <w:rFonts w:ascii="宋体" w:hAnsi="宋体"/>
                <w:b w:val="0"/>
                <w:bCs w:val="0"/>
                <w:noProof/>
                <w:sz w:val="24"/>
                <w:szCs w:val="24"/>
              </w:rPr>
              <w:fldChar w:fldCharType="begin"/>
            </w:r>
            <w:r w:rsidR="004255FF" w:rsidRPr="00E103F5">
              <w:rPr>
                <w:rFonts w:ascii="宋体" w:hAnsi="宋体"/>
                <w:b w:val="0"/>
                <w:bCs w:val="0"/>
                <w:noProof/>
                <w:sz w:val="24"/>
                <w:szCs w:val="24"/>
              </w:rPr>
              <w:instrText xml:space="preserve"> PAGEREF _Toc46098151 \h </w:instrText>
            </w:r>
            <w:r w:rsidR="004255FF" w:rsidRPr="00E103F5">
              <w:rPr>
                <w:rFonts w:ascii="宋体" w:hAnsi="宋体"/>
                <w:b w:val="0"/>
                <w:bCs w:val="0"/>
                <w:noProof/>
                <w:sz w:val="24"/>
                <w:szCs w:val="24"/>
              </w:rPr>
            </w:r>
            <w:r w:rsidR="004255FF" w:rsidRPr="00E103F5">
              <w:rPr>
                <w:rFonts w:ascii="宋体" w:hAnsi="宋体"/>
                <w:b w:val="0"/>
                <w:bCs w:val="0"/>
                <w:noProof/>
                <w:sz w:val="24"/>
                <w:szCs w:val="24"/>
              </w:rPr>
              <w:fldChar w:fldCharType="separate"/>
            </w:r>
            <w:r w:rsidR="00F920AD">
              <w:rPr>
                <w:rFonts w:ascii="宋体" w:hAnsi="宋体"/>
                <w:b w:val="0"/>
                <w:bCs w:val="0"/>
                <w:noProof/>
                <w:sz w:val="24"/>
                <w:szCs w:val="24"/>
              </w:rPr>
              <w:t>3</w:t>
            </w:r>
            <w:r w:rsidR="004255FF" w:rsidRPr="00E103F5">
              <w:rPr>
                <w:rFonts w:ascii="宋体" w:hAnsi="宋体"/>
                <w:b w:val="0"/>
                <w:bCs w:val="0"/>
                <w:noProof/>
                <w:sz w:val="24"/>
                <w:szCs w:val="24"/>
              </w:rPr>
              <w:fldChar w:fldCharType="end"/>
            </w:r>
          </w:hyperlink>
        </w:p>
        <w:p w14:paraId="143BA442" w14:textId="2C5E3BA0" w:rsidR="00FE0E22" w:rsidRPr="00E103F5" w:rsidRDefault="00694EA1">
          <w:pPr>
            <w:pStyle w:val="11"/>
            <w:tabs>
              <w:tab w:val="right" w:leader="dot" w:pos="8268"/>
            </w:tabs>
            <w:spacing w:line="360" w:lineRule="auto"/>
            <w:rPr>
              <w:rFonts w:ascii="宋体" w:hAnsi="宋体" w:cstheme="minorBidi"/>
              <w:b w:val="0"/>
              <w:bCs w:val="0"/>
              <w:caps w:val="0"/>
              <w:noProof/>
              <w:sz w:val="24"/>
              <w:szCs w:val="24"/>
            </w:rPr>
          </w:pPr>
          <w:hyperlink w:anchor="_Toc46098152" w:history="1">
            <w:r w:rsidR="004255FF" w:rsidRPr="00E103F5">
              <w:rPr>
                <w:rStyle w:val="af7"/>
                <w:rFonts w:ascii="宋体" w:hAnsi="宋体"/>
                <w:b w:val="0"/>
                <w:bCs w:val="0"/>
                <w:noProof/>
                <w:color w:val="auto"/>
                <w:sz w:val="24"/>
                <w:szCs w:val="24"/>
              </w:rPr>
              <w:t>三、主要试验（或验证）的分析、综述报告，技术经济论证，预期的经济效果</w:t>
            </w:r>
            <w:r w:rsidR="004255FF" w:rsidRPr="00E103F5">
              <w:rPr>
                <w:rFonts w:ascii="宋体" w:hAnsi="宋体"/>
                <w:b w:val="0"/>
                <w:bCs w:val="0"/>
                <w:noProof/>
                <w:sz w:val="24"/>
                <w:szCs w:val="24"/>
              </w:rPr>
              <w:tab/>
            </w:r>
            <w:r w:rsidR="004255FF" w:rsidRPr="00E103F5">
              <w:rPr>
                <w:rFonts w:ascii="宋体" w:hAnsi="宋体"/>
                <w:b w:val="0"/>
                <w:bCs w:val="0"/>
                <w:noProof/>
                <w:sz w:val="24"/>
                <w:szCs w:val="24"/>
              </w:rPr>
              <w:fldChar w:fldCharType="begin"/>
            </w:r>
            <w:r w:rsidR="004255FF" w:rsidRPr="00E103F5">
              <w:rPr>
                <w:rFonts w:ascii="宋体" w:hAnsi="宋体"/>
                <w:b w:val="0"/>
                <w:bCs w:val="0"/>
                <w:noProof/>
                <w:sz w:val="24"/>
                <w:szCs w:val="24"/>
              </w:rPr>
              <w:instrText xml:space="preserve"> PAGEREF _Toc46098152 \h </w:instrText>
            </w:r>
            <w:r w:rsidR="004255FF" w:rsidRPr="00E103F5">
              <w:rPr>
                <w:rFonts w:ascii="宋体" w:hAnsi="宋体"/>
                <w:b w:val="0"/>
                <w:bCs w:val="0"/>
                <w:noProof/>
                <w:sz w:val="24"/>
                <w:szCs w:val="24"/>
              </w:rPr>
            </w:r>
            <w:r w:rsidR="004255FF" w:rsidRPr="00E103F5">
              <w:rPr>
                <w:rFonts w:ascii="宋体" w:hAnsi="宋体"/>
                <w:b w:val="0"/>
                <w:bCs w:val="0"/>
                <w:noProof/>
                <w:sz w:val="24"/>
                <w:szCs w:val="24"/>
              </w:rPr>
              <w:fldChar w:fldCharType="separate"/>
            </w:r>
            <w:r w:rsidR="00F920AD">
              <w:rPr>
                <w:rFonts w:ascii="宋体" w:hAnsi="宋体"/>
                <w:b w:val="0"/>
                <w:bCs w:val="0"/>
                <w:noProof/>
                <w:sz w:val="24"/>
                <w:szCs w:val="24"/>
              </w:rPr>
              <w:t>10</w:t>
            </w:r>
            <w:r w:rsidR="004255FF" w:rsidRPr="00E103F5">
              <w:rPr>
                <w:rFonts w:ascii="宋体" w:hAnsi="宋体"/>
                <w:b w:val="0"/>
                <w:bCs w:val="0"/>
                <w:noProof/>
                <w:sz w:val="24"/>
                <w:szCs w:val="24"/>
              </w:rPr>
              <w:fldChar w:fldCharType="end"/>
            </w:r>
          </w:hyperlink>
        </w:p>
        <w:p w14:paraId="4F1941DB" w14:textId="56BB6597" w:rsidR="00FE0E22" w:rsidRPr="00E103F5" w:rsidRDefault="00694EA1">
          <w:pPr>
            <w:pStyle w:val="11"/>
            <w:tabs>
              <w:tab w:val="right" w:leader="dot" w:pos="8268"/>
            </w:tabs>
            <w:spacing w:line="360" w:lineRule="auto"/>
            <w:rPr>
              <w:rFonts w:ascii="宋体" w:hAnsi="宋体" w:cstheme="minorBidi"/>
              <w:b w:val="0"/>
              <w:bCs w:val="0"/>
              <w:caps w:val="0"/>
              <w:noProof/>
              <w:sz w:val="24"/>
              <w:szCs w:val="24"/>
            </w:rPr>
          </w:pPr>
          <w:hyperlink w:anchor="_Toc46098153" w:history="1">
            <w:r w:rsidR="004255FF" w:rsidRPr="00E103F5">
              <w:rPr>
                <w:rStyle w:val="af7"/>
                <w:rFonts w:ascii="宋体" w:hAnsi="宋体"/>
                <w:b w:val="0"/>
                <w:bCs w:val="0"/>
                <w:noProof/>
                <w:color w:val="auto"/>
                <w:sz w:val="24"/>
                <w:szCs w:val="24"/>
              </w:rPr>
              <w:t>四、采用国际标准和国外先进标准的程度，以及与国际、国外同类标准水平的对比情况，或与测试的国外样品、样机的有关数据对比情况</w:t>
            </w:r>
            <w:r w:rsidR="004255FF" w:rsidRPr="00E103F5">
              <w:rPr>
                <w:rFonts w:ascii="宋体" w:hAnsi="宋体"/>
                <w:b w:val="0"/>
                <w:bCs w:val="0"/>
                <w:noProof/>
                <w:sz w:val="24"/>
                <w:szCs w:val="24"/>
              </w:rPr>
              <w:tab/>
            </w:r>
            <w:r w:rsidR="004255FF" w:rsidRPr="00E103F5">
              <w:rPr>
                <w:rFonts w:ascii="宋体" w:hAnsi="宋体"/>
                <w:b w:val="0"/>
                <w:bCs w:val="0"/>
                <w:noProof/>
                <w:sz w:val="24"/>
                <w:szCs w:val="24"/>
              </w:rPr>
              <w:fldChar w:fldCharType="begin"/>
            </w:r>
            <w:r w:rsidR="004255FF" w:rsidRPr="00E103F5">
              <w:rPr>
                <w:rFonts w:ascii="宋体" w:hAnsi="宋体"/>
                <w:b w:val="0"/>
                <w:bCs w:val="0"/>
                <w:noProof/>
                <w:sz w:val="24"/>
                <w:szCs w:val="24"/>
              </w:rPr>
              <w:instrText xml:space="preserve"> PAGEREF _Toc46098153 \h </w:instrText>
            </w:r>
            <w:r w:rsidR="004255FF" w:rsidRPr="00E103F5">
              <w:rPr>
                <w:rFonts w:ascii="宋体" w:hAnsi="宋体"/>
                <w:b w:val="0"/>
                <w:bCs w:val="0"/>
                <w:noProof/>
                <w:sz w:val="24"/>
                <w:szCs w:val="24"/>
              </w:rPr>
            </w:r>
            <w:r w:rsidR="004255FF" w:rsidRPr="00E103F5">
              <w:rPr>
                <w:rFonts w:ascii="宋体" w:hAnsi="宋体"/>
                <w:b w:val="0"/>
                <w:bCs w:val="0"/>
                <w:noProof/>
                <w:sz w:val="24"/>
                <w:szCs w:val="24"/>
              </w:rPr>
              <w:fldChar w:fldCharType="separate"/>
            </w:r>
            <w:r w:rsidR="00F920AD">
              <w:rPr>
                <w:rFonts w:ascii="宋体" w:hAnsi="宋体"/>
                <w:b w:val="0"/>
                <w:bCs w:val="0"/>
                <w:noProof/>
                <w:sz w:val="24"/>
                <w:szCs w:val="24"/>
              </w:rPr>
              <w:t>12</w:t>
            </w:r>
            <w:r w:rsidR="004255FF" w:rsidRPr="00E103F5">
              <w:rPr>
                <w:rFonts w:ascii="宋体" w:hAnsi="宋体"/>
                <w:b w:val="0"/>
                <w:bCs w:val="0"/>
                <w:noProof/>
                <w:sz w:val="24"/>
                <w:szCs w:val="24"/>
              </w:rPr>
              <w:fldChar w:fldCharType="end"/>
            </w:r>
          </w:hyperlink>
        </w:p>
        <w:p w14:paraId="17004C26" w14:textId="08D73D78" w:rsidR="00FE0E22" w:rsidRPr="00E103F5" w:rsidRDefault="00694EA1">
          <w:pPr>
            <w:pStyle w:val="11"/>
            <w:tabs>
              <w:tab w:val="right" w:leader="dot" w:pos="8268"/>
            </w:tabs>
            <w:spacing w:line="360" w:lineRule="auto"/>
            <w:rPr>
              <w:rFonts w:ascii="宋体" w:hAnsi="宋体" w:cstheme="minorBidi"/>
              <w:b w:val="0"/>
              <w:bCs w:val="0"/>
              <w:caps w:val="0"/>
              <w:noProof/>
              <w:sz w:val="24"/>
              <w:szCs w:val="24"/>
            </w:rPr>
          </w:pPr>
          <w:hyperlink w:anchor="_Toc46098154" w:history="1">
            <w:r w:rsidR="004255FF" w:rsidRPr="00E103F5">
              <w:rPr>
                <w:rStyle w:val="af7"/>
                <w:rFonts w:ascii="宋体" w:hAnsi="宋体"/>
                <w:b w:val="0"/>
                <w:bCs w:val="0"/>
                <w:noProof/>
                <w:color w:val="auto"/>
                <w:sz w:val="24"/>
                <w:szCs w:val="24"/>
              </w:rPr>
              <w:t>五、与有关的现行法律、法规和强制性标准的关系</w:t>
            </w:r>
            <w:r w:rsidR="004255FF" w:rsidRPr="00E103F5">
              <w:rPr>
                <w:rFonts w:ascii="宋体" w:hAnsi="宋体"/>
                <w:b w:val="0"/>
                <w:bCs w:val="0"/>
                <w:noProof/>
                <w:sz w:val="24"/>
                <w:szCs w:val="24"/>
              </w:rPr>
              <w:tab/>
            </w:r>
            <w:r w:rsidR="004255FF" w:rsidRPr="00E103F5">
              <w:rPr>
                <w:rFonts w:ascii="宋体" w:hAnsi="宋体"/>
                <w:b w:val="0"/>
                <w:bCs w:val="0"/>
                <w:noProof/>
                <w:sz w:val="24"/>
                <w:szCs w:val="24"/>
              </w:rPr>
              <w:fldChar w:fldCharType="begin"/>
            </w:r>
            <w:r w:rsidR="004255FF" w:rsidRPr="00E103F5">
              <w:rPr>
                <w:rFonts w:ascii="宋体" w:hAnsi="宋体"/>
                <w:b w:val="0"/>
                <w:bCs w:val="0"/>
                <w:noProof/>
                <w:sz w:val="24"/>
                <w:szCs w:val="24"/>
              </w:rPr>
              <w:instrText xml:space="preserve"> PAGEREF _Toc46098154 \h </w:instrText>
            </w:r>
            <w:r w:rsidR="004255FF" w:rsidRPr="00E103F5">
              <w:rPr>
                <w:rFonts w:ascii="宋体" w:hAnsi="宋体"/>
                <w:b w:val="0"/>
                <w:bCs w:val="0"/>
                <w:noProof/>
                <w:sz w:val="24"/>
                <w:szCs w:val="24"/>
              </w:rPr>
            </w:r>
            <w:r w:rsidR="004255FF" w:rsidRPr="00E103F5">
              <w:rPr>
                <w:rFonts w:ascii="宋体" w:hAnsi="宋体"/>
                <w:b w:val="0"/>
                <w:bCs w:val="0"/>
                <w:noProof/>
                <w:sz w:val="24"/>
                <w:szCs w:val="24"/>
              </w:rPr>
              <w:fldChar w:fldCharType="separate"/>
            </w:r>
            <w:r w:rsidR="00F920AD">
              <w:rPr>
                <w:rFonts w:ascii="宋体" w:hAnsi="宋体"/>
                <w:b w:val="0"/>
                <w:bCs w:val="0"/>
                <w:noProof/>
                <w:sz w:val="24"/>
                <w:szCs w:val="24"/>
              </w:rPr>
              <w:t>12</w:t>
            </w:r>
            <w:r w:rsidR="004255FF" w:rsidRPr="00E103F5">
              <w:rPr>
                <w:rFonts w:ascii="宋体" w:hAnsi="宋体"/>
                <w:b w:val="0"/>
                <w:bCs w:val="0"/>
                <w:noProof/>
                <w:sz w:val="24"/>
                <w:szCs w:val="24"/>
              </w:rPr>
              <w:fldChar w:fldCharType="end"/>
            </w:r>
          </w:hyperlink>
        </w:p>
        <w:p w14:paraId="0175FC44" w14:textId="5FC6B5BE" w:rsidR="00FE0E22" w:rsidRPr="00E103F5" w:rsidRDefault="00694EA1">
          <w:pPr>
            <w:pStyle w:val="11"/>
            <w:tabs>
              <w:tab w:val="right" w:leader="dot" w:pos="8268"/>
            </w:tabs>
            <w:spacing w:line="360" w:lineRule="auto"/>
            <w:rPr>
              <w:rFonts w:ascii="宋体" w:hAnsi="宋体" w:cstheme="minorBidi"/>
              <w:b w:val="0"/>
              <w:bCs w:val="0"/>
              <w:caps w:val="0"/>
              <w:noProof/>
              <w:sz w:val="24"/>
              <w:szCs w:val="24"/>
            </w:rPr>
          </w:pPr>
          <w:hyperlink w:anchor="_Toc46098155" w:history="1">
            <w:r w:rsidR="004255FF" w:rsidRPr="00E103F5">
              <w:rPr>
                <w:rStyle w:val="af7"/>
                <w:rFonts w:ascii="宋体" w:hAnsi="宋体"/>
                <w:b w:val="0"/>
                <w:bCs w:val="0"/>
                <w:noProof/>
                <w:color w:val="auto"/>
                <w:sz w:val="24"/>
                <w:szCs w:val="24"/>
              </w:rPr>
              <w:t>六、重大分歧意见的处理经过和依据</w:t>
            </w:r>
            <w:r w:rsidR="004255FF" w:rsidRPr="00E103F5">
              <w:rPr>
                <w:rFonts w:ascii="宋体" w:hAnsi="宋体"/>
                <w:b w:val="0"/>
                <w:bCs w:val="0"/>
                <w:noProof/>
                <w:sz w:val="24"/>
                <w:szCs w:val="24"/>
              </w:rPr>
              <w:tab/>
            </w:r>
            <w:r w:rsidR="004255FF" w:rsidRPr="00E103F5">
              <w:rPr>
                <w:rFonts w:ascii="宋体" w:hAnsi="宋体"/>
                <w:b w:val="0"/>
                <w:bCs w:val="0"/>
                <w:noProof/>
                <w:sz w:val="24"/>
                <w:szCs w:val="24"/>
              </w:rPr>
              <w:fldChar w:fldCharType="begin"/>
            </w:r>
            <w:r w:rsidR="004255FF" w:rsidRPr="00E103F5">
              <w:rPr>
                <w:rFonts w:ascii="宋体" w:hAnsi="宋体"/>
                <w:b w:val="0"/>
                <w:bCs w:val="0"/>
                <w:noProof/>
                <w:sz w:val="24"/>
                <w:szCs w:val="24"/>
              </w:rPr>
              <w:instrText xml:space="preserve"> PAGEREF _Toc46098155 \h </w:instrText>
            </w:r>
            <w:r w:rsidR="004255FF" w:rsidRPr="00E103F5">
              <w:rPr>
                <w:rFonts w:ascii="宋体" w:hAnsi="宋体"/>
                <w:b w:val="0"/>
                <w:bCs w:val="0"/>
                <w:noProof/>
                <w:sz w:val="24"/>
                <w:szCs w:val="24"/>
              </w:rPr>
            </w:r>
            <w:r w:rsidR="004255FF" w:rsidRPr="00E103F5">
              <w:rPr>
                <w:rFonts w:ascii="宋体" w:hAnsi="宋体"/>
                <w:b w:val="0"/>
                <w:bCs w:val="0"/>
                <w:noProof/>
                <w:sz w:val="24"/>
                <w:szCs w:val="24"/>
              </w:rPr>
              <w:fldChar w:fldCharType="separate"/>
            </w:r>
            <w:r w:rsidR="00F920AD">
              <w:rPr>
                <w:rFonts w:ascii="宋体" w:hAnsi="宋体"/>
                <w:b w:val="0"/>
                <w:bCs w:val="0"/>
                <w:noProof/>
                <w:sz w:val="24"/>
                <w:szCs w:val="24"/>
              </w:rPr>
              <w:t>12</w:t>
            </w:r>
            <w:r w:rsidR="004255FF" w:rsidRPr="00E103F5">
              <w:rPr>
                <w:rFonts w:ascii="宋体" w:hAnsi="宋体"/>
                <w:b w:val="0"/>
                <w:bCs w:val="0"/>
                <w:noProof/>
                <w:sz w:val="24"/>
                <w:szCs w:val="24"/>
              </w:rPr>
              <w:fldChar w:fldCharType="end"/>
            </w:r>
          </w:hyperlink>
        </w:p>
        <w:p w14:paraId="265B617F" w14:textId="108E2E18" w:rsidR="00FE0E22" w:rsidRPr="00E103F5" w:rsidRDefault="00694EA1">
          <w:pPr>
            <w:pStyle w:val="11"/>
            <w:tabs>
              <w:tab w:val="right" w:leader="dot" w:pos="8268"/>
            </w:tabs>
            <w:spacing w:line="360" w:lineRule="auto"/>
            <w:rPr>
              <w:rFonts w:ascii="宋体" w:hAnsi="宋体" w:cstheme="minorBidi"/>
              <w:b w:val="0"/>
              <w:bCs w:val="0"/>
              <w:caps w:val="0"/>
              <w:noProof/>
              <w:sz w:val="24"/>
              <w:szCs w:val="24"/>
            </w:rPr>
          </w:pPr>
          <w:hyperlink w:anchor="_Toc46098156" w:history="1">
            <w:r w:rsidR="004255FF" w:rsidRPr="00E103F5">
              <w:rPr>
                <w:rStyle w:val="af7"/>
                <w:rFonts w:ascii="宋体" w:hAnsi="宋体"/>
                <w:b w:val="0"/>
                <w:bCs w:val="0"/>
                <w:noProof/>
                <w:color w:val="auto"/>
                <w:sz w:val="24"/>
                <w:szCs w:val="24"/>
              </w:rPr>
              <w:t>七、贯彻标准的要求和措施建议（包括组织措施、技术措施、过渡办法等内容）</w:t>
            </w:r>
            <w:r w:rsidR="004255FF" w:rsidRPr="00E103F5">
              <w:rPr>
                <w:rFonts w:ascii="宋体" w:hAnsi="宋体"/>
                <w:b w:val="0"/>
                <w:bCs w:val="0"/>
                <w:noProof/>
                <w:sz w:val="24"/>
                <w:szCs w:val="24"/>
              </w:rPr>
              <w:tab/>
            </w:r>
            <w:r w:rsidR="004255FF" w:rsidRPr="00E103F5">
              <w:rPr>
                <w:rFonts w:ascii="宋体" w:hAnsi="宋体"/>
                <w:b w:val="0"/>
                <w:bCs w:val="0"/>
                <w:noProof/>
                <w:sz w:val="24"/>
                <w:szCs w:val="24"/>
              </w:rPr>
              <w:fldChar w:fldCharType="begin"/>
            </w:r>
            <w:r w:rsidR="004255FF" w:rsidRPr="00E103F5">
              <w:rPr>
                <w:rFonts w:ascii="宋体" w:hAnsi="宋体"/>
                <w:b w:val="0"/>
                <w:bCs w:val="0"/>
                <w:noProof/>
                <w:sz w:val="24"/>
                <w:szCs w:val="24"/>
              </w:rPr>
              <w:instrText xml:space="preserve"> PAGEREF _Toc46098156 \h </w:instrText>
            </w:r>
            <w:r w:rsidR="004255FF" w:rsidRPr="00E103F5">
              <w:rPr>
                <w:rFonts w:ascii="宋体" w:hAnsi="宋体"/>
                <w:b w:val="0"/>
                <w:bCs w:val="0"/>
                <w:noProof/>
                <w:sz w:val="24"/>
                <w:szCs w:val="24"/>
              </w:rPr>
            </w:r>
            <w:r w:rsidR="004255FF" w:rsidRPr="00E103F5">
              <w:rPr>
                <w:rFonts w:ascii="宋体" w:hAnsi="宋体"/>
                <w:b w:val="0"/>
                <w:bCs w:val="0"/>
                <w:noProof/>
                <w:sz w:val="24"/>
                <w:szCs w:val="24"/>
              </w:rPr>
              <w:fldChar w:fldCharType="separate"/>
            </w:r>
            <w:r w:rsidR="00F920AD">
              <w:rPr>
                <w:rFonts w:ascii="宋体" w:hAnsi="宋体"/>
                <w:b w:val="0"/>
                <w:bCs w:val="0"/>
                <w:noProof/>
                <w:sz w:val="24"/>
                <w:szCs w:val="24"/>
              </w:rPr>
              <w:t>12</w:t>
            </w:r>
            <w:r w:rsidR="004255FF" w:rsidRPr="00E103F5">
              <w:rPr>
                <w:rFonts w:ascii="宋体" w:hAnsi="宋体"/>
                <w:b w:val="0"/>
                <w:bCs w:val="0"/>
                <w:noProof/>
                <w:sz w:val="24"/>
                <w:szCs w:val="24"/>
              </w:rPr>
              <w:fldChar w:fldCharType="end"/>
            </w:r>
          </w:hyperlink>
        </w:p>
        <w:p w14:paraId="1AB7FFBC" w14:textId="251F46FE" w:rsidR="00FE0E22" w:rsidRPr="00E103F5" w:rsidRDefault="00694EA1">
          <w:pPr>
            <w:pStyle w:val="11"/>
            <w:tabs>
              <w:tab w:val="right" w:leader="dot" w:pos="8268"/>
            </w:tabs>
            <w:spacing w:line="360" w:lineRule="auto"/>
            <w:rPr>
              <w:rFonts w:ascii="宋体" w:hAnsi="宋体" w:cstheme="minorBidi"/>
              <w:b w:val="0"/>
              <w:bCs w:val="0"/>
              <w:caps w:val="0"/>
              <w:noProof/>
              <w:sz w:val="24"/>
              <w:szCs w:val="24"/>
            </w:rPr>
          </w:pPr>
          <w:hyperlink w:anchor="_Toc46098157" w:history="1">
            <w:r w:rsidR="004255FF" w:rsidRPr="00E103F5">
              <w:rPr>
                <w:rStyle w:val="af7"/>
                <w:rFonts w:ascii="宋体" w:hAnsi="宋体"/>
                <w:b w:val="0"/>
                <w:bCs w:val="0"/>
                <w:noProof/>
                <w:color w:val="auto"/>
                <w:sz w:val="24"/>
                <w:szCs w:val="24"/>
              </w:rPr>
              <w:t>八、废止现行有关标准的建议</w:t>
            </w:r>
            <w:r w:rsidR="004255FF" w:rsidRPr="00E103F5">
              <w:rPr>
                <w:rFonts w:ascii="宋体" w:hAnsi="宋体"/>
                <w:b w:val="0"/>
                <w:bCs w:val="0"/>
                <w:noProof/>
                <w:sz w:val="24"/>
                <w:szCs w:val="24"/>
              </w:rPr>
              <w:tab/>
            </w:r>
            <w:r w:rsidR="004255FF" w:rsidRPr="00E103F5">
              <w:rPr>
                <w:rFonts w:ascii="宋体" w:hAnsi="宋体"/>
                <w:b w:val="0"/>
                <w:bCs w:val="0"/>
                <w:noProof/>
                <w:sz w:val="24"/>
                <w:szCs w:val="24"/>
              </w:rPr>
              <w:fldChar w:fldCharType="begin"/>
            </w:r>
            <w:r w:rsidR="004255FF" w:rsidRPr="00E103F5">
              <w:rPr>
                <w:rFonts w:ascii="宋体" w:hAnsi="宋体"/>
                <w:b w:val="0"/>
                <w:bCs w:val="0"/>
                <w:noProof/>
                <w:sz w:val="24"/>
                <w:szCs w:val="24"/>
              </w:rPr>
              <w:instrText xml:space="preserve"> PAGEREF _Toc46098157 \h </w:instrText>
            </w:r>
            <w:r w:rsidR="004255FF" w:rsidRPr="00E103F5">
              <w:rPr>
                <w:rFonts w:ascii="宋体" w:hAnsi="宋体"/>
                <w:b w:val="0"/>
                <w:bCs w:val="0"/>
                <w:noProof/>
                <w:sz w:val="24"/>
                <w:szCs w:val="24"/>
              </w:rPr>
            </w:r>
            <w:r w:rsidR="004255FF" w:rsidRPr="00E103F5">
              <w:rPr>
                <w:rFonts w:ascii="宋体" w:hAnsi="宋体"/>
                <w:b w:val="0"/>
                <w:bCs w:val="0"/>
                <w:noProof/>
                <w:sz w:val="24"/>
                <w:szCs w:val="24"/>
              </w:rPr>
              <w:fldChar w:fldCharType="separate"/>
            </w:r>
            <w:r w:rsidR="00F920AD">
              <w:rPr>
                <w:rFonts w:ascii="宋体" w:hAnsi="宋体"/>
                <w:b w:val="0"/>
                <w:bCs w:val="0"/>
                <w:noProof/>
                <w:sz w:val="24"/>
                <w:szCs w:val="24"/>
              </w:rPr>
              <w:t>12</w:t>
            </w:r>
            <w:r w:rsidR="004255FF" w:rsidRPr="00E103F5">
              <w:rPr>
                <w:rFonts w:ascii="宋体" w:hAnsi="宋体"/>
                <w:b w:val="0"/>
                <w:bCs w:val="0"/>
                <w:noProof/>
                <w:sz w:val="24"/>
                <w:szCs w:val="24"/>
              </w:rPr>
              <w:fldChar w:fldCharType="end"/>
            </w:r>
          </w:hyperlink>
        </w:p>
        <w:p w14:paraId="1FDA8FED" w14:textId="7F603B09" w:rsidR="00FE0E22" w:rsidRPr="00E103F5" w:rsidRDefault="00694EA1">
          <w:pPr>
            <w:pStyle w:val="11"/>
            <w:tabs>
              <w:tab w:val="right" w:leader="dot" w:pos="8268"/>
            </w:tabs>
            <w:spacing w:line="360" w:lineRule="auto"/>
            <w:rPr>
              <w:rFonts w:ascii="宋体" w:hAnsi="宋体" w:cstheme="minorBidi"/>
              <w:b w:val="0"/>
              <w:bCs w:val="0"/>
              <w:caps w:val="0"/>
              <w:noProof/>
              <w:sz w:val="24"/>
              <w:szCs w:val="24"/>
            </w:rPr>
          </w:pPr>
          <w:hyperlink w:anchor="_Toc46098158" w:history="1">
            <w:r w:rsidR="004255FF" w:rsidRPr="00E103F5">
              <w:rPr>
                <w:rStyle w:val="af7"/>
                <w:rFonts w:ascii="宋体" w:hAnsi="宋体"/>
                <w:b w:val="0"/>
                <w:bCs w:val="0"/>
                <w:noProof/>
                <w:color w:val="auto"/>
                <w:sz w:val="24"/>
                <w:szCs w:val="24"/>
              </w:rPr>
              <w:t>九、其他应予说明的事项</w:t>
            </w:r>
            <w:r w:rsidR="004255FF" w:rsidRPr="00E103F5">
              <w:rPr>
                <w:rFonts w:ascii="宋体" w:hAnsi="宋体"/>
                <w:b w:val="0"/>
                <w:bCs w:val="0"/>
                <w:noProof/>
                <w:sz w:val="24"/>
                <w:szCs w:val="24"/>
              </w:rPr>
              <w:tab/>
            </w:r>
            <w:r w:rsidR="004255FF" w:rsidRPr="00E103F5">
              <w:rPr>
                <w:rFonts w:ascii="宋体" w:hAnsi="宋体"/>
                <w:b w:val="0"/>
                <w:bCs w:val="0"/>
                <w:noProof/>
                <w:sz w:val="24"/>
                <w:szCs w:val="24"/>
              </w:rPr>
              <w:fldChar w:fldCharType="begin"/>
            </w:r>
            <w:r w:rsidR="004255FF" w:rsidRPr="00E103F5">
              <w:rPr>
                <w:rFonts w:ascii="宋体" w:hAnsi="宋体"/>
                <w:b w:val="0"/>
                <w:bCs w:val="0"/>
                <w:noProof/>
                <w:sz w:val="24"/>
                <w:szCs w:val="24"/>
              </w:rPr>
              <w:instrText xml:space="preserve"> PAGEREF _Toc46098158 \h </w:instrText>
            </w:r>
            <w:r w:rsidR="004255FF" w:rsidRPr="00E103F5">
              <w:rPr>
                <w:rFonts w:ascii="宋体" w:hAnsi="宋体"/>
                <w:b w:val="0"/>
                <w:bCs w:val="0"/>
                <w:noProof/>
                <w:sz w:val="24"/>
                <w:szCs w:val="24"/>
              </w:rPr>
            </w:r>
            <w:r w:rsidR="004255FF" w:rsidRPr="00E103F5">
              <w:rPr>
                <w:rFonts w:ascii="宋体" w:hAnsi="宋体"/>
                <w:b w:val="0"/>
                <w:bCs w:val="0"/>
                <w:noProof/>
                <w:sz w:val="24"/>
                <w:szCs w:val="24"/>
              </w:rPr>
              <w:fldChar w:fldCharType="separate"/>
            </w:r>
            <w:r w:rsidR="00F920AD">
              <w:rPr>
                <w:rFonts w:ascii="宋体" w:hAnsi="宋体"/>
                <w:b w:val="0"/>
                <w:bCs w:val="0"/>
                <w:noProof/>
                <w:sz w:val="24"/>
                <w:szCs w:val="24"/>
              </w:rPr>
              <w:t>12</w:t>
            </w:r>
            <w:r w:rsidR="004255FF" w:rsidRPr="00E103F5">
              <w:rPr>
                <w:rFonts w:ascii="宋体" w:hAnsi="宋体"/>
                <w:b w:val="0"/>
                <w:bCs w:val="0"/>
                <w:noProof/>
                <w:sz w:val="24"/>
                <w:szCs w:val="24"/>
              </w:rPr>
              <w:fldChar w:fldCharType="end"/>
            </w:r>
          </w:hyperlink>
        </w:p>
        <w:p w14:paraId="33F10026" w14:textId="7D85DC44" w:rsidR="00FE0E22" w:rsidRPr="00F920AD" w:rsidRDefault="004255FF">
          <w:pPr>
            <w:spacing w:line="360" w:lineRule="auto"/>
            <w:rPr>
              <w:rFonts w:ascii="宋体" w:hAnsi="宋体" w:hint="eastAsia"/>
              <w:sz w:val="24"/>
              <w:szCs w:val="24"/>
            </w:rPr>
            <w:sectPr w:rsidR="00FE0E22" w:rsidRPr="00F920AD">
              <w:footerReference w:type="default" r:id="rId9"/>
              <w:pgSz w:w="11906" w:h="16838"/>
              <w:pgMar w:top="1588" w:right="1814" w:bottom="1588" w:left="1814" w:header="851" w:footer="992" w:gutter="0"/>
              <w:cols w:space="425"/>
              <w:titlePg/>
              <w:docGrid w:type="lines" w:linePitch="312"/>
            </w:sectPr>
          </w:pPr>
          <w:r w:rsidRPr="00E103F5">
            <w:rPr>
              <w:rFonts w:ascii="宋体" w:hAnsi="宋体"/>
              <w:sz w:val="24"/>
              <w:szCs w:val="24"/>
            </w:rPr>
            <w:fldChar w:fldCharType="end"/>
          </w:r>
        </w:p>
      </w:sdtContent>
    </w:sdt>
    <w:p w14:paraId="3F9F750E" w14:textId="77777777" w:rsidR="00FE0E22" w:rsidRPr="00E103F5" w:rsidRDefault="004255FF">
      <w:pPr>
        <w:spacing w:line="360" w:lineRule="auto"/>
        <w:jc w:val="center"/>
        <w:rPr>
          <w:rFonts w:asciiTheme="minorEastAsia" w:eastAsiaTheme="minorEastAsia" w:hAnsiTheme="minorEastAsia"/>
          <w:b/>
          <w:sz w:val="24"/>
          <w:szCs w:val="24"/>
        </w:rPr>
      </w:pPr>
      <w:bookmarkStart w:id="0" w:name="_Toc483660122"/>
      <w:bookmarkStart w:id="1" w:name="_Toc89252253"/>
      <w:r w:rsidRPr="00E103F5">
        <w:rPr>
          <w:rFonts w:asciiTheme="minorEastAsia" w:eastAsiaTheme="minorEastAsia" w:hAnsiTheme="minorEastAsia" w:hint="eastAsia"/>
          <w:b/>
          <w:sz w:val="24"/>
          <w:szCs w:val="24"/>
        </w:rPr>
        <w:lastRenderedPageBreak/>
        <w:t>《</w:t>
      </w:r>
      <w:r w:rsidRPr="00E103F5">
        <w:rPr>
          <w:rFonts w:asciiTheme="minorEastAsia" w:eastAsiaTheme="minorEastAsia" w:hAnsiTheme="minorEastAsia"/>
          <w:b/>
          <w:sz w:val="24"/>
          <w:szCs w:val="24"/>
        </w:rPr>
        <w:t>港口物流节点代码编制规则</w:t>
      </w:r>
      <w:r w:rsidRPr="00E103F5">
        <w:rPr>
          <w:rFonts w:asciiTheme="minorEastAsia" w:eastAsiaTheme="minorEastAsia" w:hAnsiTheme="minorEastAsia" w:hint="eastAsia"/>
          <w:b/>
          <w:sz w:val="24"/>
          <w:szCs w:val="24"/>
        </w:rPr>
        <w:t>》编制说明</w:t>
      </w:r>
    </w:p>
    <w:p w14:paraId="635A619A" w14:textId="77777777" w:rsidR="00FE0E22" w:rsidRPr="00E103F5" w:rsidRDefault="004255FF">
      <w:pPr>
        <w:spacing w:beforeLines="50" w:before="156" w:line="360" w:lineRule="auto"/>
        <w:outlineLvl w:val="0"/>
        <w:rPr>
          <w:rFonts w:asciiTheme="minorEastAsia" w:eastAsiaTheme="minorEastAsia" w:hAnsiTheme="minorEastAsia"/>
          <w:b/>
          <w:sz w:val="24"/>
          <w:szCs w:val="24"/>
        </w:rPr>
      </w:pPr>
      <w:bookmarkStart w:id="2" w:name="_Toc46098150"/>
      <w:r w:rsidRPr="00E103F5">
        <w:rPr>
          <w:rFonts w:asciiTheme="minorEastAsia" w:eastAsiaTheme="minorEastAsia" w:hAnsiTheme="minorEastAsia" w:hint="eastAsia"/>
          <w:b/>
          <w:sz w:val="24"/>
          <w:szCs w:val="24"/>
        </w:rPr>
        <w:t>一、工</w:t>
      </w:r>
      <w:r w:rsidRPr="00E103F5">
        <w:rPr>
          <w:rFonts w:asciiTheme="minorEastAsia" w:eastAsiaTheme="minorEastAsia" w:hAnsiTheme="minorEastAsia" w:cs="Arial"/>
          <w:b/>
          <w:sz w:val="24"/>
          <w:szCs w:val="24"/>
        </w:rPr>
        <w:t>作简况</w:t>
      </w:r>
      <w:bookmarkEnd w:id="0"/>
      <w:bookmarkEnd w:id="2"/>
    </w:p>
    <w:p w14:paraId="1D5F4C6E" w14:textId="77777777" w:rsidR="00FE0E22" w:rsidRPr="00E103F5" w:rsidRDefault="004255FF">
      <w:pPr>
        <w:spacing w:beforeLines="50" w:before="156" w:line="360" w:lineRule="auto"/>
        <w:outlineLvl w:val="1"/>
        <w:rPr>
          <w:rFonts w:asciiTheme="minorEastAsia" w:eastAsiaTheme="minorEastAsia" w:hAnsiTheme="minorEastAsia"/>
          <w:b/>
          <w:sz w:val="24"/>
          <w:szCs w:val="24"/>
        </w:rPr>
      </w:pPr>
      <w:bookmarkStart w:id="3" w:name="_Toc26972780"/>
      <w:bookmarkStart w:id="4" w:name="_Toc483660123"/>
      <w:r w:rsidRPr="00E103F5">
        <w:rPr>
          <w:rFonts w:asciiTheme="minorEastAsia" w:eastAsiaTheme="minorEastAsia" w:hAnsiTheme="minorEastAsia" w:hint="eastAsia"/>
          <w:b/>
          <w:sz w:val="24"/>
          <w:szCs w:val="24"/>
        </w:rPr>
        <w:t>（一）任务来源</w:t>
      </w:r>
      <w:bookmarkEnd w:id="1"/>
      <w:bookmarkEnd w:id="3"/>
      <w:bookmarkEnd w:id="4"/>
    </w:p>
    <w:p w14:paraId="3B1C6A8B" w14:textId="77777777" w:rsidR="00FE0E22" w:rsidRPr="00E103F5" w:rsidRDefault="004255FF">
      <w:pPr>
        <w:spacing w:beforeLines="50" w:before="156" w:line="360" w:lineRule="auto"/>
        <w:ind w:firstLine="435"/>
        <w:jc w:val="left"/>
        <w:rPr>
          <w:rFonts w:asciiTheme="minorEastAsia" w:eastAsiaTheme="minorEastAsia" w:hAnsiTheme="minorEastAsia"/>
          <w:sz w:val="24"/>
          <w:szCs w:val="24"/>
        </w:rPr>
      </w:pPr>
      <w:bookmarkStart w:id="5" w:name="OLE_LINK3"/>
      <w:r w:rsidRPr="00E103F5">
        <w:rPr>
          <w:rFonts w:asciiTheme="minorEastAsia" w:eastAsiaTheme="minorEastAsia" w:hAnsiTheme="minorEastAsia" w:hint="eastAsia"/>
          <w:sz w:val="24"/>
          <w:szCs w:val="24"/>
        </w:rPr>
        <w:t>团体标准《</w:t>
      </w:r>
      <w:r w:rsidRPr="00E103F5">
        <w:rPr>
          <w:rFonts w:asciiTheme="minorEastAsia" w:eastAsiaTheme="minorEastAsia" w:hAnsiTheme="minorEastAsia" w:hint="eastAsia"/>
          <w:bCs/>
          <w:sz w:val="24"/>
          <w:szCs w:val="24"/>
        </w:rPr>
        <w:t>港口物流节点代码编制规则</w:t>
      </w:r>
      <w:r w:rsidRPr="00E103F5">
        <w:rPr>
          <w:rFonts w:asciiTheme="minorEastAsia" w:eastAsiaTheme="minorEastAsia" w:hAnsiTheme="minorEastAsia" w:hint="eastAsia"/>
          <w:sz w:val="24"/>
          <w:szCs w:val="24"/>
        </w:rPr>
        <w:t>》</w:t>
      </w:r>
      <w:bookmarkEnd w:id="5"/>
      <w:r w:rsidRPr="00E103F5">
        <w:rPr>
          <w:rFonts w:asciiTheme="minorEastAsia" w:eastAsiaTheme="minorEastAsia" w:hAnsiTheme="minorEastAsia" w:hint="eastAsia"/>
          <w:sz w:val="24"/>
          <w:szCs w:val="24"/>
        </w:rPr>
        <w:t>是由上海海事大学为解决当前港口物流行业各节点编码规则不统一、信息交互不畅、管理效率待提升、行业协同困难等问题而提出，并由上海海事大学牵头编制的。</w:t>
      </w:r>
    </w:p>
    <w:p w14:paraId="6A9A4299" w14:textId="77777777" w:rsidR="00FE0E22" w:rsidRPr="00E103F5" w:rsidRDefault="004255FF">
      <w:pPr>
        <w:spacing w:beforeLines="50" w:before="156" w:line="360" w:lineRule="auto"/>
        <w:outlineLvl w:val="1"/>
        <w:rPr>
          <w:rFonts w:asciiTheme="minorEastAsia" w:eastAsiaTheme="minorEastAsia" w:hAnsiTheme="minorEastAsia"/>
          <w:b/>
          <w:sz w:val="24"/>
          <w:szCs w:val="24"/>
        </w:rPr>
      </w:pPr>
      <w:bookmarkStart w:id="6" w:name="_Toc26972781"/>
      <w:r w:rsidRPr="00E103F5">
        <w:rPr>
          <w:rFonts w:asciiTheme="minorEastAsia" w:eastAsiaTheme="minorEastAsia" w:hAnsiTheme="minorEastAsia" w:hint="eastAsia"/>
          <w:b/>
          <w:sz w:val="24"/>
          <w:szCs w:val="24"/>
        </w:rPr>
        <w:t>（二）起草单位</w:t>
      </w:r>
      <w:bookmarkEnd w:id="6"/>
    </w:p>
    <w:p w14:paraId="3AF9C4B8" w14:textId="77777777" w:rsidR="00FE0E22" w:rsidRPr="00E103F5" w:rsidRDefault="004255FF">
      <w:pPr>
        <w:spacing w:beforeLines="50" w:before="156" w:line="360" w:lineRule="auto"/>
        <w:ind w:firstLine="435"/>
        <w:jc w:val="left"/>
        <w:rPr>
          <w:rFonts w:ascii="黑体" w:eastAsia="黑体" w:hAnsi="黑体"/>
          <w:sz w:val="24"/>
          <w:szCs w:val="24"/>
        </w:rPr>
      </w:pPr>
      <w:r w:rsidRPr="00E103F5">
        <w:rPr>
          <w:rFonts w:ascii="宋体" w:hint="eastAsia"/>
          <w:sz w:val="24"/>
          <w:szCs w:val="24"/>
        </w:rPr>
        <w:t>标准编写主要由</w:t>
      </w:r>
      <w:r w:rsidRPr="00E103F5">
        <w:rPr>
          <w:rFonts w:ascii="宋体" w:hint="eastAsia"/>
          <w:bCs/>
          <w:sz w:val="24"/>
          <w:szCs w:val="24"/>
        </w:rPr>
        <w:t>上海海事大学</w:t>
      </w:r>
      <w:r w:rsidRPr="00E103F5">
        <w:rPr>
          <w:rFonts w:ascii="宋体" w:hint="eastAsia"/>
          <w:sz w:val="24"/>
          <w:szCs w:val="24"/>
        </w:rPr>
        <w:t>负责，协作单位主要为</w:t>
      </w:r>
      <w:r w:rsidRPr="00E103F5">
        <w:rPr>
          <w:rFonts w:asciiTheme="minorEastAsia" w:eastAsiaTheme="minorEastAsia" w:hAnsiTheme="minorEastAsia" w:hint="eastAsia"/>
          <w:bCs/>
          <w:sz w:val="24"/>
          <w:szCs w:val="24"/>
        </w:rPr>
        <w:t>天津港(集团)有限公司、方舟</w:t>
      </w:r>
      <w:proofErr w:type="gramStart"/>
      <w:r w:rsidRPr="00E103F5">
        <w:rPr>
          <w:rFonts w:asciiTheme="minorEastAsia" w:eastAsiaTheme="minorEastAsia" w:hAnsiTheme="minorEastAsia" w:hint="eastAsia"/>
          <w:bCs/>
          <w:sz w:val="24"/>
          <w:szCs w:val="24"/>
        </w:rPr>
        <w:t>智能港航口岸</w:t>
      </w:r>
      <w:proofErr w:type="gramEnd"/>
      <w:r w:rsidRPr="00E103F5">
        <w:rPr>
          <w:rFonts w:asciiTheme="minorEastAsia" w:eastAsiaTheme="minorEastAsia" w:hAnsiTheme="minorEastAsia" w:hint="eastAsia"/>
          <w:bCs/>
          <w:sz w:val="24"/>
          <w:szCs w:val="24"/>
        </w:rPr>
        <w:t>服务（青岛）有限公司、上海虹口数字航运创新中心、青岛远洋船员职业学院、上海航</w:t>
      </w:r>
      <w:proofErr w:type="gramStart"/>
      <w:r w:rsidRPr="00E103F5">
        <w:rPr>
          <w:rFonts w:asciiTheme="minorEastAsia" w:eastAsiaTheme="minorEastAsia" w:hAnsiTheme="minorEastAsia" w:hint="eastAsia"/>
          <w:bCs/>
          <w:sz w:val="24"/>
          <w:szCs w:val="24"/>
        </w:rPr>
        <w:t>研</w:t>
      </w:r>
      <w:proofErr w:type="gramEnd"/>
      <w:r w:rsidRPr="00E103F5">
        <w:rPr>
          <w:rFonts w:asciiTheme="minorEastAsia" w:eastAsiaTheme="minorEastAsia" w:hAnsiTheme="minorEastAsia" w:hint="eastAsia"/>
          <w:bCs/>
          <w:sz w:val="24"/>
          <w:szCs w:val="24"/>
        </w:rPr>
        <w:t>运输咨询服务有限公司、嘉通易（青岛）信息科技有限公司</w:t>
      </w:r>
      <w:r w:rsidRPr="00E103F5">
        <w:rPr>
          <w:rFonts w:ascii="宋体" w:hint="eastAsia"/>
          <w:sz w:val="24"/>
          <w:szCs w:val="24"/>
        </w:rPr>
        <w:t>。</w:t>
      </w:r>
    </w:p>
    <w:p w14:paraId="1AFC9838" w14:textId="77777777" w:rsidR="00FE0E22" w:rsidRPr="00E103F5" w:rsidRDefault="004255FF">
      <w:pPr>
        <w:spacing w:beforeLines="50" w:before="156" w:line="360" w:lineRule="auto"/>
        <w:outlineLvl w:val="1"/>
        <w:rPr>
          <w:rFonts w:asciiTheme="minorEastAsia" w:eastAsiaTheme="minorEastAsia" w:hAnsiTheme="minorEastAsia"/>
          <w:b/>
          <w:sz w:val="24"/>
          <w:szCs w:val="24"/>
        </w:rPr>
      </w:pPr>
      <w:bookmarkStart w:id="7" w:name="_Toc26972782"/>
      <w:r w:rsidRPr="00E103F5">
        <w:rPr>
          <w:rFonts w:asciiTheme="minorEastAsia" w:eastAsiaTheme="minorEastAsia" w:hAnsiTheme="minorEastAsia" w:hint="eastAsia"/>
          <w:b/>
          <w:sz w:val="24"/>
          <w:szCs w:val="24"/>
        </w:rPr>
        <w:t>（三）主要起草人及其所做的工作</w:t>
      </w:r>
      <w:bookmarkEnd w:id="7"/>
    </w:p>
    <w:p w14:paraId="4CF38139" w14:textId="77777777" w:rsidR="00FE0E22" w:rsidRPr="00E103F5" w:rsidRDefault="004255FF">
      <w:pPr>
        <w:spacing w:beforeLines="50" w:before="156" w:line="360" w:lineRule="auto"/>
        <w:ind w:firstLine="435"/>
        <w:jc w:val="left"/>
        <w:rPr>
          <w:rFonts w:ascii="宋体"/>
          <w:sz w:val="24"/>
          <w:szCs w:val="24"/>
        </w:rPr>
      </w:pPr>
      <w:r w:rsidRPr="00E103F5">
        <w:rPr>
          <w:rFonts w:ascii="宋体" w:hint="eastAsia"/>
          <w:sz w:val="24"/>
          <w:szCs w:val="24"/>
        </w:rPr>
        <w:t>标准主要起草人有</w:t>
      </w:r>
      <w:r w:rsidRPr="00E103F5">
        <w:rPr>
          <w:rFonts w:ascii="宋体"/>
          <w:sz w:val="24"/>
          <w:szCs w:val="24"/>
        </w:rPr>
        <w:t>徐凯、郭胜童、兰鹏、</w:t>
      </w:r>
      <w:r w:rsidRPr="00E103F5">
        <w:rPr>
          <w:rFonts w:ascii="宋体" w:hint="eastAsia"/>
          <w:sz w:val="24"/>
          <w:szCs w:val="24"/>
        </w:rPr>
        <w:t>徐珦</w:t>
      </w:r>
      <w:r w:rsidRPr="00E103F5">
        <w:rPr>
          <w:rFonts w:ascii="宋体"/>
          <w:sz w:val="24"/>
          <w:szCs w:val="24"/>
        </w:rPr>
        <w:t>、常柱、徐宁、张燕、真虹、张文轩</w:t>
      </w:r>
      <w:r w:rsidRPr="00E103F5">
        <w:rPr>
          <w:rFonts w:ascii="宋体" w:hint="eastAsia"/>
          <w:sz w:val="24"/>
          <w:szCs w:val="24"/>
        </w:rPr>
        <w:t>。</w:t>
      </w:r>
    </w:p>
    <w:p w14:paraId="294C2BA2" w14:textId="77777777" w:rsidR="00FE0E22" w:rsidRPr="00E103F5" w:rsidRDefault="004255FF">
      <w:pPr>
        <w:spacing w:beforeLines="50" w:before="156" w:line="360" w:lineRule="auto"/>
        <w:ind w:firstLine="435"/>
        <w:jc w:val="left"/>
        <w:rPr>
          <w:rFonts w:ascii="宋体"/>
          <w:sz w:val="24"/>
          <w:szCs w:val="24"/>
        </w:rPr>
      </w:pPr>
      <w:r w:rsidRPr="00E103F5">
        <w:rPr>
          <w:rFonts w:ascii="宋体" w:hint="eastAsia"/>
          <w:sz w:val="24"/>
          <w:szCs w:val="24"/>
        </w:rPr>
        <w:t>起草</w:t>
      </w:r>
      <w:proofErr w:type="gramStart"/>
      <w:r w:rsidRPr="00E103F5">
        <w:rPr>
          <w:rFonts w:ascii="宋体" w:hint="eastAsia"/>
          <w:sz w:val="24"/>
          <w:szCs w:val="24"/>
        </w:rPr>
        <w:t>人任务</w:t>
      </w:r>
      <w:proofErr w:type="gramEnd"/>
      <w:r w:rsidRPr="00E103F5">
        <w:rPr>
          <w:rFonts w:ascii="宋体" w:hint="eastAsia"/>
          <w:sz w:val="24"/>
          <w:szCs w:val="24"/>
        </w:rPr>
        <w:t>分工见表1.1。</w:t>
      </w:r>
    </w:p>
    <w:p w14:paraId="6A32B01A" w14:textId="77777777" w:rsidR="00FE0E22" w:rsidRPr="00E103F5" w:rsidRDefault="004255FF">
      <w:pPr>
        <w:spacing w:beforeLines="50" w:before="156" w:line="360" w:lineRule="auto"/>
        <w:jc w:val="center"/>
        <w:rPr>
          <w:rFonts w:ascii="黑体" w:eastAsia="黑体" w:hAnsi="黑体"/>
          <w:sz w:val="24"/>
          <w:szCs w:val="24"/>
        </w:rPr>
      </w:pPr>
      <w:r w:rsidRPr="00E103F5">
        <w:rPr>
          <w:rFonts w:ascii="黑体" w:eastAsia="黑体" w:hAnsi="黑体" w:hint="eastAsia"/>
          <w:sz w:val="24"/>
          <w:szCs w:val="24"/>
        </w:rPr>
        <w:t>表1.1 标准主要起草</w:t>
      </w:r>
      <w:proofErr w:type="gramStart"/>
      <w:r w:rsidRPr="00E103F5">
        <w:rPr>
          <w:rFonts w:ascii="黑体" w:eastAsia="黑体" w:hAnsi="黑体" w:hint="eastAsia"/>
          <w:sz w:val="24"/>
          <w:szCs w:val="24"/>
        </w:rPr>
        <w:t>人任务</w:t>
      </w:r>
      <w:proofErr w:type="gramEnd"/>
      <w:r w:rsidRPr="00E103F5">
        <w:rPr>
          <w:rFonts w:ascii="黑体" w:eastAsia="黑体" w:hAnsi="黑体" w:hint="eastAsia"/>
          <w:sz w:val="24"/>
          <w:szCs w:val="24"/>
        </w:rPr>
        <w:t>分工</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1841"/>
        <w:gridCol w:w="1470"/>
        <w:gridCol w:w="1262"/>
        <w:gridCol w:w="2847"/>
      </w:tblGrid>
      <w:tr w:rsidR="00E103F5" w:rsidRPr="00E103F5" w14:paraId="68A07067" w14:textId="77777777" w:rsidTr="00E95353">
        <w:tc>
          <w:tcPr>
            <w:tcW w:w="512" w:type="pct"/>
            <w:vAlign w:val="center"/>
          </w:tcPr>
          <w:p w14:paraId="359AD5E0" w14:textId="77777777" w:rsidR="00FE0E22" w:rsidRPr="00E103F5" w:rsidRDefault="004255FF" w:rsidP="00E95353">
            <w:pPr>
              <w:spacing w:beforeLines="50" w:before="156"/>
              <w:jc w:val="center"/>
              <w:rPr>
                <w:rFonts w:asciiTheme="minorEastAsia" w:eastAsiaTheme="minorEastAsia" w:hAnsiTheme="minorEastAsia"/>
                <w:szCs w:val="21"/>
              </w:rPr>
            </w:pPr>
            <w:r w:rsidRPr="00E103F5">
              <w:rPr>
                <w:rFonts w:hint="eastAsia"/>
              </w:rPr>
              <w:t>姓名</w:t>
            </w:r>
          </w:p>
        </w:tc>
        <w:tc>
          <w:tcPr>
            <w:tcW w:w="1113" w:type="pct"/>
            <w:vAlign w:val="center"/>
          </w:tcPr>
          <w:p w14:paraId="100BB298" w14:textId="77777777" w:rsidR="00FE0E22" w:rsidRPr="00E103F5" w:rsidRDefault="004255FF" w:rsidP="00E95353">
            <w:pPr>
              <w:spacing w:beforeLines="50" w:before="156"/>
              <w:jc w:val="center"/>
              <w:rPr>
                <w:rFonts w:asciiTheme="minorEastAsia" w:eastAsiaTheme="minorEastAsia" w:hAnsiTheme="minorEastAsia"/>
                <w:szCs w:val="21"/>
              </w:rPr>
            </w:pPr>
            <w:r w:rsidRPr="00E103F5">
              <w:rPr>
                <w:rFonts w:hint="eastAsia"/>
              </w:rPr>
              <w:t>工作单位</w:t>
            </w:r>
          </w:p>
        </w:tc>
        <w:tc>
          <w:tcPr>
            <w:tcW w:w="889" w:type="pct"/>
            <w:vAlign w:val="center"/>
          </w:tcPr>
          <w:p w14:paraId="2BCF17E2" w14:textId="77777777" w:rsidR="00FE0E22" w:rsidRPr="00E103F5" w:rsidRDefault="004255FF" w:rsidP="00E95353">
            <w:pPr>
              <w:spacing w:beforeLines="50" w:before="156"/>
              <w:jc w:val="center"/>
              <w:rPr>
                <w:rFonts w:asciiTheme="minorEastAsia" w:eastAsiaTheme="minorEastAsia" w:hAnsiTheme="minorEastAsia"/>
                <w:szCs w:val="21"/>
              </w:rPr>
            </w:pPr>
            <w:r w:rsidRPr="00E103F5">
              <w:rPr>
                <w:rFonts w:hint="eastAsia"/>
              </w:rPr>
              <w:t>职称</w:t>
            </w:r>
            <w:r w:rsidRPr="00E103F5">
              <w:rPr>
                <w:rFonts w:hint="eastAsia"/>
              </w:rPr>
              <w:t>/</w:t>
            </w:r>
            <w:r w:rsidRPr="00E103F5">
              <w:rPr>
                <w:rFonts w:hint="eastAsia"/>
              </w:rPr>
              <w:t>职务</w:t>
            </w:r>
          </w:p>
        </w:tc>
        <w:tc>
          <w:tcPr>
            <w:tcW w:w="763" w:type="pct"/>
            <w:vAlign w:val="center"/>
          </w:tcPr>
          <w:p w14:paraId="42D40873" w14:textId="77777777" w:rsidR="00FE0E22" w:rsidRPr="00E103F5" w:rsidRDefault="004255FF" w:rsidP="00E95353">
            <w:pPr>
              <w:spacing w:beforeLines="50" w:before="156"/>
              <w:jc w:val="center"/>
              <w:rPr>
                <w:rFonts w:asciiTheme="minorEastAsia" w:eastAsiaTheme="minorEastAsia" w:hAnsiTheme="minorEastAsia"/>
                <w:szCs w:val="21"/>
              </w:rPr>
            </w:pPr>
            <w:r w:rsidRPr="00E103F5">
              <w:rPr>
                <w:rFonts w:hint="eastAsia"/>
              </w:rPr>
              <w:t>从事专业</w:t>
            </w:r>
          </w:p>
        </w:tc>
        <w:tc>
          <w:tcPr>
            <w:tcW w:w="1721" w:type="pct"/>
            <w:vAlign w:val="center"/>
          </w:tcPr>
          <w:p w14:paraId="5B550B54" w14:textId="77777777" w:rsidR="00FE0E22" w:rsidRPr="00E103F5" w:rsidRDefault="004255FF" w:rsidP="00E95353">
            <w:pPr>
              <w:spacing w:beforeLines="50" w:before="156"/>
              <w:jc w:val="center"/>
              <w:rPr>
                <w:rFonts w:asciiTheme="minorEastAsia" w:eastAsiaTheme="minorEastAsia" w:hAnsiTheme="minorEastAsia"/>
                <w:szCs w:val="21"/>
              </w:rPr>
            </w:pPr>
            <w:r w:rsidRPr="00E103F5">
              <w:rPr>
                <w:rFonts w:hint="eastAsia"/>
              </w:rPr>
              <w:t>分工</w:t>
            </w:r>
          </w:p>
        </w:tc>
      </w:tr>
      <w:tr w:rsidR="00E103F5" w:rsidRPr="00E103F5" w14:paraId="5AB36A3D" w14:textId="77777777" w:rsidTr="00E95353">
        <w:trPr>
          <w:trHeight w:val="1078"/>
        </w:trPr>
        <w:tc>
          <w:tcPr>
            <w:tcW w:w="512" w:type="pct"/>
            <w:vAlign w:val="center"/>
          </w:tcPr>
          <w:p w14:paraId="6E0505EB" w14:textId="77777777" w:rsidR="00FE0E22" w:rsidRPr="00E103F5" w:rsidRDefault="004255FF" w:rsidP="00E95353">
            <w:pPr>
              <w:spacing w:beforeLines="50" w:before="156"/>
              <w:jc w:val="center"/>
              <w:rPr>
                <w:rFonts w:asciiTheme="minorEastAsia" w:eastAsiaTheme="minorEastAsia" w:hAnsiTheme="minorEastAsia"/>
                <w:szCs w:val="21"/>
              </w:rPr>
            </w:pPr>
            <w:r w:rsidRPr="00E103F5">
              <w:rPr>
                <w:rFonts w:hint="eastAsia"/>
              </w:rPr>
              <w:t>徐凯</w:t>
            </w:r>
          </w:p>
        </w:tc>
        <w:tc>
          <w:tcPr>
            <w:tcW w:w="1113" w:type="pct"/>
            <w:vAlign w:val="center"/>
          </w:tcPr>
          <w:p w14:paraId="51C0F4CB" w14:textId="77777777" w:rsidR="00FE0E22" w:rsidRPr="00E103F5" w:rsidRDefault="004255FF" w:rsidP="00E95353">
            <w:pPr>
              <w:spacing w:beforeLines="50" w:before="156"/>
              <w:jc w:val="center"/>
              <w:rPr>
                <w:rFonts w:asciiTheme="minorEastAsia" w:eastAsiaTheme="minorEastAsia" w:hAnsiTheme="minorEastAsia"/>
                <w:szCs w:val="21"/>
              </w:rPr>
            </w:pPr>
            <w:r w:rsidRPr="00E103F5">
              <w:rPr>
                <w:rFonts w:hint="eastAsia"/>
              </w:rPr>
              <w:t>上海海事大学</w:t>
            </w:r>
          </w:p>
        </w:tc>
        <w:tc>
          <w:tcPr>
            <w:tcW w:w="889" w:type="pct"/>
            <w:vAlign w:val="center"/>
          </w:tcPr>
          <w:p w14:paraId="727BE34A" w14:textId="77777777" w:rsidR="00FE0E22" w:rsidRPr="00E103F5" w:rsidRDefault="004255FF" w:rsidP="00E95353">
            <w:pPr>
              <w:spacing w:beforeLines="50" w:before="156"/>
              <w:jc w:val="center"/>
              <w:rPr>
                <w:rFonts w:asciiTheme="minorEastAsia" w:eastAsiaTheme="minorEastAsia" w:hAnsiTheme="minorEastAsia"/>
                <w:szCs w:val="21"/>
              </w:rPr>
            </w:pPr>
            <w:r w:rsidRPr="00E103F5">
              <w:rPr>
                <w:rFonts w:hint="eastAsia"/>
              </w:rPr>
              <w:t>高级工程师</w:t>
            </w:r>
          </w:p>
        </w:tc>
        <w:tc>
          <w:tcPr>
            <w:tcW w:w="763" w:type="pct"/>
            <w:vAlign w:val="center"/>
          </w:tcPr>
          <w:p w14:paraId="15CB7C08" w14:textId="77777777" w:rsidR="00FE0E22" w:rsidRPr="00E103F5" w:rsidRDefault="004255FF" w:rsidP="00E95353">
            <w:pPr>
              <w:spacing w:beforeLines="50" w:before="156"/>
              <w:jc w:val="center"/>
              <w:rPr>
                <w:rFonts w:asciiTheme="minorEastAsia" w:eastAsiaTheme="minorEastAsia" w:hAnsiTheme="minorEastAsia"/>
                <w:szCs w:val="21"/>
              </w:rPr>
            </w:pPr>
            <w:r w:rsidRPr="00E103F5">
              <w:rPr>
                <w:rFonts w:hint="eastAsia"/>
              </w:rPr>
              <w:t>港航信息化</w:t>
            </w:r>
          </w:p>
        </w:tc>
        <w:tc>
          <w:tcPr>
            <w:tcW w:w="1721" w:type="pct"/>
            <w:vAlign w:val="center"/>
          </w:tcPr>
          <w:p w14:paraId="3A61F2FB" w14:textId="77777777" w:rsidR="00FE0E22" w:rsidRPr="00E103F5" w:rsidRDefault="004255FF" w:rsidP="00E95353">
            <w:pPr>
              <w:spacing w:beforeLines="50" w:before="156"/>
              <w:jc w:val="center"/>
              <w:rPr>
                <w:rFonts w:asciiTheme="minorEastAsia" w:eastAsiaTheme="minorEastAsia" w:hAnsiTheme="minorEastAsia"/>
                <w:szCs w:val="21"/>
              </w:rPr>
            </w:pPr>
            <w:r w:rsidRPr="00E103F5">
              <w:rPr>
                <w:rFonts w:hint="eastAsia"/>
              </w:rPr>
              <w:t>负责标准编制总体组织与协调，统筹各参与单位分工与进度安排。</w:t>
            </w:r>
          </w:p>
        </w:tc>
      </w:tr>
      <w:tr w:rsidR="00E103F5" w:rsidRPr="00E103F5" w14:paraId="07891EB9" w14:textId="77777777" w:rsidTr="00E95353">
        <w:tc>
          <w:tcPr>
            <w:tcW w:w="512" w:type="pct"/>
            <w:vAlign w:val="center"/>
          </w:tcPr>
          <w:p w14:paraId="2FFF84F2" w14:textId="77777777" w:rsidR="00FE0E22" w:rsidRPr="00E103F5" w:rsidRDefault="004255FF" w:rsidP="00E95353">
            <w:pPr>
              <w:spacing w:beforeLines="50" w:before="156"/>
              <w:jc w:val="center"/>
              <w:rPr>
                <w:rFonts w:asciiTheme="minorEastAsia" w:eastAsiaTheme="minorEastAsia" w:hAnsiTheme="minorEastAsia"/>
                <w:szCs w:val="21"/>
              </w:rPr>
            </w:pPr>
            <w:r w:rsidRPr="00E103F5">
              <w:rPr>
                <w:rFonts w:hint="eastAsia"/>
              </w:rPr>
              <w:t>郭胜童</w:t>
            </w:r>
          </w:p>
        </w:tc>
        <w:tc>
          <w:tcPr>
            <w:tcW w:w="1113" w:type="pct"/>
            <w:vAlign w:val="center"/>
          </w:tcPr>
          <w:p w14:paraId="789C0922" w14:textId="77777777" w:rsidR="00FE0E22" w:rsidRPr="00E103F5" w:rsidRDefault="004255FF" w:rsidP="00E95353">
            <w:pPr>
              <w:spacing w:beforeLines="50" w:before="156"/>
              <w:jc w:val="center"/>
              <w:rPr>
                <w:rFonts w:asciiTheme="minorEastAsia" w:eastAsiaTheme="minorEastAsia" w:hAnsiTheme="minorEastAsia"/>
                <w:szCs w:val="21"/>
              </w:rPr>
            </w:pPr>
            <w:r w:rsidRPr="00E103F5">
              <w:rPr>
                <w:rFonts w:hint="eastAsia"/>
              </w:rPr>
              <w:t>上海海事大学</w:t>
            </w:r>
          </w:p>
        </w:tc>
        <w:tc>
          <w:tcPr>
            <w:tcW w:w="889" w:type="pct"/>
            <w:vAlign w:val="center"/>
          </w:tcPr>
          <w:p w14:paraId="151759A9" w14:textId="77777777" w:rsidR="00FE0E22" w:rsidRPr="00E103F5" w:rsidRDefault="004255FF" w:rsidP="00E95353">
            <w:pPr>
              <w:spacing w:beforeLines="50" w:before="156"/>
              <w:jc w:val="center"/>
              <w:rPr>
                <w:rFonts w:asciiTheme="minorEastAsia" w:eastAsiaTheme="minorEastAsia" w:hAnsiTheme="minorEastAsia"/>
                <w:szCs w:val="21"/>
              </w:rPr>
            </w:pPr>
            <w:r w:rsidRPr="00E103F5">
              <w:rPr>
                <w:rFonts w:hint="eastAsia"/>
              </w:rPr>
              <w:t>副研究员</w:t>
            </w:r>
          </w:p>
        </w:tc>
        <w:tc>
          <w:tcPr>
            <w:tcW w:w="763" w:type="pct"/>
            <w:vAlign w:val="center"/>
          </w:tcPr>
          <w:p w14:paraId="3BD7690F" w14:textId="77777777" w:rsidR="00FE0E22" w:rsidRPr="00E103F5" w:rsidRDefault="004255FF" w:rsidP="00E95353">
            <w:pPr>
              <w:spacing w:beforeLines="50" w:before="156"/>
              <w:jc w:val="center"/>
              <w:rPr>
                <w:rFonts w:asciiTheme="minorEastAsia" w:eastAsiaTheme="minorEastAsia" w:hAnsiTheme="minorEastAsia"/>
                <w:szCs w:val="21"/>
              </w:rPr>
            </w:pPr>
            <w:r w:rsidRPr="00E103F5">
              <w:rPr>
                <w:rFonts w:hint="eastAsia"/>
              </w:rPr>
              <w:t>港航信息化</w:t>
            </w:r>
          </w:p>
        </w:tc>
        <w:tc>
          <w:tcPr>
            <w:tcW w:w="1721" w:type="pct"/>
            <w:vAlign w:val="center"/>
          </w:tcPr>
          <w:p w14:paraId="51E634EC" w14:textId="77777777" w:rsidR="00FE0E22" w:rsidRPr="00E103F5" w:rsidRDefault="004255FF" w:rsidP="00E95353">
            <w:pPr>
              <w:spacing w:beforeLines="50" w:before="156"/>
              <w:jc w:val="center"/>
              <w:rPr>
                <w:rFonts w:asciiTheme="minorEastAsia" w:eastAsiaTheme="minorEastAsia" w:hAnsiTheme="minorEastAsia"/>
                <w:szCs w:val="21"/>
              </w:rPr>
            </w:pPr>
            <w:r w:rsidRPr="00E103F5">
              <w:rPr>
                <w:rFonts w:asciiTheme="minorEastAsia" w:eastAsiaTheme="minorEastAsia" w:hAnsiTheme="minorEastAsia" w:hint="eastAsia"/>
                <w:szCs w:val="21"/>
              </w:rPr>
              <w:t>标准结构、框架、要素审核及相关技术审核。</w:t>
            </w:r>
          </w:p>
        </w:tc>
      </w:tr>
      <w:tr w:rsidR="00E103F5" w:rsidRPr="00E103F5" w14:paraId="211C0FC4" w14:textId="77777777" w:rsidTr="00E95353">
        <w:tc>
          <w:tcPr>
            <w:tcW w:w="512" w:type="pct"/>
            <w:vAlign w:val="center"/>
          </w:tcPr>
          <w:p w14:paraId="2F9D3756" w14:textId="77777777" w:rsidR="00FE0E22" w:rsidRPr="00E103F5" w:rsidRDefault="004255FF" w:rsidP="00E95353">
            <w:pPr>
              <w:spacing w:beforeLines="50" w:before="156"/>
              <w:jc w:val="center"/>
              <w:rPr>
                <w:rFonts w:asciiTheme="minorEastAsia" w:eastAsiaTheme="minorEastAsia" w:hAnsiTheme="minorEastAsia"/>
                <w:szCs w:val="21"/>
              </w:rPr>
            </w:pPr>
            <w:r w:rsidRPr="00E103F5">
              <w:rPr>
                <w:rFonts w:hint="eastAsia"/>
              </w:rPr>
              <w:t>兰鹏</w:t>
            </w:r>
          </w:p>
        </w:tc>
        <w:tc>
          <w:tcPr>
            <w:tcW w:w="1113" w:type="pct"/>
            <w:vAlign w:val="center"/>
          </w:tcPr>
          <w:p w14:paraId="70918E85" w14:textId="77777777" w:rsidR="00FE0E22" w:rsidRPr="00E103F5" w:rsidRDefault="004255FF" w:rsidP="00E95353">
            <w:pPr>
              <w:spacing w:beforeLines="50" w:before="156"/>
              <w:jc w:val="center"/>
              <w:rPr>
                <w:rFonts w:asciiTheme="minorEastAsia" w:eastAsiaTheme="minorEastAsia" w:hAnsiTheme="minorEastAsia"/>
                <w:szCs w:val="21"/>
              </w:rPr>
            </w:pPr>
            <w:r w:rsidRPr="00E103F5">
              <w:rPr>
                <w:rFonts w:hint="eastAsia"/>
              </w:rPr>
              <w:t>天津港</w:t>
            </w:r>
            <w:r w:rsidRPr="00E103F5">
              <w:rPr>
                <w:rFonts w:hint="eastAsia"/>
              </w:rPr>
              <w:t>(</w:t>
            </w:r>
            <w:r w:rsidRPr="00E103F5">
              <w:rPr>
                <w:rFonts w:hint="eastAsia"/>
              </w:rPr>
              <w:t>集团</w:t>
            </w:r>
            <w:r w:rsidRPr="00E103F5">
              <w:rPr>
                <w:rFonts w:hint="eastAsia"/>
              </w:rPr>
              <w:t>)</w:t>
            </w:r>
            <w:r w:rsidRPr="00E103F5">
              <w:rPr>
                <w:rFonts w:hint="eastAsia"/>
              </w:rPr>
              <w:t>有限公司</w:t>
            </w:r>
          </w:p>
        </w:tc>
        <w:tc>
          <w:tcPr>
            <w:tcW w:w="889" w:type="pct"/>
            <w:vAlign w:val="center"/>
          </w:tcPr>
          <w:p w14:paraId="20A10703" w14:textId="77777777" w:rsidR="00FE0E22" w:rsidRPr="00E103F5" w:rsidRDefault="004255FF" w:rsidP="00E95353">
            <w:pPr>
              <w:spacing w:beforeLines="50" w:before="156"/>
              <w:jc w:val="center"/>
              <w:rPr>
                <w:rFonts w:asciiTheme="minorEastAsia" w:eastAsiaTheme="minorEastAsia" w:hAnsiTheme="minorEastAsia"/>
                <w:szCs w:val="21"/>
              </w:rPr>
            </w:pPr>
            <w:r w:rsidRPr="00E103F5">
              <w:rPr>
                <w:rFonts w:hint="eastAsia"/>
              </w:rPr>
              <w:t>规划架构管理经理</w:t>
            </w:r>
          </w:p>
        </w:tc>
        <w:tc>
          <w:tcPr>
            <w:tcW w:w="763" w:type="pct"/>
            <w:vAlign w:val="center"/>
          </w:tcPr>
          <w:p w14:paraId="440AF324" w14:textId="77777777" w:rsidR="00FE0E22" w:rsidRPr="00E103F5" w:rsidRDefault="004255FF" w:rsidP="00E95353">
            <w:pPr>
              <w:spacing w:beforeLines="50" w:before="156"/>
              <w:jc w:val="center"/>
              <w:rPr>
                <w:rFonts w:asciiTheme="minorEastAsia" w:eastAsiaTheme="minorEastAsia" w:hAnsiTheme="minorEastAsia"/>
                <w:szCs w:val="21"/>
              </w:rPr>
            </w:pPr>
            <w:r w:rsidRPr="00E103F5">
              <w:rPr>
                <w:rFonts w:hint="eastAsia"/>
              </w:rPr>
              <w:t>港口数字化</w:t>
            </w:r>
          </w:p>
        </w:tc>
        <w:tc>
          <w:tcPr>
            <w:tcW w:w="1721" w:type="pct"/>
            <w:vAlign w:val="center"/>
          </w:tcPr>
          <w:p w14:paraId="38F78DFD" w14:textId="77777777" w:rsidR="00FE0E22" w:rsidRPr="00E103F5" w:rsidRDefault="004255FF" w:rsidP="00E95353">
            <w:pPr>
              <w:spacing w:beforeLines="50" w:before="156"/>
              <w:jc w:val="center"/>
              <w:rPr>
                <w:rFonts w:asciiTheme="minorEastAsia" w:eastAsiaTheme="minorEastAsia" w:hAnsiTheme="minorEastAsia"/>
                <w:szCs w:val="21"/>
              </w:rPr>
            </w:pPr>
            <w:r w:rsidRPr="00E103F5">
              <w:rPr>
                <w:rFonts w:asciiTheme="minorEastAsia" w:eastAsiaTheme="minorEastAsia" w:hAnsiTheme="minorEastAsia" w:hint="eastAsia"/>
                <w:szCs w:val="21"/>
              </w:rPr>
              <w:t>第5章“编制规则”中代码结构设计及应用逻辑的研究与编写。</w:t>
            </w:r>
          </w:p>
        </w:tc>
      </w:tr>
      <w:tr w:rsidR="00E103F5" w:rsidRPr="00E103F5" w14:paraId="255C78CC" w14:textId="77777777" w:rsidTr="00E95353">
        <w:tc>
          <w:tcPr>
            <w:tcW w:w="512" w:type="pct"/>
            <w:vAlign w:val="center"/>
          </w:tcPr>
          <w:p w14:paraId="2B3528D2" w14:textId="77777777" w:rsidR="00FE0E22" w:rsidRPr="00E103F5" w:rsidRDefault="004255FF" w:rsidP="00E95353">
            <w:pPr>
              <w:spacing w:beforeLines="50" w:before="156"/>
              <w:jc w:val="center"/>
              <w:rPr>
                <w:rFonts w:asciiTheme="minorEastAsia" w:eastAsiaTheme="minorEastAsia" w:hAnsiTheme="minorEastAsia"/>
                <w:szCs w:val="21"/>
              </w:rPr>
            </w:pPr>
            <w:r w:rsidRPr="00E103F5">
              <w:rPr>
                <w:rFonts w:hint="eastAsia"/>
              </w:rPr>
              <w:t>徐珦</w:t>
            </w:r>
          </w:p>
        </w:tc>
        <w:tc>
          <w:tcPr>
            <w:tcW w:w="1113" w:type="pct"/>
            <w:vAlign w:val="center"/>
          </w:tcPr>
          <w:p w14:paraId="316BC573" w14:textId="77777777" w:rsidR="00FE0E22" w:rsidRPr="00E103F5" w:rsidRDefault="004255FF" w:rsidP="00E95353">
            <w:pPr>
              <w:spacing w:beforeLines="50" w:before="156"/>
              <w:jc w:val="center"/>
              <w:rPr>
                <w:rFonts w:asciiTheme="minorEastAsia" w:eastAsiaTheme="minorEastAsia" w:hAnsiTheme="minorEastAsia"/>
                <w:szCs w:val="21"/>
              </w:rPr>
            </w:pPr>
            <w:r w:rsidRPr="00E103F5">
              <w:rPr>
                <w:rFonts w:hint="eastAsia"/>
              </w:rPr>
              <w:t>方舟</w:t>
            </w:r>
            <w:proofErr w:type="gramStart"/>
            <w:r w:rsidRPr="00E103F5">
              <w:rPr>
                <w:rFonts w:hint="eastAsia"/>
              </w:rPr>
              <w:t>智能港航口岸</w:t>
            </w:r>
            <w:proofErr w:type="gramEnd"/>
            <w:r w:rsidRPr="00E103F5">
              <w:rPr>
                <w:rFonts w:hint="eastAsia"/>
              </w:rPr>
              <w:t>服务（青岛）有限公司</w:t>
            </w:r>
          </w:p>
        </w:tc>
        <w:tc>
          <w:tcPr>
            <w:tcW w:w="889" w:type="pct"/>
            <w:vAlign w:val="center"/>
          </w:tcPr>
          <w:p w14:paraId="0E82995B" w14:textId="77777777" w:rsidR="00FE0E22" w:rsidRPr="00E103F5" w:rsidRDefault="004255FF" w:rsidP="00E95353">
            <w:pPr>
              <w:spacing w:beforeLines="50" w:before="156"/>
              <w:jc w:val="center"/>
              <w:rPr>
                <w:rFonts w:asciiTheme="minorEastAsia" w:eastAsiaTheme="minorEastAsia" w:hAnsiTheme="minorEastAsia"/>
                <w:szCs w:val="21"/>
              </w:rPr>
            </w:pPr>
            <w:r w:rsidRPr="00E103F5">
              <w:rPr>
                <w:rFonts w:hint="eastAsia"/>
              </w:rPr>
              <w:t>总经理</w:t>
            </w:r>
          </w:p>
        </w:tc>
        <w:tc>
          <w:tcPr>
            <w:tcW w:w="763" w:type="pct"/>
            <w:vAlign w:val="center"/>
          </w:tcPr>
          <w:p w14:paraId="434203F6" w14:textId="77777777" w:rsidR="00FE0E22" w:rsidRPr="00E103F5" w:rsidRDefault="004255FF" w:rsidP="00E95353">
            <w:pPr>
              <w:spacing w:beforeLines="50" w:before="156"/>
              <w:jc w:val="center"/>
              <w:rPr>
                <w:rFonts w:asciiTheme="minorEastAsia" w:eastAsiaTheme="minorEastAsia" w:hAnsiTheme="minorEastAsia"/>
                <w:szCs w:val="21"/>
              </w:rPr>
            </w:pPr>
            <w:r w:rsidRPr="00E103F5">
              <w:rPr>
                <w:rFonts w:hint="eastAsia"/>
              </w:rPr>
              <w:t>港口数字化</w:t>
            </w:r>
          </w:p>
        </w:tc>
        <w:tc>
          <w:tcPr>
            <w:tcW w:w="1721" w:type="pct"/>
            <w:vAlign w:val="center"/>
          </w:tcPr>
          <w:p w14:paraId="569ECE48" w14:textId="77777777" w:rsidR="00FE0E22" w:rsidRPr="00E103F5" w:rsidRDefault="004255FF" w:rsidP="00E95353">
            <w:pPr>
              <w:spacing w:beforeLines="50" w:before="156"/>
              <w:jc w:val="center"/>
              <w:rPr>
                <w:rFonts w:asciiTheme="minorEastAsia" w:eastAsiaTheme="minorEastAsia" w:hAnsiTheme="minorEastAsia"/>
                <w:szCs w:val="21"/>
              </w:rPr>
            </w:pPr>
            <w:r w:rsidRPr="00E103F5">
              <w:rPr>
                <w:rFonts w:asciiTheme="minorEastAsia" w:eastAsiaTheme="minorEastAsia" w:hAnsiTheme="minorEastAsia" w:hint="eastAsia"/>
                <w:szCs w:val="21"/>
              </w:rPr>
              <w:t>第5章“编制规则”内容的设计，参与编码规则在实际业务中的可行研究。</w:t>
            </w:r>
          </w:p>
        </w:tc>
      </w:tr>
      <w:tr w:rsidR="00E103F5" w:rsidRPr="00E103F5" w14:paraId="59291FAD" w14:textId="77777777" w:rsidTr="00E95353">
        <w:tc>
          <w:tcPr>
            <w:tcW w:w="512" w:type="pct"/>
            <w:vAlign w:val="center"/>
          </w:tcPr>
          <w:p w14:paraId="6792FF60" w14:textId="77777777" w:rsidR="00FE0E22" w:rsidRPr="00E103F5" w:rsidRDefault="004255FF" w:rsidP="00E95353">
            <w:pPr>
              <w:spacing w:beforeLines="50" w:before="156"/>
              <w:jc w:val="center"/>
              <w:rPr>
                <w:rFonts w:asciiTheme="minorEastAsia" w:eastAsiaTheme="minorEastAsia" w:hAnsiTheme="minorEastAsia"/>
                <w:szCs w:val="21"/>
              </w:rPr>
            </w:pPr>
            <w:r w:rsidRPr="00E103F5">
              <w:rPr>
                <w:rFonts w:hint="eastAsia"/>
              </w:rPr>
              <w:lastRenderedPageBreak/>
              <w:t>常柱</w:t>
            </w:r>
          </w:p>
        </w:tc>
        <w:tc>
          <w:tcPr>
            <w:tcW w:w="1113" w:type="pct"/>
            <w:vAlign w:val="center"/>
          </w:tcPr>
          <w:p w14:paraId="0D5BFAD7" w14:textId="77777777" w:rsidR="00FE0E22" w:rsidRPr="00E103F5" w:rsidRDefault="004255FF" w:rsidP="00E95353">
            <w:pPr>
              <w:spacing w:beforeLines="50" w:before="156"/>
              <w:jc w:val="center"/>
              <w:rPr>
                <w:rFonts w:asciiTheme="minorEastAsia" w:eastAsiaTheme="minorEastAsia" w:hAnsiTheme="minorEastAsia"/>
                <w:szCs w:val="21"/>
              </w:rPr>
            </w:pPr>
            <w:r w:rsidRPr="00E103F5">
              <w:rPr>
                <w:rFonts w:hint="eastAsia"/>
              </w:rPr>
              <w:t>上海虹口数字航运创新中心</w:t>
            </w:r>
          </w:p>
        </w:tc>
        <w:tc>
          <w:tcPr>
            <w:tcW w:w="889" w:type="pct"/>
            <w:vAlign w:val="center"/>
          </w:tcPr>
          <w:p w14:paraId="1CB2D257" w14:textId="77777777" w:rsidR="00FE0E22" w:rsidRPr="00E103F5" w:rsidRDefault="004255FF" w:rsidP="00E95353">
            <w:pPr>
              <w:spacing w:beforeLines="50" w:before="156"/>
              <w:jc w:val="center"/>
              <w:rPr>
                <w:rFonts w:asciiTheme="minorEastAsia" w:eastAsiaTheme="minorEastAsia" w:hAnsiTheme="minorEastAsia"/>
                <w:szCs w:val="21"/>
              </w:rPr>
            </w:pPr>
            <w:bookmarkStart w:id="8" w:name="_GoBack"/>
            <w:bookmarkEnd w:id="8"/>
            <w:r w:rsidRPr="00E103F5">
              <w:rPr>
                <w:rFonts w:hint="eastAsia"/>
              </w:rPr>
              <w:t>数据分析师</w:t>
            </w:r>
          </w:p>
        </w:tc>
        <w:tc>
          <w:tcPr>
            <w:tcW w:w="763" w:type="pct"/>
            <w:vAlign w:val="center"/>
          </w:tcPr>
          <w:p w14:paraId="133C0AFB" w14:textId="77777777" w:rsidR="00FE0E22" w:rsidRPr="00E103F5" w:rsidRDefault="004255FF" w:rsidP="00E95353">
            <w:pPr>
              <w:spacing w:beforeLines="50" w:before="156"/>
              <w:jc w:val="center"/>
              <w:rPr>
                <w:rFonts w:asciiTheme="minorEastAsia" w:eastAsiaTheme="minorEastAsia" w:hAnsiTheme="minorEastAsia"/>
                <w:szCs w:val="21"/>
              </w:rPr>
            </w:pPr>
            <w:r w:rsidRPr="00E103F5">
              <w:rPr>
                <w:rFonts w:hint="eastAsia"/>
              </w:rPr>
              <w:t>港航信息化</w:t>
            </w:r>
          </w:p>
        </w:tc>
        <w:tc>
          <w:tcPr>
            <w:tcW w:w="1721" w:type="pct"/>
            <w:vAlign w:val="center"/>
          </w:tcPr>
          <w:p w14:paraId="017DFB94" w14:textId="77777777" w:rsidR="00FE0E22" w:rsidRPr="00E103F5" w:rsidRDefault="004255FF" w:rsidP="00E95353">
            <w:pPr>
              <w:spacing w:beforeLines="50" w:before="156"/>
              <w:jc w:val="center"/>
              <w:rPr>
                <w:rFonts w:asciiTheme="minorEastAsia" w:eastAsiaTheme="minorEastAsia" w:hAnsiTheme="minorEastAsia"/>
                <w:szCs w:val="21"/>
              </w:rPr>
            </w:pPr>
            <w:r w:rsidRPr="00E103F5">
              <w:rPr>
                <w:rFonts w:asciiTheme="minorEastAsia" w:eastAsiaTheme="minorEastAsia" w:hAnsiTheme="minorEastAsia" w:hint="eastAsia"/>
                <w:szCs w:val="21"/>
              </w:rPr>
              <w:t>第5章“编制规则”中数据结构、字段逻辑及编码规则的校核与验证。</w:t>
            </w:r>
          </w:p>
        </w:tc>
      </w:tr>
      <w:tr w:rsidR="00E103F5" w:rsidRPr="00E103F5" w14:paraId="17115594" w14:textId="77777777" w:rsidTr="00E95353">
        <w:tc>
          <w:tcPr>
            <w:tcW w:w="512" w:type="pct"/>
            <w:vAlign w:val="center"/>
          </w:tcPr>
          <w:p w14:paraId="19B1118F" w14:textId="77777777" w:rsidR="00FE0E22" w:rsidRPr="00E103F5" w:rsidRDefault="004255FF" w:rsidP="00E95353">
            <w:pPr>
              <w:spacing w:beforeLines="50" w:before="156"/>
              <w:jc w:val="center"/>
              <w:rPr>
                <w:rFonts w:asciiTheme="minorEastAsia" w:eastAsiaTheme="minorEastAsia" w:hAnsiTheme="minorEastAsia"/>
                <w:szCs w:val="21"/>
              </w:rPr>
            </w:pPr>
            <w:r w:rsidRPr="00E103F5">
              <w:rPr>
                <w:rFonts w:hint="eastAsia"/>
              </w:rPr>
              <w:t>徐宁</w:t>
            </w:r>
          </w:p>
        </w:tc>
        <w:tc>
          <w:tcPr>
            <w:tcW w:w="1113" w:type="pct"/>
            <w:vAlign w:val="center"/>
          </w:tcPr>
          <w:p w14:paraId="38FB547F" w14:textId="77777777" w:rsidR="00FE0E22" w:rsidRPr="00E103F5" w:rsidRDefault="004255FF" w:rsidP="00E95353">
            <w:pPr>
              <w:spacing w:beforeLines="50" w:before="156"/>
              <w:jc w:val="center"/>
              <w:rPr>
                <w:rFonts w:asciiTheme="minorEastAsia" w:eastAsiaTheme="minorEastAsia" w:hAnsiTheme="minorEastAsia"/>
                <w:szCs w:val="21"/>
              </w:rPr>
            </w:pPr>
            <w:r w:rsidRPr="00E103F5">
              <w:rPr>
                <w:rFonts w:hint="eastAsia"/>
              </w:rPr>
              <w:t>上海海事大学</w:t>
            </w:r>
          </w:p>
        </w:tc>
        <w:tc>
          <w:tcPr>
            <w:tcW w:w="889" w:type="pct"/>
            <w:vAlign w:val="center"/>
          </w:tcPr>
          <w:p w14:paraId="1CE552CC" w14:textId="77777777" w:rsidR="00FE0E22" w:rsidRPr="00E103F5" w:rsidRDefault="004255FF" w:rsidP="00E95353">
            <w:pPr>
              <w:spacing w:beforeLines="50" w:before="156"/>
              <w:jc w:val="center"/>
              <w:rPr>
                <w:rFonts w:asciiTheme="minorEastAsia" w:eastAsiaTheme="minorEastAsia" w:hAnsiTheme="minorEastAsia"/>
                <w:szCs w:val="21"/>
              </w:rPr>
            </w:pPr>
            <w:r w:rsidRPr="00E103F5">
              <w:rPr>
                <w:rFonts w:hint="eastAsia"/>
              </w:rPr>
              <w:t>咨询师</w:t>
            </w:r>
          </w:p>
        </w:tc>
        <w:tc>
          <w:tcPr>
            <w:tcW w:w="763" w:type="pct"/>
            <w:vAlign w:val="center"/>
          </w:tcPr>
          <w:p w14:paraId="24A61A9A" w14:textId="77777777" w:rsidR="00FE0E22" w:rsidRPr="00E103F5" w:rsidRDefault="004255FF" w:rsidP="00E95353">
            <w:pPr>
              <w:spacing w:beforeLines="50" w:before="156"/>
              <w:jc w:val="center"/>
              <w:rPr>
                <w:rFonts w:asciiTheme="minorEastAsia" w:eastAsiaTheme="minorEastAsia" w:hAnsiTheme="minorEastAsia"/>
                <w:szCs w:val="21"/>
              </w:rPr>
            </w:pPr>
            <w:r w:rsidRPr="00E103F5">
              <w:rPr>
                <w:rFonts w:hint="eastAsia"/>
              </w:rPr>
              <w:t>航运信息化</w:t>
            </w:r>
          </w:p>
        </w:tc>
        <w:tc>
          <w:tcPr>
            <w:tcW w:w="1721" w:type="pct"/>
            <w:vAlign w:val="center"/>
          </w:tcPr>
          <w:p w14:paraId="13574C28" w14:textId="77777777" w:rsidR="00FE0E22" w:rsidRPr="00E103F5" w:rsidRDefault="004255FF" w:rsidP="00E95353">
            <w:pPr>
              <w:spacing w:beforeLines="50" w:before="156"/>
              <w:jc w:val="center"/>
              <w:rPr>
                <w:rFonts w:asciiTheme="minorEastAsia" w:eastAsiaTheme="minorEastAsia" w:hAnsiTheme="minorEastAsia"/>
                <w:szCs w:val="21"/>
              </w:rPr>
            </w:pPr>
            <w:r w:rsidRPr="00E103F5">
              <w:rPr>
                <w:rFonts w:asciiTheme="minorEastAsia" w:eastAsiaTheme="minorEastAsia" w:hAnsiTheme="minorEastAsia" w:hint="eastAsia"/>
                <w:szCs w:val="21"/>
              </w:rPr>
              <w:t>编码逻辑、技术参数及业务流程的梳理与校核，提升标准技术严谨性。</w:t>
            </w:r>
          </w:p>
        </w:tc>
      </w:tr>
      <w:tr w:rsidR="00E103F5" w:rsidRPr="00E103F5" w14:paraId="45813312" w14:textId="77777777" w:rsidTr="00E95353">
        <w:tc>
          <w:tcPr>
            <w:tcW w:w="512" w:type="pct"/>
            <w:vAlign w:val="center"/>
          </w:tcPr>
          <w:p w14:paraId="1F6CD1D6" w14:textId="77777777" w:rsidR="00FE0E22" w:rsidRPr="00E103F5" w:rsidRDefault="004255FF" w:rsidP="00E95353">
            <w:pPr>
              <w:spacing w:beforeLines="50" w:before="156"/>
              <w:jc w:val="center"/>
              <w:rPr>
                <w:rFonts w:asciiTheme="minorEastAsia" w:eastAsiaTheme="minorEastAsia" w:hAnsiTheme="minorEastAsia"/>
                <w:szCs w:val="21"/>
              </w:rPr>
            </w:pPr>
            <w:bookmarkStart w:id="9" w:name="_Toc483660124"/>
            <w:bookmarkStart w:id="10" w:name="_Toc26972783"/>
            <w:r w:rsidRPr="00E103F5">
              <w:rPr>
                <w:rFonts w:hint="eastAsia"/>
              </w:rPr>
              <w:t>张燕</w:t>
            </w:r>
          </w:p>
        </w:tc>
        <w:tc>
          <w:tcPr>
            <w:tcW w:w="1113" w:type="pct"/>
            <w:vAlign w:val="center"/>
          </w:tcPr>
          <w:p w14:paraId="7D14CE60" w14:textId="77777777" w:rsidR="00FE0E22" w:rsidRPr="00E103F5" w:rsidRDefault="004255FF" w:rsidP="00E95353">
            <w:pPr>
              <w:spacing w:beforeLines="50" w:before="156"/>
              <w:jc w:val="center"/>
              <w:rPr>
                <w:rFonts w:asciiTheme="minorEastAsia" w:eastAsiaTheme="minorEastAsia" w:hAnsiTheme="minorEastAsia"/>
                <w:szCs w:val="21"/>
              </w:rPr>
            </w:pPr>
            <w:r w:rsidRPr="00E103F5">
              <w:rPr>
                <w:rFonts w:hint="eastAsia"/>
              </w:rPr>
              <w:t>青岛远洋船员职业学院</w:t>
            </w:r>
          </w:p>
        </w:tc>
        <w:tc>
          <w:tcPr>
            <w:tcW w:w="889" w:type="pct"/>
            <w:vAlign w:val="center"/>
          </w:tcPr>
          <w:p w14:paraId="14BBA01F" w14:textId="77777777" w:rsidR="00FE0E22" w:rsidRPr="00E103F5" w:rsidRDefault="004255FF" w:rsidP="00E95353">
            <w:pPr>
              <w:spacing w:beforeLines="50" w:before="156"/>
              <w:jc w:val="center"/>
              <w:rPr>
                <w:rFonts w:asciiTheme="minorEastAsia" w:eastAsiaTheme="minorEastAsia" w:hAnsiTheme="minorEastAsia"/>
                <w:szCs w:val="21"/>
              </w:rPr>
            </w:pPr>
            <w:r w:rsidRPr="00E103F5">
              <w:rPr>
                <w:rFonts w:hint="eastAsia"/>
              </w:rPr>
              <w:t>讲师</w:t>
            </w:r>
          </w:p>
        </w:tc>
        <w:tc>
          <w:tcPr>
            <w:tcW w:w="763" w:type="pct"/>
            <w:vAlign w:val="center"/>
          </w:tcPr>
          <w:p w14:paraId="2C9477EC" w14:textId="77777777" w:rsidR="00FE0E22" w:rsidRPr="00E103F5" w:rsidRDefault="004255FF" w:rsidP="00E95353">
            <w:pPr>
              <w:spacing w:beforeLines="50" w:before="156"/>
              <w:jc w:val="center"/>
              <w:rPr>
                <w:rFonts w:asciiTheme="minorEastAsia" w:eastAsiaTheme="minorEastAsia" w:hAnsiTheme="minorEastAsia"/>
                <w:szCs w:val="21"/>
              </w:rPr>
            </w:pPr>
            <w:r w:rsidRPr="00E103F5">
              <w:rPr>
                <w:rFonts w:hint="eastAsia"/>
              </w:rPr>
              <w:t>航运管理</w:t>
            </w:r>
          </w:p>
        </w:tc>
        <w:tc>
          <w:tcPr>
            <w:tcW w:w="1721" w:type="pct"/>
            <w:vAlign w:val="center"/>
          </w:tcPr>
          <w:p w14:paraId="3C85A14C" w14:textId="77777777" w:rsidR="00FE0E22" w:rsidRPr="00E103F5" w:rsidRDefault="004255FF" w:rsidP="00E95353">
            <w:pPr>
              <w:spacing w:beforeLines="50" w:before="156"/>
              <w:jc w:val="center"/>
              <w:rPr>
                <w:rFonts w:asciiTheme="minorEastAsia" w:eastAsiaTheme="minorEastAsia" w:hAnsiTheme="minorEastAsia"/>
                <w:szCs w:val="21"/>
              </w:rPr>
            </w:pPr>
            <w:r w:rsidRPr="00E103F5">
              <w:rPr>
                <w:rFonts w:asciiTheme="minorEastAsia" w:eastAsiaTheme="minorEastAsia" w:hAnsiTheme="minorEastAsia" w:hint="eastAsia"/>
                <w:szCs w:val="21"/>
              </w:rPr>
              <w:t>标准附录及示例内容的设计与编制，参与编码示例数据整理与测试验证。</w:t>
            </w:r>
          </w:p>
        </w:tc>
      </w:tr>
      <w:tr w:rsidR="00E103F5" w:rsidRPr="00E103F5" w14:paraId="07646D37" w14:textId="77777777" w:rsidTr="00E95353">
        <w:tc>
          <w:tcPr>
            <w:tcW w:w="512" w:type="pct"/>
            <w:vAlign w:val="center"/>
          </w:tcPr>
          <w:p w14:paraId="0333DD03" w14:textId="77777777" w:rsidR="00FE0E22" w:rsidRPr="00E103F5" w:rsidRDefault="004255FF" w:rsidP="00E95353">
            <w:pPr>
              <w:spacing w:beforeLines="50" w:before="156"/>
              <w:jc w:val="center"/>
              <w:rPr>
                <w:rFonts w:asciiTheme="minorEastAsia" w:eastAsiaTheme="minorEastAsia" w:hAnsiTheme="minorEastAsia"/>
                <w:szCs w:val="21"/>
              </w:rPr>
            </w:pPr>
            <w:proofErr w:type="gramStart"/>
            <w:r w:rsidRPr="00E103F5">
              <w:rPr>
                <w:rFonts w:hint="eastAsia"/>
              </w:rPr>
              <w:t>真虹</w:t>
            </w:r>
            <w:proofErr w:type="gramEnd"/>
          </w:p>
        </w:tc>
        <w:tc>
          <w:tcPr>
            <w:tcW w:w="1113" w:type="pct"/>
            <w:vAlign w:val="center"/>
          </w:tcPr>
          <w:p w14:paraId="05DF3E50" w14:textId="77777777" w:rsidR="00FE0E22" w:rsidRPr="00E103F5" w:rsidRDefault="004255FF" w:rsidP="00E95353">
            <w:pPr>
              <w:spacing w:beforeLines="50" w:before="156"/>
              <w:jc w:val="center"/>
              <w:rPr>
                <w:rFonts w:asciiTheme="minorEastAsia" w:eastAsiaTheme="minorEastAsia" w:hAnsiTheme="minorEastAsia"/>
                <w:szCs w:val="21"/>
              </w:rPr>
            </w:pPr>
            <w:r w:rsidRPr="00E103F5">
              <w:rPr>
                <w:rFonts w:hint="eastAsia"/>
              </w:rPr>
              <w:t>上海航</w:t>
            </w:r>
            <w:proofErr w:type="gramStart"/>
            <w:r w:rsidRPr="00E103F5">
              <w:rPr>
                <w:rFonts w:hint="eastAsia"/>
              </w:rPr>
              <w:t>研</w:t>
            </w:r>
            <w:proofErr w:type="gramEnd"/>
            <w:r w:rsidRPr="00E103F5">
              <w:rPr>
                <w:rFonts w:hint="eastAsia"/>
              </w:rPr>
              <w:t>运输咨询服务有限公司</w:t>
            </w:r>
          </w:p>
        </w:tc>
        <w:tc>
          <w:tcPr>
            <w:tcW w:w="889" w:type="pct"/>
            <w:vAlign w:val="center"/>
          </w:tcPr>
          <w:p w14:paraId="60ADF781" w14:textId="77777777" w:rsidR="00FE0E22" w:rsidRPr="00E103F5" w:rsidRDefault="004255FF" w:rsidP="00E95353">
            <w:pPr>
              <w:spacing w:beforeLines="50" w:before="156"/>
              <w:jc w:val="center"/>
              <w:rPr>
                <w:rFonts w:asciiTheme="minorEastAsia" w:eastAsiaTheme="minorEastAsia" w:hAnsiTheme="minorEastAsia"/>
                <w:szCs w:val="21"/>
              </w:rPr>
            </w:pPr>
            <w:r w:rsidRPr="00E103F5">
              <w:rPr>
                <w:rFonts w:hint="eastAsia"/>
              </w:rPr>
              <w:t>教授</w:t>
            </w:r>
          </w:p>
        </w:tc>
        <w:tc>
          <w:tcPr>
            <w:tcW w:w="763" w:type="pct"/>
            <w:vAlign w:val="center"/>
          </w:tcPr>
          <w:p w14:paraId="73F6B570" w14:textId="77777777" w:rsidR="00FE0E22" w:rsidRPr="00E103F5" w:rsidRDefault="004255FF" w:rsidP="00E95353">
            <w:pPr>
              <w:spacing w:beforeLines="50" w:before="156"/>
              <w:jc w:val="center"/>
              <w:rPr>
                <w:rFonts w:asciiTheme="minorEastAsia" w:eastAsiaTheme="minorEastAsia" w:hAnsiTheme="minorEastAsia"/>
                <w:szCs w:val="21"/>
              </w:rPr>
            </w:pPr>
            <w:r w:rsidRPr="00E103F5">
              <w:rPr>
                <w:rFonts w:hint="eastAsia"/>
              </w:rPr>
              <w:t>交通运输</w:t>
            </w:r>
          </w:p>
        </w:tc>
        <w:tc>
          <w:tcPr>
            <w:tcW w:w="1721" w:type="pct"/>
            <w:vAlign w:val="center"/>
          </w:tcPr>
          <w:p w14:paraId="54055B3A" w14:textId="77777777" w:rsidR="00FE0E22" w:rsidRPr="00E103F5" w:rsidRDefault="004255FF" w:rsidP="00E95353">
            <w:pPr>
              <w:spacing w:beforeLines="50" w:before="156"/>
              <w:jc w:val="center"/>
              <w:rPr>
                <w:rFonts w:asciiTheme="minorEastAsia" w:eastAsiaTheme="minorEastAsia" w:hAnsiTheme="minorEastAsia"/>
                <w:szCs w:val="21"/>
              </w:rPr>
            </w:pPr>
            <w:r w:rsidRPr="00E103F5">
              <w:rPr>
                <w:rFonts w:asciiTheme="minorEastAsia" w:eastAsiaTheme="minorEastAsia" w:hAnsiTheme="minorEastAsia" w:hint="eastAsia"/>
                <w:szCs w:val="21"/>
              </w:rPr>
              <w:t>标准整体结构及关键技术内容的审核与指导。</w:t>
            </w:r>
          </w:p>
        </w:tc>
      </w:tr>
      <w:tr w:rsidR="00E95353" w:rsidRPr="00E103F5" w14:paraId="346C4744" w14:textId="77777777" w:rsidTr="00E95353">
        <w:tc>
          <w:tcPr>
            <w:tcW w:w="512" w:type="pct"/>
            <w:vAlign w:val="center"/>
          </w:tcPr>
          <w:p w14:paraId="1D351238" w14:textId="77777777" w:rsidR="00FE0E22" w:rsidRPr="00E103F5" w:rsidRDefault="004255FF" w:rsidP="00E95353">
            <w:pPr>
              <w:spacing w:beforeLines="50" w:before="156"/>
              <w:jc w:val="center"/>
              <w:rPr>
                <w:rFonts w:asciiTheme="minorEastAsia" w:eastAsiaTheme="minorEastAsia" w:hAnsiTheme="minorEastAsia"/>
                <w:szCs w:val="21"/>
              </w:rPr>
            </w:pPr>
            <w:r w:rsidRPr="00E103F5">
              <w:rPr>
                <w:rFonts w:hint="eastAsia"/>
              </w:rPr>
              <w:t>张文轩</w:t>
            </w:r>
          </w:p>
        </w:tc>
        <w:tc>
          <w:tcPr>
            <w:tcW w:w="1113" w:type="pct"/>
            <w:vAlign w:val="center"/>
          </w:tcPr>
          <w:p w14:paraId="7BC84772" w14:textId="77777777" w:rsidR="00FE0E22" w:rsidRPr="00E103F5" w:rsidRDefault="004255FF" w:rsidP="00E95353">
            <w:pPr>
              <w:spacing w:beforeLines="50" w:before="156"/>
              <w:jc w:val="center"/>
              <w:rPr>
                <w:rFonts w:asciiTheme="minorEastAsia" w:eastAsiaTheme="minorEastAsia" w:hAnsiTheme="minorEastAsia"/>
                <w:szCs w:val="21"/>
              </w:rPr>
            </w:pPr>
            <w:r w:rsidRPr="00E103F5">
              <w:rPr>
                <w:rFonts w:hint="eastAsia"/>
              </w:rPr>
              <w:t>嘉通易（青岛）信息科技有限公司</w:t>
            </w:r>
          </w:p>
        </w:tc>
        <w:tc>
          <w:tcPr>
            <w:tcW w:w="889" w:type="pct"/>
            <w:vAlign w:val="center"/>
          </w:tcPr>
          <w:p w14:paraId="4B5A0A31" w14:textId="77777777" w:rsidR="00FE0E22" w:rsidRPr="00E103F5" w:rsidRDefault="004255FF" w:rsidP="00E95353">
            <w:pPr>
              <w:spacing w:beforeLines="50" w:before="156"/>
              <w:jc w:val="center"/>
              <w:rPr>
                <w:rFonts w:asciiTheme="minorEastAsia" w:eastAsiaTheme="minorEastAsia" w:hAnsiTheme="minorEastAsia"/>
                <w:szCs w:val="21"/>
              </w:rPr>
            </w:pPr>
            <w:r w:rsidRPr="00E103F5">
              <w:rPr>
                <w:rFonts w:hint="eastAsia"/>
              </w:rPr>
              <w:t>总经理</w:t>
            </w:r>
          </w:p>
        </w:tc>
        <w:tc>
          <w:tcPr>
            <w:tcW w:w="763" w:type="pct"/>
            <w:vAlign w:val="center"/>
          </w:tcPr>
          <w:p w14:paraId="489CA37E" w14:textId="77777777" w:rsidR="00FE0E22" w:rsidRPr="00E103F5" w:rsidRDefault="004255FF" w:rsidP="00E95353">
            <w:pPr>
              <w:spacing w:beforeLines="50" w:before="156"/>
              <w:jc w:val="center"/>
              <w:rPr>
                <w:rFonts w:asciiTheme="minorEastAsia" w:eastAsiaTheme="minorEastAsia" w:hAnsiTheme="minorEastAsia"/>
                <w:szCs w:val="21"/>
              </w:rPr>
            </w:pPr>
            <w:r w:rsidRPr="00E103F5">
              <w:rPr>
                <w:rFonts w:hint="eastAsia"/>
              </w:rPr>
              <w:t>航运信息化</w:t>
            </w:r>
          </w:p>
        </w:tc>
        <w:tc>
          <w:tcPr>
            <w:tcW w:w="1721" w:type="pct"/>
            <w:vAlign w:val="center"/>
          </w:tcPr>
          <w:p w14:paraId="6DD47D69" w14:textId="77777777" w:rsidR="00FE0E22" w:rsidRPr="00E103F5" w:rsidRDefault="004255FF" w:rsidP="00E95353">
            <w:pPr>
              <w:spacing w:beforeLines="50" w:before="156"/>
              <w:jc w:val="center"/>
              <w:rPr>
                <w:rFonts w:asciiTheme="minorEastAsia" w:eastAsiaTheme="minorEastAsia" w:hAnsiTheme="minorEastAsia"/>
                <w:szCs w:val="21"/>
              </w:rPr>
            </w:pPr>
            <w:r w:rsidRPr="00E103F5">
              <w:rPr>
                <w:rFonts w:asciiTheme="minorEastAsia" w:eastAsiaTheme="minorEastAsia" w:hAnsiTheme="minorEastAsia" w:hint="eastAsia"/>
                <w:szCs w:val="21"/>
              </w:rPr>
              <w:t>第5章“编制规则”中示例数据及应用内容的编制</w:t>
            </w:r>
          </w:p>
        </w:tc>
      </w:tr>
    </w:tbl>
    <w:p w14:paraId="571AF824" w14:textId="77777777" w:rsidR="00FE0E22" w:rsidRPr="00E103F5" w:rsidRDefault="00FE0E22"/>
    <w:p w14:paraId="3A2A66FE" w14:textId="77777777" w:rsidR="00FE0E22" w:rsidRPr="00E103F5" w:rsidRDefault="004255FF">
      <w:pPr>
        <w:spacing w:beforeLines="50" w:before="156" w:line="360" w:lineRule="auto"/>
        <w:outlineLvl w:val="1"/>
        <w:rPr>
          <w:rFonts w:asciiTheme="minorEastAsia" w:eastAsiaTheme="minorEastAsia" w:hAnsiTheme="minorEastAsia"/>
          <w:b/>
          <w:sz w:val="24"/>
          <w:szCs w:val="24"/>
        </w:rPr>
      </w:pPr>
      <w:r w:rsidRPr="00E103F5">
        <w:rPr>
          <w:rFonts w:asciiTheme="minorEastAsia" w:eastAsiaTheme="minorEastAsia" w:hAnsiTheme="minorEastAsia" w:hint="eastAsia"/>
          <w:b/>
          <w:sz w:val="24"/>
          <w:szCs w:val="24"/>
        </w:rPr>
        <w:t>（四）主要工作</w:t>
      </w:r>
      <w:r w:rsidRPr="00E103F5">
        <w:rPr>
          <w:rFonts w:asciiTheme="minorEastAsia" w:eastAsiaTheme="minorEastAsia" w:hAnsiTheme="minorEastAsia"/>
          <w:b/>
          <w:sz w:val="24"/>
          <w:szCs w:val="24"/>
        </w:rPr>
        <w:t>过</w:t>
      </w:r>
      <w:r w:rsidRPr="00E103F5">
        <w:rPr>
          <w:rFonts w:asciiTheme="minorEastAsia" w:eastAsiaTheme="minorEastAsia" w:hAnsiTheme="minorEastAsia" w:hint="eastAsia"/>
          <w:b/>
          <w:sz w:val="24"/>
          <w:szCs w:val="24"/>
        </w:rPr>
        <w:t>程</w:t>
      </w:r>
      <w:bookmarkEnd w:id="9"/>
      <w:bookmarkEnd w:id="10"/>
    </w:p>
    <w:p w14:paraId="3908A559" w14:textId="77777777" w:rsidR="00FE0E22" w:rsidRPr="00E103F5" w:rsidRDefault="004255FF">
      <w:pPr>
        <w:spacing w:beforeLines="50" w:before="156" w:line="360" w:lineRule="auto"/>
        <w:ind w:firstLineChars="200" w:firstLine="480"/>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t>2025年，项目承担单位根据计划要求，成立编制组，明确了标准编写任务分工和时间进度安排，组织开展标准制定工作：</w:t>
      </w:r>
    </w:p>
    <w:p w14:paraId="4E6F1C31" w14:textId="77777777" w:rsidR="00FE0E22" w:rsidRPr="00E103F5" w:rsidRDefault="004255FF">
      <w:pPr>
        <w:pStyle w:val="af9"/>
        <w:numPr>
          <w:ilvl w:val="0"/>
          <w:numId w:val="4"/>
        </w:numPr>
        <w:spacing w:beforeLines="50" w:before="156" w:line="360" w:lineRule="auto"/>
        <w:ind w:left="0" w:firstLineChars="0" w:firstLine="442"/>
        <w:jc w:val="left"/>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t>2025年7月，开展前期准备工作，收集国内外港口物流节点代码编制相关资料，调研主要港口编码现状，分析标准制定的必要性和可行性，编制标准制定研究大纲。</w:t>
      </w:r>
    </w:p>
    <w:p w14:paraId="702BDF73" w14:textId="77777777" w:rsidR="00FE0E22" w:rsidRPr="00E103F5" w:rsidRDefault="004255FF">
      <w:pPr>
        <w:pStyle w:val="af9"/>
        <w:numPr>
          <w:ilvl w:val="0"/>
          <w:numId w:val="4"/>
        </w:numPr>
        <w:spacing w:beforeLines="50" w:before="156" w:line="360" w:lineRule="auto"/>
        <w:ind w:left="0" w:firstLineChars="0" w:firstLine="442"/>
        <w:jc w:val="left"/>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t>2025年9月，准备团体标准立项申报书及相关材料，向中国港口协会提交立项申请。</w:t>
      </w:r>
    </w:p>
    <w:p w14:paraId="44DA84D6" w14:textId="77777777" w:rsidR="00FE0E22" w:rsidRPr="00E103F5" w:rsidRDefault="004255FF">
      <w:pPr>
        <w:pStyle w:val="af9"/>
        <w:numPr>
          <w:ilvl w:val="0"/>
          <w:numId w:val="4"/>
        </w:numPr>
        <w:spacing w:beforeLines="50" w:before="156" w:line="360" w:lineRule="auto"/>
        <w:ind w:left="0" w:firstLineChars="0" w:firstLine="442"/>
        <w:jc w:val="left"/>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t>2025年10月30日，项目正式立项。根据立项评审意见进一步完善研究大纲，组织编制组开展标准草案的初步编写工作。</w:t>
      </w:r>
    </w:p>
    <w:p w14:paraId="03735348" w14:textId="77777777" w:rsidR="00FE0E22" w:rsidRPr="00E103F5" w:rsidRDefault="004255FF">
      <w:pPr>
        <w:pStyle w:val="af9"/>
        <w:numPr>
          <w:ilvl w:val="0"/>
          <w:numId w:val="4"/>
        </w:numPr>
        <w:spacing w:beforeLines="50" w:before="156" w:line="360" w:lineRule="auto"/>
        <w:ind w:left="0" w:firstLineChars="0" w:firstLine="442"/>
        <w:jc w:val="left"/>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t>2025年11月～12月，针对上海港、宁波舟山港、天津港、中谷海运等重点港口和航运企业开展深入调研，了解企业对于港口节点代码应用情况及实际需求，并与国家标准GB/T 10113《分类与编码通用术语》进行对照，对代码结构设计、编码规则、赋码管理、信息</w:t>
      </w:r>
      <w:proofErr w:type="gramStart"/>
      <w:r w:rsidRPr="00E103F5">
        <w:rPr>
          <w:rFonts w:asciiTheme="minorEastAsia" w:eastAsiaTheme="minorEastAsia" w:hAnsiTheme="minorEastAsia" w:hint="eastAsia"/>
          <w:sz w:val="24"/>
          <w:szCs w:val="24"/>
        </w:rPr>
        <w:t>交互等</w:t>
      </w:r>
      <w:proofErr w:type="gramEnd"/>
      <w:r w:rsidRPr="00E103F5">
        <w:rPr>
          <w:rFonts w:asciiTheme="minorEastAsia" w:eastAsiaTheme="minorEastAsia" w:hAnsiTheme="minorEastAsia" w:hint="eastAsia"/>
          <w:sz w:val="24"/>
          <w:szCs w:val="24"/>
        </w:rPr>
        <w:t>问题进行总结归纳。</w:t>
      </w:r>
    </w:p>
    <w:p w14:paraId="3445A116" w14:textId="77777777" w:rsidR="00FE0E22" w:rsidRPr="00E103F5" w:rsidRDefault="004255FF">
      <w:pPr>
        <w:pStyle w:val="af9"/>
        <w:numPr>
          <w:ilvl w:val="0"/>
          <w:numId w:val="4"/>
        </w:numPr>
        <w:spacing w:beforeLines="50" w:before="156" w:line="360" w:lineRule="auto"/>
        <w:ind w:left="0" w:firstLineChars="0" w:firstLine="442"/>
        <w:jc w:val="left"/>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t>2026年1月～3月，根据调研结果和GB/T 1.1-2020给出的规则，修</w:t>
      </w:r>
      <w:r w:rsidRPr="00E103F5">
        <w:rPr>
          <w:rFonts w:asciiTheme="minorEastAsia" w:eastAsiaTheme="minorEastAsia" w:hAnsiTheme="minorEastAsia" w:hint="eastAsia"/>
          <w:sz w:val="24"/>
          <w:szCs w:val="24"/>
        </w:rPr>
        <w:lastRenderedPageBreak/>
        <w:t>改完善标准草案，对代码结构、赋码流程等关键内容进行多次讨论和修正。</w:t>
      </w:r>
    </w:p>
    <w:p w14:paraId="1A54D500" w14:textId="77777777" w:rsidR="00FE0E22" w:rsidRPr="00E103F5" w:rsidRDefault="004255FF">
      <w:pPr>
        <w:pStyle w:val="af9"/>
        <w:numPr>
          <w:ilvl w:val="0"/>
          <w:numId w:val="4"/>
        </w:numPr>
        <w:spacing w:beforeLines="50" w:before="156" w:line="360" w:lineRule="auto"/>
        <w:ind w:left="0" w:firstLineChars="0" w:firstLine="442"/>
        <w:jc w:val="left"/>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t>2026年4月，开展工作大纲评审会，专家对标准大纲和草案提出丰富的建议，再此基础上课题组进行意见吸纳和标准的修改。</w:t>
      </w:r>
    </w:p>
    <w:p w14:paraId="05B4F203" w14:textId="77777777" w:rsidR="00FE0E22" w:rsidRPr="00E103F5" w:rsidRDefault="004255FF">
      <w:pPr>
        <w:pStyle w:val="af9"/>
        <w:numPr>
          <w:ilvl w:val="0"/>
          <w:numId w:val="4"/>
        </w:numPr>
        <w:spacing w:beforeLines="50" w:before="156" w:line="360" w:lineRule="auto"/>
        <w:ind w:left="0" w:firstLineChars="0" w:firstLine="442"/>
        <w:jc w:val="left"/>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t>2026年4月至今，持续开展补充调研和技术交流，根据各方反馈意见对标准草案进行修改完善，准备形成征求意见稿和编制说明。</w:t>
      </w:r>
    </w:p>
    <w:p w14:paraId="1EE3D3A2" w14:textId="77777777" w:rsidR="00FE0E22" w:rsidRPr="00E103F5" w:rsidRDefault="004255FF">
      <w:pPr>
        <w:spacing w:beforeLines="50" w:before="156" w:line="360" w:lineRule="auto"/>
        <w:outlineLvl w:val="0"/>
        <w:rPr>
          <w:rFonts w:ascii="黑体" w:eastAsia="黑体" w:hAnsi="黑体"/>
          <w:szCs w:val="21"/>
        </w:rPr>
      </w:pPr>
      <w:bookmarkStart w:id="11" w:name="_Toc46098151"/>
      <w:r w:rsidRPr="00E103F5">
        <w:rPr>
          <w:rFonts w:asciiTheme="minorEastAsia" w:eastAsiaTheme="minorEastAsia" w:hAnsiTheme="minorEastAsia" w:hint="eastAsia"/>
          <w:b/>
          <w:sz w:val="24"/>
          <w:szCs w:val="24"/>
        </w:rPr>
        <w:t>二、</w:t>
      </w:r>
      <w:r w:rsidRPr="00E103F5">
        <w:rPr>
          <w:rFonts w:asciiTheme="minorEastAsia" w:eastAsiaTheme="minorEastAsia" w:hAnsiTheme="minorEastAsia"/>
          <w:b/>
          <w:sz w:val="24"/>
          <w:szCs w:val="24"/>
        </w:rPr>
        <w:t>标准编制原则和确定标准主要内容</w:t>
      </w:r>
      <w:r w:rsidRPr="00E103F5">
        <w:rPr>
          <w:rFonts w:asciiTheme="minorEastAsia" w:eastAsiaTheme="minorEastAsia" w:hAnsiTheme="minorEastAsia" w:hint="eastAsia"/>
          <w:b/>
          <w:sz w:val="24"/>
          <w:szCs w:val="24"/>
        </w:rPr>
        <w:t>的依据</w:t>
      </w:r>
      <w:bookmarkEnd w:id="11"/>
    </w:p>
    <w:p w14:paraId="253AB6E9" w14:textId="77777777" w:rsidR="00FE0E22" w:rsidRPr="00E103F5" w:rsidRDefault="004255FF">
      <w:pPr>
        <w:spacing w:beforeLines="50" w:before="156" w:line="360" w:lineRule="auto"/>
        <w:outlineLvl w:val="1"/>
        <w:rPr>
          <w:rFonts w:asciiTheme="minorEastAsia" w:eastAsiaTheme="minorEastAsia" w:hAnsiTheme="minorEastAsia"/>
          <w:b/>
          <w:sz w:val="24"/>
          <w:szCs w:val="24"/>
        </w:rPr>
      </w:pPr>
      <w:bookmarkStart w:id="12" w:name="_Toc26972785"/>
      <w:r w:rsidRPr="00E103F5">
        <w:rPr>
          <w:rFonts w:asciiTheme="minorEastAsia" w:eastAsiaTheme="minorEastAsia" w:hAnsiTheme="minorEastAsia" w:hint="eastAsia"/>
          <w:b/>
          <w:sz w:val="24"/>
          <w:szCs w:val="24"/>
        </w:rPr>
        <w:t>（一）</w:t>
      </w:r>
      <w:r w:rsidRPr="00E103F5">
        <w:rPr>
          <w:rFonts w:asciiTheme="minorEastAsia" w:eastAsiaTheme="minorEastAsia" w:hAnsiTheme="minorEastAsia"/>
          <w:b/>
          <w:sz w:val="24"/>
          <w:szCs w:val="24"/>
        </w:rPr>
        <w:t>标准编制原则</w:t>
      </w:r>
      <w:bookmarkEnd w:id="12"/>
    </w:p>
    <w:p w14:paraId="48919BF3" w14:textId="77777777" w:rsidR="00FE0E22" w:rsidRPr="00E103F5" w:rsidRDefault="004255FF">
      <w:pPr>
        <w:spacing w:beforeLines="50" w:before="156" w:line="360" w:lineRule="auto"/>
        <w:ind w:firstLineChars="200" w:firstLine="480"/>
        <w:rPr>
          <w:rFonts w:asciiTheme="minorEastAsia" w:eastAsiaTheme="minorEastAsia" w:hAnsiTheme="minorEastAsia"/>
          <w:sz w:val="24"/>
          <w:szCs w:val="24"/>
        </w:rPr>
      </w:pPr>
      <w:bookmarkStart w:id="13" w:name="_Toc26972786"/>
      <w:r w:rsidRPr="00E103F5">
        <w:rPr>
          <w:rFonts w:asciiTheme="minorEastAsia" w:eastAsiaTheme="minorEastAsia" w:hAnsiTheme="minorEastAsia" w:hint="eastAsia"/>
          <w:sz w:val="24"/>
          <w:szCs w:val="24"/>
        </w:rPr>
        <w:t>本标准按GB/T 1.1-</w:t>
      </w:r>
      <w:r w:rsidRPr="00E103F5">
        <w:rPr>
          <w:rFonts w:asciiTheme="minorEastAsia" w:eastAsiaTheme="minorEastAsia" w:hAnsiTheme="minorEastAsia"/>
          <w:sz w:val="24"/>
          <w:szCs w:val="24"/>
        </w:rPr>
        <w:t>2020</w:t>
      </w:r>
      <w:r w:rsidRPr="00E103F5">
        <w:rPr>
          <w:rFonts w:asciiTheme="minorEastAsia" w:eastAsiaTheme="minorEastAsia" w:hAnsiTheme="minorEastAsia" w:hint="eastAsia"/>
          <w:sz w:val="24"/>
          <w:szCs w:val="24"/>
        </w:rPr>
        <w:t>给出的规则起草。</w:t>
      </w:r>
    </w:p>
    <w:p w14:paraId="21067DAB" w14:textId="77777777" w:rsidR="00FE0E22" w:rsidRPr="00E103F5" w:rsidRDefault="004255FF">
      <w:pPr>
        <w:spacing w:beforeLines="50" w:before="156" w:line="360" w:lineRule="auto"/>
        <w:ind w:firstLineChars="200" w:firstLine="480"/>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t>适用性原则：标准制定的相关内容应便于使用，一方面应适于直接使用，另一方面也应考虑便于被其它文件引用。</w:t>
      </w:r>
    </w:p>
    <w:p w14:paraId="04ABDCDC" w14:textId="77777777" w:rsidR="00FE0E22" w:rsidRPr="00E103F5" w:rsidRDefault="004255FF">
      <w:pPr>
        <w:spacing w:beforeLines="50" w:before="156" w:line="360" w:lineRule="auto"/>
        <w:ind w:firstLineChars="200" w:firstLine="480"/>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t>协调性原则：应考虑标准之间的整体协调，在制定标准时应注意和已经发布的标准进行协调，遵守基础标准和采取引用的方式是保证标准协调的有效途径。</w:t>
      </w:r>
    </w:p>
    <w:p w14:paraId="56E7E5DE" w14:textId="77777777" w:rsidR="00FE0E22" w:rsidRPr="00E103F5" w:rsidRDefault="004255FF">
      <w:pPr>
        <w:spacing w:beforeLines="50" w:before="156" w:line="360" w:lineRule="auto"/>
        <w:ind w:firstLineChars="200" w:firstLine="480"/>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t>规范性原则：起草标准时遵守与标准制定有关的基础标准和相关法律法规。</w:t>
      </w:r>
    </w:p>
    <w:p w14:paraId="56C0744F" w14:textId="77777777" w:rsidR="00FE0E22" w:rsidRPr="00E103F5" w:rsidRDefault="004255FF">
      <w:pPr>
        <w:spacing w:beforeLines="50" w:before="156" w:line="360" w:lineRule="auto"/>
        <w:ind w:firstLineChars="200" w:firstLine="480"/>
        <w:rPr>
          <w:rFonts w:asciiTheme="minorEastAsia" w:eastAsiaTheme="minorEastAsia" w:hAnsiTheme="minorEastAsia"/>
          <w:sz w:val="24"/>
          <w:szCs w:val="24"/>
        </w:rPr>
      </w:pPr>
      <w:r w:rsidRPr="00E103F5">
        <w:rPr>
          <w:rFonts w:asciiTheme="minorEastAsia" w:eastAsiaTheme="minorEastAsia" w:hAnsiTheme="minorEastAsia"/>
          <w:sz w:val="24"/>
          <w:szCs w:val="24"/>
        </w:rPr>
        <w:t>先进性原则</w:t>
      </w:r>
      <w:r w:rsidRPr="00E103F5">
        <w:rPr>
          <w:rFonts w:asciiTheme="minorEastAsia" w:eastAsiaTheme="minorEastAsia" w:hAnsiTheme="minorEastAsia" w:hint="eastAsia"/>
          <w:sz w:val="24"/>
          <w:szCs w:val="24"/>
        </w:rPr>
        <w:t>：起草标准时注重港口物流节点代码编制使用的技术进步和技术创新。</w:t>
      </w:r>
    </w:p>
    <w:p w14:paraId="29A015CE" w14:textId="77777777" w:rsidR="00FE0E22" w:rsidRPr="00E103F5" w:rsidRDefault="004255FF">
      <w:pPr>
        <w:spacing w:beforeLines="50" w:before="156" w:line="360" w:lineRule="auto"/>
        <w:outlineLvl w:val="1"/>
        <w:rPr>
          <w:rFonts w:asciiTheme="minorEastAsia" w:eastAsiaTheme="minorEastAsia" w:hAnsiTheme="minorEastAsia"/>
          <w:b/>
          <w:sz w:val="24"/>
          <w:szCs w:val="24"/>
        </w:rPr>
      </w:pPr>
      <w:r w:rsidRPr="00E103F5">
        <w:rPr>
          <w:rFonts w:asciiTheme="minorEastAsia" w:eastAsiaTheme="minorEastAsia" w:hAnsiTheme="minorEastAsia" w:hint="eastAsia"/>
          <w:b/>
          <w:sz w:val="24"/>
          <w:szCs w:val="24"/>
        </w:rPr>
        <w:t>（二）</w:t>
      </w:r>
      <w:r w:rsidRPr="00E103F5">
        <w:rPr>
          <w:rFonts w:asciiTheme="minorEastAsia" w:eastAsiaTheme="minorEastAsia" w:hAnsiTheme="minorEastAsia"/>
          <w:b/>
          <w:sz w:val="24"/>
          <w:szCs w:val="24"/>
        </w:rPr>
        <w:t>确定标准主要内容</w:t>
      </w:r>
      <w:r w:rsidRPr="00E103F5">
        <w:rPr>
          <w:rFonts w:asciiTheme="minorEastAsia" w:eastAsiaTheme="minorEastAsia" w:hAnsiTheme="minorEastAsia" w:hint="eastAsia"/>
          <w:b/>
          <w:sz w:val="24"/>
          <w:szCs w:val="24"/>
        </w:rPr>
        <w:t>的依据</w:t>
      </w:r>
      <w:bookmarkEnd w:id="13"/>
    </w:p>
    <w:p w14:paraId="2BB024FE" w14:textId="77777777" w:rsidR="00FE0E22" w:rsidRPr="00E103F5" w:rsidRDefault="004255FF">
      <w:pPr>
        <w:spacing w:beforeLines="50" w:before="156" w:line="360" w:lineRule="auto"/>
        <w:ind w:firstLineChars="200" w:firstLine="480"/>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t>本标准</w:t>
      </w:r>
      <w:proofErr w:type="gramStart"/>
      <w:r w:rsidRPr="00E103F5">
        <w:rPr>
          <w:rFonts w:asciiTheme="minorEastAsia" w:eastAsiaTheme="minorEastAsia" w:hAnsiTheme="minorEastAsia" w:hint="eastAsia"/>
          <w:sz w:val="24"/>
          <w:szCs w:val="24"/>
        </w:rPr>
        <w:t>规定了规定了</w:t>
      </w:r>
      <w:proofErr w:type="gramEnd"/>
      <w:r w:rsidRPr="00E103F5">
        <w:rPr>
          <w:rFonts w:asciiTheme="minorEastAsia" w:eastAsiaTheme="minorEastAsia" w:hAnsiTheme="minorEastAsia" w:hint="eastAsia"/>
          <w:sz w:val="24"/>
          <w:szCs w:val="24"/>
        </w:rPr>
        <w:t xml:space="preserve">港口物流节点代码规则的编制原则、编制规则和代码示例。 </w:t>
      </w:r>
    </w:p>
    <w:p w14:paraId="5028A4C5" w14:textId="77777777" w:rsidR="00FE0E22" w:rsidRPr="00E103F5" w:rsidRDefault="004255FF">
      <w:pPr>
        <w:spacing w:beforeLines="50" w:before="156" w:line="360" w:lineRule="auto"/>
        <w:ind w:firstLineChars="200" w:firstLine="480"/>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t>本标准适用于港口物流节点代码的编制和使用，为物流信息的互联互通提供基础支撑。</w:t>
      </w:r>
    </w:p>
    <w:p w14:paraId="6EE2BEE5" w14:textId="77777777" w:rsidR="00FE0E22" w:rsidRPr="00E103F5" w:rsidRDefault="004255FF">
      <w:pPr>
        <w:spacing w:beforeLines="50" w:before="156" w:line="360" w:lineRule="auto"/>
        <w:ind w:firstLineChars="200" w:firstLine="480"/>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t>本标准主要内容：第一章 范围；第二章 规范性引用文件；第三章 术语和定义；第四章 编制原则；第五章 编制规则；以及资料性附录。旨在构建统一规范、层次清晰、兼容国际的港口物流节点编码体系，以促进港口物流信息的标准化表达与高效流通，提升港口物流系统间的数据互联互通与协同运行能力。</w:t>
      </w:r>
    </w:p>
    <w:p w14:paraId="14A1E29F" w14:textId="77777777" w:rsidR="00FE0E22" w:rsidRPr="00E103F5" w:rsidRDefault="004255FF">
      <w:pPr>
        <w:spacing w:beforeLines="50" w:before="156" w:line="360" w:lineRule="auto"/>
        <w:ind w:firstLineChars="200" w:firstLine="480"/>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lastRenderedPageBreak/>
        <w:t>本标准编制的内容包括如下：</w:t>
      </w:r>
    </w:p>
    <w:p w14:paraId="299B3BE4" w14:textId="77777777" w:rsidR="00FE0E22" w:rsidRPr="00E103F5" w:rsidRDefault="004255FF">
      <w:pPr>
        <w:spacing w:beforeLines="50" w:before="156" w:line="360" w:lineRule="auto"/>
        <w:rPr>
          <w:rFonts w:asciiTheme="minorEastAsia" w:eastAsiaTheme="minorEastAsia" w:hAnsiTheme="minorEastAsia"/>
          <w:b/>
          <w:sz w:val="24"/>
          <w:szCs w:val="24"/>
        </w:rPr>
      </w:pPr>
      <w:r w:rsidRPr="00E103F5">
        <w:rPr>
          <w:rFonts w:asciiTheme="minorEastAsia" w:eastAsiaTheme="minorEastAsia" w:hAnsiTheme="minorEastAsia" w:hint="eastAsia"/>
          <w:b/>
          <w:sz w:val="24"/>
          <w:szCs w:val="24"/>
        </w:rPr>
        <w:t>1</w:t>
      </w:r>
      <w:r w:rsidRPr="00E103F5">
        <w:rPr>
          <w:rFonts w:asciiTheme="minorEastAsia" w:eastAsiaTheme="minorEastAsia" w:hAnsiTheme="minorEastAsia"/>
          <w:b/>
          <w:sz w:val="24"/>
          <w:szCs w:val="24"/>
        </w:rPr>
        <w:t>.</w:t>
      </w:r>
      <w:r w:rsidRPr="00E103F5">
        <w:rPr>
          <w:rFonts w:asciiTheme="minorEastAsia" w:eastAsiaTheme="minorEastAsia" w:hAnsiTheme="minorEastAsia" w:hint="eastAsia"/>
          <w:b/>
          <w:sz w:val="24"/>
          <w:szCs w:val="24"/>
        </w:rPr>
        <w:t>范围</w:t>
      </w:r>
    </w:p>
    <w:p w14:paraId="08F3444D" w14:textId="77777777" w:rsidR="00FE0E22" w:rsidRPr="00E103F5" w:rsidRDefault="004255FF">
      <w:pPr>
        <w:spacing w:beforeLines="50" w:before="156" w:line="360" w:lineRule="auto"/>
        <w:ind w:firstLineChars="200" w:firstLine="480"/>
        <w:rPr>
          <w:rFonts w:asciiTheme="minorEastAsia" w:eastAsiaTheme="minorEastAsia" w:hAnsiTheme="minorEastAsia"/>
          <w:sz w:val="24"/>
          <w:szCs w:val="24"/>
        </w:rPr>
      </w:pPr>
      <w:bookmarkStart w:id="14" w:name="OLE_LINK5"/>
      <w:r w:rsidRPr="00E103F5">
        <w:rPr>
          <w:rFonts w:asciiTheme="minorEastAsia" w:eastAsiaTheme="minorEastAsia" w:hAnsiTheme="minorEastAsia" w:hint="eastAsia"/>
          <w:sz w:val="24"/>
          <w:szCs w:val="24"/>
        </w:rPr>
        <w:t>本标准</w:t>
      </w:r>
      <w:proofErr w:type="gramStart"/>
      <w:r w:rsidRPr="00E103F5">
        <w:rPr>
          <w:rFonts w:asciiTheme="minorEastAsia" w:eastAsiaTheme="minorEastAsia" w:hAnsiTheme="minorEastAsia" w:hint="eastAsia"/>
          <w:sz w:val="24"/>
          <w:szCs w:val="24"/>
        </w:rPr>
        <w:t>规定了规定了</w:t>
      </w:r>
      <w:proofErr w:type="gramEnd"/>
      <w:r w:rsidRPr="00E103F5">
        <w:rPr>
          <w:rFonts w:asciiTheme="minorEastAsia" w:eastAsiaTheme="minorEastAsia" w:hAnsiTheme="minorEastAsia" w:hint="eastAsia"/>
          <w:sz w:val="24"/>
          <w:szCs w:val="24"/>
        </w:rPr>
        <w:t>港口物流节点代码规则的编制原则、编制规则和代码示例。 本标准适用于港口物流节点代码的编制和使用，为物流信息的互联互通提供基础支撑。覆盖海运物流、港口作业、货代申报等信息交换及系统对接等相关场景。适用对象包括港口管理机构、港口码头企业、物流服务提供商及相关企业等。可为港口物流节点的唯一标识、信息</w:t>
      </w:r>
      <w:proofErr w:type="gramStart"/>
      <w:r w:rsidRPr="00E103F5">
        <w:rPr>
          <w:rFonts w:asciiTheme="minorEastAsia" w:eastAsiaTheme="minorEastAsia" w:hAnsiTheme="minorEastAsia" w:hint="eastAsia"/>
          <w:sz w:val="24"/>
          <w:szCs w:val="24"/>
        </w:rPr>
        <w:t>集成及跨系统</w:t>
      </w:r>
      <w:proofErr w:type="gramEnd"/>
      <w:r w:rsidRPr="00E103F5">
        <w:rPr>
          <w:rFonts w:asciiTheme="minorEastAsia" w:eastAsiaTheme="minorEastAsia" w:hAnsiTheme="minorEastAsia" w:hint="eastAsia"/>
          <w:sz w:val="24"/>
          <w:szCs w:val="24"/>
        </w:rPr>
        <w:t>数据交换提供统一依据，有效支撑港口物流信息标准化建设和数字化发展，促进多主体间数据共享与业务协同。</w:t>
      </w:r>
    </w:p>
    <w:bookmarkEnd w:id="14"/>
    <w:p w14:paraId="1B2B0A27" w14:textId="77777777" w:rsidR="00FE0E22" w:rsidRPr="00E103F5" w:rsidRDefault="004255FF">
      <w:pPr>
        <w:spacing w:beforeLines="50" w:before="156" w:line="360" w:lineRule="auto"/>
        <w:rPr>
          <w:rFonts w:asciiTheme="minorEastAsia" w:eastAsiaTheme="minorEastAsia" w:hAnsiTheme="minorEastAsia"/>
          <w:b/>
          <w:sz w:val="24"/>
          <w:szCs w:val="24"/>
        </w:rPr>
      </w:pPr>
      <w:r w:rsidRPr="00E103F5">
        <w:rPr>
          <w:rFonts w:asciiTheme="minorEastAsia" w:eastAsiaTheme="minorEastAsia" w:hAnsiTheme="minorEastAsia" w:hint="eastAsia"/>
          <w:b/>
          <w:sz w:val="24"/>
          <w:szCs w:val="24"/>
        </w:rPr>
        <w:t>2</w:t>
      </w:r>
      <w:r w:rsidRPr="00E103F5">
        <w:rPr>
          <w:rFonts w:asciiTheme="minorEastAsia" w:eastAsiaTheme="minorEastAsia" w:hAnsiTheme="minorEastAsia"/>
          <w:b/>
          <w:sz w:val="24"/>
          <w:szCs w:val="24"/>
        </w:rPr>
        <w:t>.</w:t>
      </w:r>
      <w:r w:rsidRPr="00E103F5">
        <w:rPr>
          <w:rFonts w:asciiTheme="minorEastAsia" w:eastAsiaTheme="minorEastAsia" w:hAnsiTheme="minorEastAsia" w:hint="eastAsia"/>
          <w:b/>
          <w:sz w:val="24"/>
          <w:szCs w:val="24"/>
        </w:rPr>
        <w:t>规范性引用文件</w:t>
      </w:r>
    </w:p>
    <w:p w14:paraId="5FE1BDAC" w14:textId="77777777" w:rsidR="00FE0E22" w:rsidRPr="00E103F5" w:rsidRDefault="004255FF">
      <w:pPr>
        <w:spacing w:beforeLines="50" w:before="156" w:line="360" w:lineRule="auto"/>
        <w:ind w:firstLineChars="200" w:firstLine="480"/>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t>本标准在编制过程中，规范性引用的文件体系较为完整，涵盖了国际标准和国家标准等多个层面，为港口物流节点代码的结构设计与规则制定提供了统一依据和技术支撑。</w:t>
      </w:r>
    </w:p>
    <w:p w14:paraId="288FC139" w14:textId="07E57F16" w:rsidR="00520FEB" w:rsidRPr="00E103F5" w:rsidRDefault="00520FEB" w:rsidP="00520FEB">
      <w:pPr>
        <w:spacing w:beforeLines="50" w:before="156" w:line="360" w:lineRule="auto"/>
        <w:ind w:firstLineChars="200" w:firstLine="480"/>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t>GB/T 2260 中华人民共和国行政区划代码</w:t>
      </w:r>
    </w:p>
    <w:p w14:paraId="042A01F8" w14:textId="77777777" w:rsidR="00520FEB" w:rsidRPr="00E103F5" w:rsidRDefault="00520FEB" w:rsidP="00520FEB">
      <w:pPr>
        <w:spacing w:beforeLines="50" w:before="156" w:line="360" w:lineRule="auto"/>
        <w:ind w:firstLineChars="200" w:firstLine="480"/>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t>GB/T 7407 中国及世界主要水运口岸及相关地点代码</w:t>
      </w:r>
    </w:p>
    <w:p w14:paraId="7AFE1707" w14:textId="77777777" w:rsidR="00FE0E22" w:rsidRPr="00E103F5" w:rsidRDefault="004255FF">
      <w:pPr>
        <w:spacing w:beforeLines="50" w:before="156" w:line="360" w:lineRule="auto"/>
        <w:ind w:firstLineChars="200" w:firstLine="480"/>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t>UN/LOCODE 联合国口岸及相关地点代码</w:t>
      </w:r>
    </w:p>
    <w:p w14:paraId="7C1F7560" w14:textId="0F9F0ED1" w:rsidR="00FE0E22" w:rsidRPr="00E103F5" w:rsidRDefault="004255FF">
      <w:pPr>
        <w:spacing w:beforeLines="50" w:before="156" w:line="360" w:lineRule="auto"/>
        <w:ind w:firstLineChars="200" w:firstLine="480"/>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t>依据：引用上述标准，涉及编制方法和编制代码的引用等。如基础代码直接引用GB/T</w:t>
      </w:r>
      <w:r w:rsidR="00520FEB" w:rsidRPr="00E103F5">
        <w:rPr>
          <w:rFonts w:asciiTheme="minorEastAsia" w:eastAsiaTheme="minorEastAsia" w:hAnsiTheme="minorEastAsia"/>
          <w:sz w:val="24"/>
          <w:szCs w:val="24"/>
        </w:rPr>
        <w:t xml:space="preserve"> </w:t>
      </w:r>
      <w:r w:rsidRPr="00E103F5">
        <w:rPr>
          <w:rFonts w:asciiTheme="minorEastAsia" w:eastAsiaTheme="minorEastAsia" w:hAnsiTheme="minorEastAsia" w:hint="eastAsia"/>
          <w:sz w:val="24"/>
          <w:szCs w:val="24"/>
        </w:rPr>
        <w:t>7407中的已有的港口5位字母代码，对于GB/T</w:t>
      </w:r>
      <w:r w:rsidR="00520FEB" w:rsidRPr="00E103F5">
        <w:rPr>
          <w:rFonts w:asciiTheme="minorEastAsia" w:eastAsiaTheme="minorEastAsia" w:hAnsiTheme="minorEastAsia"/>
          <w:sz w:val="24"/>
          <w:szCs w:val="24"/>
        </w:rPr>
        <w:t xml:space="preserve"> </w:t>
      </w:r>
      <w:r w:rsidRPr="00E103F5">
        <w:rPr>
          <w:rFonts w:asciiTheme="minorEastAsia" w:eastAsiaTheme="minorEastAsia" w:hAnsiTheme="minorEastAsia" w:hint="eastAsia"/>
          <w:sz w:val="24"/>
          <w:szCs w:val="24"/>
        </w:rPr>
        <w:t>7407未覆盖的物流节点，引用与UN/LOCODE（联合国口岸及相关地点代码）的港口5位字母代码进行补充。国内标识码引用GB/T2260的2位字母代码，用于国内统计与监管，不参与国际数据交换。</w:t>
      </w:r>
    </w:p>
    <w:p w14:paraId="1CBA6895" w14:textId="26D8480F" w:rsidR="00FE0E22" w:rsidRPr="00E103F5" w:rsidRDefault="004255FF">
      <w:pPr>
        <w:spacing w:beforeLines="50" w:before="156" w:line="360" w:lineRule="auto"/>
        <w:ind w:firstLineChars="200" w:firstLine="480"/>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t>上述引用文件从行政区划编码、国家地区编码到港口地点编码，形成了层次清晰、相互衔接的编码基础体系，共同为本标准中港口物流节点代码的编制提供了权威、统一的规范性依据。</w:t>
      </w:r>
    </w:p>
    <w:p w14:paraId="2474AE54" w14:textId="77777777" w:rsidR="00FE0E22" w:rsidRPr="00E103F5" w:rsidRDefault="004255FF">
      <w:pPr>
        <w:spacing w:beforeLines="50" w:before="156" w:line="360" w:lineRule="auto"/>
        <w:rPr>
          <w:rFonts w:asciiTheme="minorEastAsia" w:eastAsiaTheme="minorEastAsia" w:hAnsiTheme="minorEastAsia"/>
          <w:b/>
          <w:sz w:val="24"/>
          <w:szCs w:val="24"/>
        </w:rPr>
      </w:pPr>
      <w:r w:rsidRPr="00E103F5">
        <w:rPr>
          <w:rFonts w:asciiTheme="minorEastAsia" w:eastAsiaTheme="minorEastAsia" w:hAnsiTheme="minorEastAsia"/>
          <w:b/>
          <w:sz w:val="24"/>
          <w:szCs w:val="24"/>
        </w:rPr>
        <w:t>3</w:t>
      </w:r>
      <w:r w:rsidRPr="00E103F5">
        <w:rPr>
          <w:rFonts w:asciiTheme="minorEastAsia" w:eastAsiaTheme="minorEastAsia" w:hAnsiTheme="minorEastAsia" w:hint="eastAsia"/>
          <w:b/>
          <w:sz w:val="24"/>
          <w:szCs w:val="24"/>
        </w:rPr>
        <w:t>.术语和定义</w:t>
      </w:r>
    </w:p>
    <w:p w14:paraId="588BCD37" w14:textId="52513C0B" w:rsidR="0063374C" w:rsidRPr="00E103F5" w:rsidRDefault="0063374C">
      <w:pPr>
        <w:spacing w:beforeLines="50" w:before="156" w:line="360" w:lineRule="auto"/>
        <w:ind w:firstLineChars="200" w:firstLine="480"/>
        <w:rPr>
          <w:rFonts w:asciiTheme="minorEastAsia" w:eastAsiaTheme="minorEastAsia" w:hAnsiTheme="minorEastAsia"/>
          <w:sz w:val="24"/>
          <w:szCs w:val="24"/>
        </w:rPr>
      </w:pPr>
      <w:proofErr w:type="gramStart"/>
      <w:r w:rsidRPr="00E103F5">
        <w:rPr>
          <w:rFonts w:asciiTheme="minorEastAsia" w:eastAsiaTheme="minorEastAsia" w:hAnsiTheme="minorEastAsia" w:hint="eastAsia"/>
          <w:sz w:val="24"/>
          <w:szCs w:val="24"/>
        </w:rPr>
        <w:lastRenderedPageBreak/>
        <w:t>本部分对标准</w:t>
      </w:r>
      <w:proofErr w:type="gramEnd"/>
      <w:r w:rsidRPr="00E103F5">
        <w:rPr>
          <w:rFonts w:asciiTheme="minorEastAsia" w:eastAsiaTheme="minorEastAsia" w:hAnsiTheme="minorEastAsia" w:hint="eastAsia"/>
          <w:sz w:val="24"/>
          <w:szCs w:val="24"/>
        </w:rPr>
        <w:t>的核心术语</w:t>
      </w:r>
      <w:r w:rsidR="0008623E" w:rsidRPr="00E103F5">
        <w:rPr>
          <w:rFonts w:asciiTheme="minorEastAsia" w:eastAsiaTheme="minorEastAsia" w:hAnsiTheme="minorEastAsia" w:hint="eastAsia"/>
          <w:sz w:val="24"/>
          <w:szCs w:val="24"/>
        </w:rPr>
        <w:t>“</w:t>
      </w:r>
      <w:r w:rsidRPr="00E103F5">
        <w:rPr>
          <w:rFonts w:asciiTheme="minorEastAsia" w:eastAsiaTheme="minorEastAsia" w:hAnsiTheme="minorEastAsia" w:hint="eastAsia"/>
          <w:sz w:val="24"/>
          <w:szCs w:val="24"/>
        </w:rPr>
        <w:t>港口物流节点</w:t>
      </w:r>
      <w:r w:rsidR="0008623E" w:rsidRPr="00E103F5">
        <w:rPr>
          <w:rFonts w:asciiTheme="minorEastAsia" w:eastAsiaTheme="minorEastAsia" w:hAnsiTheme="minorEastAsia" w:hint="eastAsia"/>
          <w:sz w:val="24"/>
          <w:szCs w:val="24"/>
        </w:rPr>
        <w:t>”</w:t>
      </w:r>
      <w:r w:rsidRPr="00E103F5">
        <w:rPr>
          <w:rFonts w:asciiTheme="minorEastAsia" w:eastAsiaTheme="minorEastAsia" w:hAnsiTheme="minorEastAsia" w:hint="eastAsia"/>
          <w:sz w:val="24"/>
          <w:szCs w:val="24"/>
        </w:rPr>
        <w:t>进行了定义。该术语是本标准代码编制的对象，其内涵与外延的界定直接关系到编码规则的适用边界和编码对象的识别判定。</w:t>
      </w:r>
    </w:p>
    <w:p w14:paraId="2E7467EF" w14:textId="11794E9C" w:rsidR="0008623E" w:rsidRPr="00E103F5" w:rsidRDefault="004255FF">
      <w:pPr>
        <w:spacing w:beforeLines="50" w:before="156" w:line="360" w:lineRule="auto"/>
        <w:ind w:firstLineChars="200" w:firstLine="480"/>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t>依据：</w:t>
      </w:r>
      <w:r w:rsidR="0063374C" w:rsidRPr="00E103F5">
        <w:rPr>
          <w:rFonts w:asciiTheme="minorEastAsia" w:eastAsiaTheme="minorEastAsia" w:hAnsiTheme="minorEastAsia" w:hint="eastAsia"/>
          <w:sz w:val="24"/>
          <w:szCs w:val="24"/>
        </w:rPr>
        <w:t>该术语</w:t>
      </w:r>
      <w:proofErr w:type="gramStart"/>
      <w:r w:rsidR="0063374C" w:rsidRPr="00E103F5">
        <w:rPr>
          <w:rFonts w:asciiTheme="minorEastAsia" w:eastAsiaTheme="minorEastAsia" w:hAnsiTheme="minorEastAsia" w:hint="eastAsia"/>
          <w:sz w:val="24"/>
          <w:szCs w:val="24"/>
        </w:rPr>
        <w:t>改写自</w:t>
      </w:r>
      <w:proofErr w:type="gramEnd"/>
      <w:r w:rsidR="0063374C" w:rsidRPr="00E103F5">
        <w:rPr>
          <w:rFonts w:asciiTheme="minorEastAsia" w:eastAsiaTheme="minorEastAsia" w:hAnsiTheme="minorEastAsia" w:hint="eastAsia"/>
          <w:sz w:val="24"/>
          <w:szCs w:val="24"/>
        </w:rPr>
        <w:t>GB/T18354-2021《物流术语》中</w:t>
      </w:r>
      <w:r w:rsidR="0008623E" w:rsidRPr="00E103F5">
        <w:rPr>
          <w:rFonts w:asciiTheme="minorEastAsia" w:eastAsiaTheme="minorEastAsia" w:hAnsiTheme="minorEastAsia" w:hint="eastAsia"/>
          <w:sz w:val="24"/>
          <w:szCs w:val="24"/>
        </w:rPr>
        <w:t>“</w:t>
      </w:r>
      <w:r w:rsidR="0063374C" w:rsidRPr="00E103F5">
        <w:rPr>
          <w:rFonts w:asciiTheme="minorEastAsia" w:eastAsiaTheme="minorEastAsia" w:hAnsiTheme="minorEastAsia" w:hint="eastAsia"/>
          <w:sz w:val="24"/>
          <w:szCs w:val="24"/>
        </w:rPr>
        <w:t>物流节点</w:t>
      </w:r>
      <w:r w:rsidR="0008623E" w:rsidRPr="00E103F5">
        <w:rPr>
          <w:rFonts w:asciiTheme="minorEastAsia" w:eastAsiaTheme="minorEastAsia" w:hAnsiTheme="minorEastAsia" w:hint="eastAsia"/>
          <w:sz w:val="24"/>
          <w:szCs w:val="24"/>
        </w:rPr>
        <w:t>”</w:t>
      </w:r>
      <w:r w:rsidR="0063374C" w:rsidRPr="00E103F5">
        <w:rPr>
          <w:rFonts w:asciiTheme="minorEastAsia" w:eastAsiaTheme="minorEastAsia" w:hAnsiTheme="minorEastAsia" w:hint="eastAsia"/>
          <w:sz w:val="24"/>
          <w:szCs w:val="24"/>
        </w:rPr>
        <w:t>（3.11）</w:t>
      </w:r>
      <w:r w:rsidR="0008623E" w:rsidRPr="00E103F5">
        <w:rPr>
          <w:rFonts w:asciiTheme="minorEastAsia" w:eastAsiaTheme="minorEastAsia" w:hAnsiTheme="minorEastAsia" w:hint="eastAsia"/>
          <w:sz w:val="24"/>
          <w:szCs w:val="24"/>
        </w:rPr>
        <w:t>的定义</w:t>
      </w:r>
      <w:r w:rsidR="0063374C" w:rsidRPr="00E103F5">
        <w:rPr>
          <w:rFonts w:asciiTheme="minorEastAsia" w:eastAsiaTheme="minorEastAsia" w:hAnsiTheme="minorEastAsia" w:hint="eastAsia"/>
          <w:sz w:val="24"/>
          <w:szCs w:val="24"/>
        </w:rPr>
        <w:t>。原定义为通用性表述，适用于各类物流场所和组织。本标准结合港口物流的业务特性，增加</w:t>
      </w:r>
      <w:r w:rsidR="0008623E" w:rsidRPr="00E103F5">
        <w:rPr>
          <w:rFonts w:asciiTheme="minorEastAsia" w:eastAsiaTheme="minorEastAsia" w:hAnsiTheme="minorEastAsia" w:hint="eastAsia"/>
          <w:sz w:val="24"/>
          <w:szCs w:val="24"/>
        </w:rPr>
        <w:t>“</w:t>
      </w:r>
      <w:r w:rsidR="0063374C" w:rsidRPr="00E103F5">
        <w:rPr>
          <w:rFonts w:asciiTheme="minorEastAsia" w:eastAsiaTheme="minorEastAsia" w:hAnsiTheme="minorEastAsia" w:hint="eastAsia"/>
          <w:sz w:val="24"/>
          <w:szCs w:val="24"/>
        </w:rPr>
        <w:t>港口</w:t>
      </w:r>
      <w:r w:rsidR="0008623E" w:rsidRPr="00E103F5">
        <w:rPr>
          <w:rFonts w:asciiTheme="minorEastAsia" w:eastAsiaTheme="minorEastAsia" w:hAnsiTheme="minorEastAsia" w:hint="eastAsia"/>
          <w:sz w:val="24"/>
          <w:szCs w:val="24"/>
        </w:rPr>
        <w:t>”</w:t>
      </w:r>
      <w:r w:rsidR="0063374C" w:rsidRPr="00E103F5">
        <w:rPr>
          <w:rFonts w:asciiTheme="minorEastAsia" w:eastAsiaTheme="minorEastAsia" w:hAnsiTheme="minorEastAsia" w:hint="eastAsia"/>
          <w:sz w:val="24"/>
          <w:szCs w:val="24"/>
        </w:rPr>
        <w:t>限定词及功能定位描述，聚焦</w:t>
      </w:r>
      <w:r w:rsidR="0008623E" w:rsidRPr="00E103F5">
        <w:rPr>
          <w:rFonts w:asciiTheme="minorEastAsia" w:eastAsiaTheme="minorEastAsia" w:hAnsiTheme="minorEastAsia" w:hint="eastAsia"/>
          <w:sz w:val="24"/>
          <w:szCs w:val="24"/>
        </w:rPr>
        <w:t>于</w:t>
      </w:r>
      <w:r w:rsidR="0063374C" w:rsidRPr="00E103F5">
        <w:rPr>
          <w:rFonts w:asciiTheme="minorEastAsia" w:eastAsiaTheme="minorEastAsia" w:hAnsiTheme="minorEastAsia" w:hint="eastAsia"/>
          <w:sz w:val="24"/>
          <w:szCs w:val="24"/>
        </w:rPr>
        <w:t>港口物流领域。结合我国港口物流实际业务情况，本标准将</w:t>
      </w:r>
      <w:r w:rsidR="0008623E" w:rsidRPr="00E103F5">
        <w:rPr>
          <w:rFonts w:asciiTheme="minorEastAsia" w:eastAsiaTheme="minorEastAsia" w:hAnsiTheme="minorEastAsia" w:hint="eastAsia"/>
          <w:sz w:val="24"/>
          <w:szCs w:val="24"/>
        </w:rPr>
        <w:t>“</w:t>
      </w:r>
      <w:r w:rsidR="0063374C" w:rsidRPr="00E103F5">
        <w:rPr>
          <w:rFonts w:asciiTheme="minorEastAsia" w:eastAsiaTheme="minorEastAsia" w:hAnsiTheme="minorEastAsia" w:hint="eastAsia"/>
          <w:sz w:val="24"/>
          <w:szCs w:val="24"/>
        </w:rPr>
        <w:t>港口物流节点</w:t>
      </w:r>
      <w:r w:rsidR="0008623E" w:rsidRPr="00E103F5">
        <w:rPr>
          <w:rFonts w:asciiTheme="minorEastAsia" w:eastAsiaTheme="minorEastAsia" w:hAnsiTheme="minorEastAsia" w:hint="eastAsia"/>
          <w:sz w:val="24"/>
          <w:szCs w:val="24"/>
        </w:rPr>
        <w:t>”</w:t>
      </w:r>
      <w:r w:rsidR="0063374C" w:rsidRPr="00E103F5">
        <w:rPr>
          <w:rFonts w:asciiTheme="minorEastAsia" w:eastAsiaTheme="minorEastAsia" w:hAnsiTheme="minorEastAsia" w:hint="eastAsia"/>
          <w:sz w:val="24"/>
          <w:szCs w:val="24"/>
        </w:rPr>
        <w:t>界定为</w:t>
      </w:r>
      <w:r w:rsidR="0008623E" w:rsidRPr="00E103F5">
        <w:rPr>
          <w:rFonts w:asciiTheme="minorEastAsia" w:eastAsiaTheme="minorEastAsia" w:hAnsiTheme="minorEastAsia" w:hint="eastAsia"/>
          <w:sz w:val="24"/>
          <w:szCs w:val="24"/>
        </w:rPr>
        <w:t>具有与所承担港口物流功能相配套的基础设施，以及与所要求的港口物流运营能力相适应的运营体系，在港口网络中发挥核心作业载体作用的物流场所和组织，包括但不限于码头、堆场、内陆港、货运站等。</w:t>
      </w:r>
    </w:p>
    <w:p w14:paraId="0F7E6068" w14:textId="77777777" w:rsidR="00FE0E22" w:rsidRPr="00E103F5" w:rsidRDefault="004255FF">
      <w:pPr>
        <w:spacing w:beforeLines="50" w:before="156" w:line="360" w:lineRule="auto"/>
        <w:rPr>
          <w:rFonts w:asciiTheme="minorEastAsia" w:eastAsiaTheme="minorEastAsia" w:hAnsiTheme="minorEastAsia"/>
          <w:b/>
          <w:sz w:val="24"/>
          <w:szCs w:val="24"/>
        </w:rPr>
      </w:pPr>
      <w:r w:rsidRPr="00E103F5">
        <w:rPr>
          <w:rFonts w:asciiTheme="minorEastAsia" w:eastAsiaTheme="minorEastAsia" w:hAnsiTheme="minorEastAsia"/>
          <w:b/>
          <w:sz w:val="24"/>
          <w:szCs w:val="24"/>
        </w:rPr>
        <w:t>4</w:t>
      </w:r>
      <w:r w:rsidRPr="00E103F5">
        <w:rPr>
          <w:rFonts w:asciiTheme="minorEastAsia" w:eastAsiaTheme="minorEastAsia" w:hAnsiTheme="minorEastAsia" w:hint="eastAsia"/>
          <w:b/>
          <w:sz w:val="24"/>
          <w:szCs w:val="24"/>
        </w:rPr>
        <w:t>.编制原则</w:t>
      </w:r>
    </w:p>
    <w:p w14:paraId="5020C9A4" w14:textId="75C97DA0" w:rsidR="00FE0E22" w:rsidRPr="00E103F5" w:rsidRDefault="004255FF">
      <w:pPr>
        <w:spacing w:beforeLines="50" w:before="156" w:line="360" w:lineRule="auto"/>
        <w:ind w:firstLine="420"/>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t>本部分提出港口物流代码编制原则，对各项原则进行说明。港口物流节点代码作为国际物流、港口管理体系中重要的基础性标识，其设计需兼顾业务实际、信息系统应用及标准化要求，因此在编制过程中遵循唯一性、稳定性、扩展性、规范性、兼容性、</w:t>
      </w:r>
      <w:r w:rsidR="0008623E" w:rsidRPr="00E103F5">
        <w:rPr>
          <w:rFonts w:asciiTheme="minorEastAsia" w:eastAsiaTheme="minorEastAsia" w:hAnsiTheme="minorEastAsia" w:hint="eastAsia"/>
          <w:sz w:val="24"/>
          <w:szCs w:val="24"/>
        </w:rPr>
        <w:t>可维护</w:t>
      </w:r>
      <w:r w:rsidRPr="00E103F5">
        <w:rPr>
          <w:rFonts w:asciiTheme="minorEastAsia" w:eastAsiaTheme="minorEastAsia" w:hAnsiTheme="minorEastAsia" w:hint="eastAsia"/>
          <w:sz w:val="24"/>
          <w:szCs w:val="24"/>
        </w:rPr>
        <w:t>性原则</w:t>
      </w:r>
    </w:p>
    <w:p w14:paraId="288604BE" w14:textId="77777777" w:rsidR="00FE0E22" w:rsidRPr="00E103F5" w:rsidRDefault="004255FF">
      <w:pPr>
        <w:spacing w:beforeLines="50" w:before="156" w:line="360" w:lineRule="auto"/>
        <w:ind w:firstLine="420"/>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t>依据：</w:t>
      </w:r>
    </w:p>
    <w:p w14:paraId="50E87540" w14:textId="77777777" w:rsidR="00FE0E22" w:rsidRPr="00E103F5" w:rsidRDefault="004255FF">
      <w:pPr>
        <w:spacing w:beforeLines="50" w:before="156" w:line="360" w:lineRule="auto"/>
        <w:ind w:firstLine="420"/>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t>（1）唯一性原则是编码类标准的首要原则。港口物流节点在实际业务中承担具体作业功能，不同节点之间在空间位置、作业属性及管理主体上均存在差异。如果编码不能做到“</w:t>
      </w:r>
      <w:proofErr w:type="gramStart"/>
      <w:r w:rsidRPr="00E103F5">
        <w:rPr>
          <w:rFonts w:asciiTheme="minorEastAsia" w:eastAsiaTheme="minorEastAsia" w:hAnsiTheme="minorEastAsia" w:hint="eastAsia"/>
          <w:sz w:val="24"/>
          <w:szCs w:val="24"/>
        </w:rPr>
        <w:t>一</w:t>
      </w:r>
      <w:proofErr w:type="gramEnd"/>
      <w:r w:rsidRPr="00E103F5">
        <w:rPr>
          <w:rFonts w:asciiTheme="minorEastAsia" w:eastAsiaTheme="minorEastAsia" w:hAnsiTheme="minorEastAsia" w:hint="eastAsia"/>
          <w:sz w:val="24"/>
          <w:szCs w:val="24"/>
        </w:rPr>
        <w:t>节点</w:t>
      </w:r>
      <w:proofErr w:type="gramStart"/>
      <w:r w:rsidRPr="00E103F5">
        <w:rPr>
          <w:rFonts w:asciiTheme="minorEastAsia" w:eastAsiaTheme="minorEastAsia" w:hAnsiTheme="minorEastAsia" w:hint="eastAsia"/>
          <w:sz w:val="24"/>
          <w:szCs w:val="24"/>
        </w:rPr>
        <w:t>一</w:t>
      </w:r>
      <w:proofErr w:type="gramEnd"/>
      <w:r w:rsidRPr="00E103F5">
        <w:rPr>
          <w:rFonts w:asciiTheme="minorEastAsia" w:eastAsiaTheme="minorEastAsia" w:hAnsiTheme="minorEastAsia" w:hint="eastAsia"/>
          <w:sz w:val="24"/>
          <w:szCs w:val="24"/>
        </w:rPr>
        <w:t>代码”，将导致节点识别混乱，进而影响作业指令下达、数据统计分析及责任追溯等关键业务环节。因此，本标准规定一个代码只唯一标识一个港口物流节点，以确保在各类信息系统和业务流程中能够对节点进行准确识别，避免歧义和重复。</w:t>
      </w:r>
    </w:p>
    <w:p w14:paraId="6B123691" w14:textId="4DE563DA" w:rsidR="00FE0E22" w:rsidRPr="00E103F5" w:rsidRDefault="004255FF">
      <w:pPr>
        <w:spacing w:beforeLines="50" w:before="156" w:line="360" w:lineRule="auto"/>
        <w:ind w:firstLine="420"/>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t>（2）稳定性原则</w:t>
      </w:r>
      <w:r w:rsidR="00B254D1" w:rsidRPr="00E103F5">
        <w:rPr>
          <w:rFonts w:asciiTheme="minorEastAsia" w:eastAsiaTheme="minorEastAsia" w:hAnsiTheme="minorEastAsia" w:hint="eastAsia"/>
          <w:sz w:val="24"/>
          <w:szCs w:val="24"/>
        </w:rPr>
        <w:t>是保障编码长期有效使用的重要前提。港口物流节点代码一旦在信息系统、业务单据及数据交换中被广泛使用，如频繁变更，将导致历史数据无法关联、系统接口失效及业务衔接中断，增加管理</w:t>
      </w:r>
      <w:r w:rsidR="0008623E" w:rsidRPr="00E103F5">
        <w:rPr>
          <w:rFonts w:asciiTheme="minorEastAsia" w:eastAsiaTheme="minorEastAsia" w:hAnsiTheme="minorEastAsia" w:hint="eastAsia"/>
          <w:sz w:val="24"/>
          <w:szCs w:val="24"/>
        </w:rPr>
        <w:t>和维护成本。因此，本标准规定代码分配后，在其生命周期内保持不变，</w:t>
      </w:r>
      <w:r w:rsidR="00B254D1" w:rsidRPr="00E103F5">
        <w:rPr>
          <w:rFonts w:asciiTheme="minorEastAsia" w:eastAsiaTheme="minorEastAsia" w:hAnsiTheme="minorEastAsia" w:hint="eastAsia"/>
          <w:sz w:val="24"/>
          <w:szCs w:val="24"/>
        </w:rPr>
        <w:t>保障数据的连续性和</w:t>
      </w:r>
      <w:proofErr w:type="gramStart"/>
      <w:r w:rsidR="00B254D1" w:rsidRPr="00E103F5">
        <w:rPr>
          <w:rFonts w:asciiTheme="minorEastAsia" w:eastAsiaTheme="minorEastAsia" w:hAnsiTheme="minorEastAsia" w:hint="eastAsia"/>
          <w:sz w:val="24"/>
          <w:szCs w:val="24"/>
        </w:rPr>
        <w:t>可</w:t>
      </w:r>
      <w:proofErr w:type="gramEnd"/>
      <w:r w:rsidR="00B254D1" w:rsidRPr="00E103F5">
        <w:rPr>
          <w:rFonts w:asciiTheme="minorEastAsia" w:eastAsiaTheme="minorEastAsia" w:hAnsiTheme="minorEastAsia" w:hint="eastAsia"/>
          <w:sz w:val="24"/>
          <w:szCs w:val="24"/>
        </w:rPr>
        <w:t>追溯性。</w:t>
      </w:r>
    </w:p>
    <w:p w14:paraId="5D3267F8" w14:textId="74347E6E" w:rsidR="00FE0E22" w:rsidRPr="00E103F5" w:rsidRDefault="004255FF">
      <w:pPr>
        <w:spacing w:beforeLines="50" w:before="156" w:line="360" w:lineRule="auto"/>
        <w:ind w:firstLine="420"/>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t>（3）扩展性原则</w:t>
      </w:r>
      <w:r w:rsidR="008019A4" w:rsidRPr="00E103F5">
        <w:rPr>
          <w:rFonts w:asciiTheme="minorEastAsia" w:eastAsiaTheme="minorEastAsia" w:hAnsiTheme="minorEastAsia" w:hint="eastAsia"/>
          <w:sz w:val="24"/>
          <w:szCs w:val="24"/>
        </w:rPr>
        <w:t>是</w:t>
      </w:r>
      <w:r w:rsidRPr="00E103F5">
        <w:rPr>
          <w:rFonts w:asciiTheme="minorEastAsia" w:eastAsiaTheme="minorEastAsia" w:hAnsiTheme="minorEastAsia" w:hint="eastAsia"/>
          <w:sz w:val="24"/>
          <w:szCs w:val="24"/>
        </w:rPr>
        <w:t>随着港口规模扩大、功能细化及物流组织模式的不断演</w:t>
      </w:r>
      <w:r w:rsidRPr="00E103F5">
        <w:rPr>
          <w:rFonts w:asciiTheme="minorEastAsia" w:eastAsiaTheme="minorEastAsia" w:hAnsiTheme="minorEastAsia" w:hint="eastAsia"/>
          <w:sz w:val="24"/>
          <w:szCs w:val="24"/>
        </w:rPr>
        <w:lastRenderedPageBreak/>
        <w:t>进，新的物流节点类型和作业单元将不断出现。如果编码结构设计缺乏扩展能力，将难以适应未来发展需求，甚至需要整体重构编码体系，影响标准的持续适用性。因此，本标准在代码结构设计中预留扩展空间，使其能够支持节点数量增长、类型细分及功能拓展，确保编码体系具备良好的前瞻性和可持续发展能力。</w:t>
      </w:r>
    </w:p>
    <w:p w14:paraId="5D699741" w14:textId="77777777" w:rsidR="00FE0E22" w:rsidRPr="00E103F5" w:rsidRDefault="004255FF">
      <w:pPr>
        <w:spacing w:beforeLines="50" w:before="156" w:line="360" w:lineRule="auto"/>
        <w:ind w:firstLine="420"/>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t>（4）规范性原则是实现标准统一实施和系统自动处理的基础。港口物流节点代码广泛应用于信息系统之间的数据交换和业务协同，如果编码格式不统一或表达不规范，将增加系统解析难度，甚至引发识别错误。因此，本标准对代码的组成形式进行统一规定，明确采用数字和大写字母组合、不包含特殊字符和空格，以保证编码结构清晰、表达一致，便于不同系统进行自动识别、解析和处理，提高标准实施的规范性和一致性。</w:t>
      </w:r>
    </w:p>
    <w:p w14:paraId="3D6F449B" w14:textId="1CE332CE" w:rsidR="00FE0E22" w:rsidRPr="00E103F5" w:rsidRDefault="004255FF">
      <w:pPr>
        <w:spacing w:beforeLines="50" w:before="156" w:line="360" w:lineRule="auto"/>
        <w:ind w:firstLine="420"/>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t>（5）兼容性原则是实现数据互联互通和系统协同运行的关键。当前港口物流领域已存在多种编码体系和信息标准，如国家标准、行业标准以及国际通用编码体系（如UN/LOCODE、GS1GLN等）。如果新建编码体系与既有标准不兼容，将形成新的“信息孤岛”，增加系统改造成本，影响数据共享效率。因此，本标准在编制过程中充分考虑与现有港口物流信息平台、行业编码标准及多式联运相关编码规则的衔接，在结构设计和编码逻辑上保持一致或可映射关系，确保不同系统之间能够顺畅对接，实现跨平台识别与数据共享。</w:t>
      </w:r>
    </w:p>
    <w:p w14:paraId="7DE4D2D8" w14:textId="71C766FC" w:rsidR="008019A4" w:rsidRPr="00E103F5" w:rsidRDefault="008019A4">
      <w:pPr>
        <w:spacing w:beforeLines="50" w:before="156" w:line="360" w:lineRule="auto"/>
        <w:ind w:firstLine="420"/>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t>（6）</w:t>
      </w:r>
      <w:r w:rsidR="0008623E" w:rsidRPr="00E103F5">
        <w:rPr>
          <w:rFonts w:asciiTheme="minorEastAsia" w:eastAsiaTheme="minorEastAsia" w:hAnsiTheme="minorEastAsia" w:hint="eastAsia"/>
          <w:sz w:val="24"/>
          <w:szCs w:val="24"/>
        </w:rPr>
        <w:t>可维护性</w:t>
      </w:r>
      <w:r w:rsidRPr="00E103F5">
        <w:rPr>
          <w:rFonts w:asciiTheme="minorEastAsia" w:eastAsiaTheme="minorEastAsia" w:hAnsiTheme="minorEastAsia" w:hint="eastAsia"/>
          <w:sz w:val="24"/>
          <w:szCs w:val="24"/>
        </w:rPr>
        <w:t>原则是保障编码体系长期稳定运行与持续迭代的重要机制。港口物流节点代码体系涉及面广、影响深远，若采用完全独立编码方式，每次标准更新或节点变更均需重新赋码和维护，工作量巨大且易引发系统性风险。因此，本标准采用模块化组合编码方式，通过引用已有基础代码段（如GB/T</w:t>
      </w:r>
      <w:r w:rsidR="0008623E" w:rsidRPr="00E103F5">
        <w:rPr>
          <w:rFonts w:asciiTheme="minorEastAsia" w:eastAsiaTheme="minorEastAsia" w:hAnsiTheme="minorEastAsia"/>
          <w:sz w:val="24"/>
          <w:szCs w:val="24"/>
        </w:rPr>
        <w:t xml:space="preserve"> </w:t>
      </w:r>
      <w:r w:rsidRPr="00E103F5">
        <w:rPr>
          <w:rFonts w:asciiTheme="minorEastAsia" w:eastAsiaTheme="minorEastAsia" w:hAnsiTheme="minorEastAsia" w:hint="eastAsia"/>
          <w:sz w:val="24"/>
          <w:szCs w:val="24"/>
        </w:rPr>
        <w:t>7407、UN/LOCODE等）进行拼接组合，减少独立编码与重复维护工作量，保障编码体系在长期运行中能够持续迭代、动态优化，降低维护成本。</w:t>
      </w:r>
    </w:p>
    <w:p w14:paraId="70A7D22F" w14:textId="77777777" w:rsidR="00FE0E22" w:rsidRPr="00E103F5" w:rsidRDefault="004255FF">
      <w:pPr>
        <w:spacing w:beforeLines="50" w:before="156" w:line="360" w:lineRule="auto"/>
        <w:rPr>
          <w:rFonts w:asciiTheme="minorEastAsia" w:eastAsiaTheme="minorEastAsia" w:hAnsiTheme="minorEastAsia"/>
          <w:b/>
          <w:sz w:val="24"/>
          <w:szCs w:val="24"/>
        </w:rPr>
      </w:pPr>
      <w:r w:rsidRPr="00E103F5">
        <w:rPr>
          <w:rFonts w:asciiTheme="minorEastAsia" w:eastAsiaTheme="minorEastAsia" w:hAnsiTheme="minorEastAsia"/>
          <w:b/>
          <w:sz w:val="24"/>
          <w:szCs w:val="24"/>
        </w:rPr>
        <w:t>5</w:t>
      </w:r>
      <w:r w:rsidRPr="00E103F5">
        <w:rPr>
          <w:rFonts w:asciiTheme="minorEastAsia" w:eastAsiaTheme="minorEastAsia" w:hAnsiTheme="minorEastAsia" w:hint="eastAsia"/>
          <w:b/>
          <w:sz w:val="24"/>
          <w:szCs w:val="24"/>
        </w:rPr>
        <w:t>.编制规则</w:t>
      </w:r>
    </w:p>
    <w:p w14:paraId="05FF7FCF" w14:textId="77777777" w:rsidR="00FE0E22" w:rsidRPr="00E103F5" w:rsidRDefault="004255FF">
      <w:pPr>
        <w:spacing w:beforeLines="50" w:before="156" w:line="360" w:lineRule="auto"/>
        <w:ind w:firstLineChars="200" w:firstLine="480"/>
        <w:rPr>
          <w:rFonts w:asciiTheme="minorEastAsia" w:eastAsiaTheme="minorEastAsia" w:hAnsiTheme="minorEastAsia"/>
          <w:sz w:val="24"/>
          <w:szCs w:val="24"/>
        </w:rPr>
      </w:pPr>
      <w:proofErr w:type="gramStart"/>
      <w:r w:rsidRPr="00E103F5">
        <w:rPr>
          <w:rFonts w:asciiTheme="minorEastAsia" w:eastAsiaTheme="minorEastAsia" w:hAnsiTheme="minorEastAsia" w:hint="eastAsia"/>
          <w:sz w:val="24"/>
          <w:szCs w:val="24"/>
        </w:rPr>
        <w:t>本部分对标准</w:t>
      </w:r>
      <w:proofErr w:type="gramEnd"/>
      <w:r w:rsidRPr="00E103F5">
        <w:rPr>
          <w:rFonts w:asciiTheme="minorEastAsia" w:eastAsiaTheme="minorEastAsia" w:hAnsiTheme="minorEastAsia" w:hint="eastAsia"/>
          <w:sz w:val="24"/>
          <w:szCs w:val="24"/>
        </w:rPr>
        <w:t>中港口物流节点代码结构及具体编制规则的设计依据进行说明。代码编制规则是在满足唯一性、稳定性、扩展性、规范性及兼容性原则的基础上，结合港口物流实际业务需求、现有编码体系及信息系统应用情况综合确定</w:t>
      </w:r>
      <w:r w:rsidRPr="00E103F5">
        <w:rPr>
          <w:rFonts w:asciiTheme="minorEastAsia" w:eastAsiaTheme="minorEastAsia" w:hAnsiTheme="minorEastAsia" w:hint="eastAsia"/>
          <w:sz w:val="24"/>
          <w:szCs w:val="24"/>
        </w:rPr>
        <w:lastRenderedPageBreak/>
        <w:t>的。</w:t>
      </w:r>
    </w:p>
    <w:p w14:paraId="48D2064E" w14:textId="03668132" w:rsidR="00FE0E22" w:rsidRPr="00E103F5" w:rsidRDefault="004255FF">
      <w:pPr>
        <w:spacing w:beforeLines="50" w:before="156" w:line="360" w:lineRule="auto"/>
        <w:ind w:firstLineChars="200" w:firstLine="480"/>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t>基础代码采用国家或地区代码与港口代码组合形成，基础代码参考GB/T</w:t>
      </w:r>
      <w:r w:rsidR="000147C3" w:rsidRPr="00E103F5">
        <w:rPr>
          <w:rFonts w:asciiTheme="minorEastAsia" w:eastAsiaTheme="minorEastAsia" w:hAnsiTheme="minorEastAsia"/>
          <w:sz w:val="24"/>
          <w:szCs w:val="24"/>
        </w:rPr>
        <w:t xml:space="preserve"> </w:t>
      </w:r>
      <w:r w:rsidRPr="00E103F5">
        <w:rPr>
          <w:rFonts w:asciiTheme="minorEastAsia" w:eastAsiaTheme="minorEastAsia" w:hAnsiTheme="minorEastAsia" w:hint="eastAsia"/>
          <w:sz w:val="24"/>
          <w:szCs w:val="24"/>
        </w:rPr>
        <w:t>7407及UN/LOCODE等标准。GB/T</w:t>
      </w:r>
      <w:r w:rsidR="000147C3" w:rsidRPr="00E103F5">
        <w:rPr>
          <w:rFonts w:asciiTheme="minorEastAsia" w:eastAsiaTheme="minorEastAsia" w:hAnsiTheme="minorEastAsia"/>
          <w:sz w:val="24"/>
          <w:szCs w:val="24"/>
        </w:rPr>
        <w:t xml:space="preserve"> </w:t>
      </w:r>
      <w:r w:rsidRPr="00E103F5">
        <w:rPr>
          <w:rFonts w:asciiTheme="minorEastAsia" w:eastAsiaTheme="minorEastAsia" w:hAnsiTheme="minorEastAsia" w:hint="eastAsia"/>
          <w:sz w:val="24"/>
          <w:szCs w:val="24"/>
        </w:rPr>
        <w:t>7407国家层面和港口层面的权威编码标准，具有良好的统一性和稳定性；UN/LOCODE作为国际通用港口代码体系，在国际航运与物流领域广泛应用。通过直接引用或兼容这些标准，可确保本标准编码在国内外数据交换中的可识别性和通用性，避免重复编码，提高国际互认程度。</w:t>
      </w:r>
    </w:p>
    <w:p w14:paraId="3C47BC59" w14:textId="07939C98" w:rsidR="00FE0E22" w:rsidRPr="00E103F5" w:rsidRDefault="004255FF">
      <w:pPr>
        <w:spacing w:beforeLines="50" w:before="156" w:line="360" w:lineRule="auto"/>
        <w:ind w:firstLineChars="200" w:firstLine="480"/>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t>同时，在港口代码选取上，本标准优先</w:t>
      </w:r>
      <w:r w:rsidRPr="00E103F5">
        <w:rPr>
          <w:rFonts w:asciiTheme="minorEastAsia" w:eastAsiaTheme="minorEastAsia" w:hAnsiTheme="minorEastAsia" w:hint="eastAsia"/>
          <w:b/>
          <w:bCs/>
          <w:sz w:val="24"/>
          <w:szCs w:val="24"/>
        </w:rPr>
        <w:t>采用GB/T7407及UN/LOCODE所使用的五位字母代码体系</w:t>
      </w:r>
      <w:r w:rsidRPr="00E103F5">
        <w:rPr>
          <w:rFonts w:asciiTheme="minorEastAsia" w:eastAsiaTheme="minorEastAsia" w:hAnsiTheme="minorEastAsia" w:hint="eastAsia"/>
          <w:sz w:val="24"/>
          <w:szCs w:val="24"/>
        </w:rPr>
        <w:t>，而</w:t>
      </w:r>
      <w:r w:rsidRPr="00E103F5">
        <w:rPr>
          <w:rFonts w:asciiTheme="minorEastAsia" w:eastAsiaTheme="minorEastAsia" w:hAnsiTheme="minorEastAsia" w:hint="eastAsia"/>
          <w:b/>
          <w:bCs/>
          <w:sz w:val="24"/>
          <w:szCs w:val="24"/>
        </w:rPr>
        <w:t>未选用中国港口代码（JT/T24）中规定的六位数字代码</w:t>
      </w:r>
      <w:r w:rsidRPr="00E103F5">
        <w:rPr>
          <w:rFonts w:asciiTheme="minorEastAsia" w:eastAsiaTheme="minorEastAsia" w:hAnsiTheme="minorEastAsia" w:hint="eastAsia"/>
          <w:sz w:val="24"/>
          <w:szCs w:val="24"/>
        </w:rPr>
        <w:t>，主要基于标准应用场景和服务对象的差异：本标准面向跨区域、跨主体的物流与贸易业务应用，服务于货主企业、物流企业以及多式联运各参与方之间的信息</w:t>
      </w:r>
      <w:proofErr w:type="gramStart"/>
      <w:r w:rsidRPr="00E103F5">
        <w:rPr>
          <w:rFonts w:asciiTheme="minorEastAsia" w:eastAsiaTheme="minorEastAsia" w:hAnsiTheme="minorEastAsia" w:hint="eastAsia"/>
          <w:sz w:val="24"/>
          <w:szCs w:val="24"/>
        </w:rPr>
        <w:t>交互与</w:t>
      </w:r>
      <w:proofErr w:type="gramEnd"/>
      <w:r w:rsidRPr="00E103F5">
        <w:rPr>
          <w:rFonts w:asciiTheme="minorEastAsia" w:eastAsiaTheme="minorEastAsia" w:hAnsiTheme="minorEastAsia" w:hint="eastAsia"/>
          <w:sz w:val="24"/>
          <w:szCs w:val="24"/>
        </w:rPr>
        <w:t>业务协同，更强调编码在贸易链条、国际物流体系、港口物流管理中的通用性与可识别性，而六位数字代码主要用于国内港口行业内部管理与统计分析，国际识别度较低；</w:t>
      </w:r>
    </w:p>
    <w:p w14:paraId="53B7E36A" w14:textId="77777777" w:rsidR="00FE0E22" w:rsidRPr="00E103F5" w:rsidRDefault="004255FF">
      <w:pPr>
        <w:spacing w:beforeLines="50" w:before="156" w:line="360" w:lineRule="auto"/>
        <w:ind w:firstLineChars="200" w:firstLine="480"/>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t>此外，UN/LOCODE五位代码已广泛应用于全球航运、报关、订舱及单证交换等业务，具备良好的国际兼容性，采用该体系有利于减少转换成本、提升数据交换效率；字母代码与港口英文名称具有一定对应关系，识别性和</w:t>
      </w:r>
      <w:proofErr w:type="gramStart"/>
      <w:r w:rsidRPr="00E103F5">
        <w:rPr>
          <w:rFonts w:asciiTheme="minorEastAsia" w:eastAsiaTheme="minorEastAsia" w:hAnsiTheme="minorEastAsia" w:hint="eastAsia"/>
          <w:sz w:val="24"/>
          <w:szCs w:val="24"/>
        </w:rPr>
        <w:t>可</w:t>
      </w:r>
      <w:proofErr w:type="gramEnd"/>
      <w:r w:rsidRPr="00E103F5">
        <w:rPr>
          <w:rFonts w:asciiTheme="minorEastAsia" w:eastAsiaTheme="minorEastAsia" w:hAnsiTheme="minorEastAsia" w:hint="eastAsia"/>
          <w:sz w:val="24"/>
          <w:szCs w:val="24"/>
        </w:rPr>
        <w:t>扩展性更强。因此，综合考虑标准的应用定位及推广需求，采用GB/T 7407与UN/LOCODE五位字母代码作为基础编码形式更为合理。</w:t>
      </w:r>
    </w:p>
    <w:p w14:paraId="569C4CD2" w14:textId="5FD0B47B" w:rsidR="008E2DC9" w:rsidRPr="00E103F5" w:rsidRDefault="008E2DC9">
      <w:pPr>
        <w:spacing w:beforeLines="50" w:before="156" w:line="360" w:lineRule="auto"/>
        <w:ind w:firstLineChars="200" w:firstLine="480"/>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t>码头代码为5位，由码头名称代码、码头类型代码和数字</w:t>
      </w:r>
      <w:proofErr w:type="gramStart"/>
      <w:r w:rsidRPr="00E103F5">
        <w:rPr>
          <w:rFonts w:asciiTheme="minorEastAsia" w:eastAsiaTheme="minorEastAsia" w:hAnsiTheme="minorEastAsia" w:hint="eastAsia"/>
          <w:sz w:val="24"/>
          <w:szCs w:val="24"/>
        </w:rPr>
        <w:t>标识码三部分</w:t>
      </w:r>
      <w:proofErr w:type="gramEnd"/>
      <w:r w:rsidRPr="00E103F5">
        <w:rPr>
          <w:rFonts w:asciiTheme="minorEastAsia" w:eastAsiaTheme="minorEastAsia" w:hAnsiTheme="minorEastAsia" w:hint="eastAsia"/>
          <w:sz w:val="24"/>
          <w:szCs w:val="24"/>
        </w:rPr>
        <w:t>组成。其中码头名称代码为2位大写字母，属于自定义区，供各港口或运营主体根据自身管理需要自主定义。采用自定义方式而非强制性命名规定，主要基于以下</w:t>
      </w:r>
      <w:proofErr w:type="gramStart"/>
      <w:r w:rsidRPr="00E103F5">
        <w:rPr>
          <w:rFonts w:asciiTheme="minorEastAsia" w:eastAsiaTheme="minorEastAsia" w:hAnsiTheme="minorEastAsia" w:hint="eastAsia"/>
          <w:sz w:val="24"/>
          <w:szCs w:val="24"/>
        </w:rPr>
        <w:t>考量</w:t>
      </w:r>
      <w:proofErr w:type="gramEnd"/>
      <w:r w:rsidRPr="00E103F5">
        <w:rPr>
          <w:rFonts w:asciiTheme="minorEastAsia" w:eastAsiaTheme="minorEastAsia" w:hAnsiTheme="minorEastAsia" w:hint="eastAsia"/>
          <w:sz w:val="24"/>
          <w:szCs w:val="24"/>
        </w:rPr>
        <w:t>：一是港口码头命名具有显著的地域差异性和历史延续性，各港口在长期运营中已形成自身的命名惯例和管理体系，强制性统一命名将大幅增加现有信息系统的改造成本；二是码头经营主体多元，同一港口内可能存在多个运营主体，各自对下属码头的内部编码规则不尽相同，自定义方式可保障各主体的编码自主权，减少标准实施的协调阻力。参照GB/T 7407《中国及世界主要水运口岸及相关地点代码》，其5位字母代码中后3位港口名称代码未规定取名规则，而是直接以代码表形式给出最终代码；参照GB 32100《法人和其他组织统一社会信</w:t>
      </w:r>
      <w:r w:rsidRPr="00E103F5">
        <w:rPr>
          <w:rFonts w:asciiTheme="minorEastAsia" w:eastAsiaTheme="minorEastAsia" w:hAnsiTheme="minorEastAsia" w:hint="eastAsia"/>
          <w:sz w:val="24"/>
          <w:szCs w:val="24"/>
        </w:rPr>
        <w:lastRenderedPageBreak/>
        <w:t>用代码编码规则》，主体标识码（组织机构代码）的八位本体代码为自定义区，标准本身不规定具体命名规则。因此，本文件对码头名称代码不作强制性命名规定，仅给出建议性规则供各港口或运营主体参考使用，实际可根据自身管理需求调整。本文件给出的基于码头官方中文规范名称汉语拼音首字母的编制规则仅为建议性规则，各系统宜遵守。该建议性规则的设计思路是：以码头官方中文名称为基础，通过去除通名、提取核心名称首字母的方式生成代码，既能在一定程度上实现名称与代码的关联对应、便于记忆和识别，又能避免因完全自由编码导致的同港口内重码混乱。</w:t>
      </w:r>
    </w:p>
    <w:p w14:paraId="263C0B21" w14:textId="660BFE41" w:rsidR="00DD2984" w:rsidRPr="00E103F5" w:rsidRDefault="00DD2984">
      <w:pPr>
        <w:spacing w:beforeLines="50" w:before="156" w:line="360" w:lineRule="auto"/>
        <w:ind w:firstLineChars="200" w:firstLine="480"/>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t>码头类型代码为2位大写字母，采用行业通用英文缩写表征码头功能类型。本文件在码头分类上部分参考了GB/T 42810-2023《港口地理要素分类与编码规范》表A.1和表B.1中的码头分类，该标准以8位数字编码。综合考虑本标准的应用场景、服务对象以及国际流通性需求，对码头分类作了适当调整，格式上采用行业通用英文缩写。采用英文缩写而非数字编码，主要基于以下</w:t>
      </w:r>
      <w:proofErr w:type="gramStart"/>
      <w:r w:rsidRPr="00E103F5">
        <w:rPr>
          <w:rFonts w:asciiTheme="minorEastAsia" w:eastAsiaTheme="minorEastAsia" w:hAnsiTheme="minorEastAsia" w:hint="eastAsia"/>
          <w:sz w:val="24"/>
          <w:szCs w:val="24"/>
        </w:rPr>
        <w:t>考量</w:t>
      </w:r>
      <w:proofErr w:type="gramEnd"/>
      <w:r w:rsidRPr="00E103F5">
        <w:rPr>
          <w:rFonts w:asciiTheme="minorEastAsia" w:eastAsiaTheme="minorEastAsia" w:hAnsiTheme="minorEastAsia" w:hint="eastAsia"/>
          <w:sz w:val="24"/>
          <w:szCs w:val="24"/>
        </w:rPr>
        <w:t>：一是国际航运业务场景，国际船公司、货代企业在订舱、配载、船期发布等业务环节中普遍使用英文缩写标识码头类型，如CT（Container Terminal）在国际航运单证、EDI报文中已成为集装箱码头的通用标识；二是多式联运业务场景，铁路、公路等运输方式与港口信息系统对接时普遍采用英文缩写进行数据交换，如CFS（</w:t>
      </w:r>
      <w:r w:rsidRPr="00E103F5">
        <w:rPr>
          <w:rFonts w:asciiTheme="minorEastAsia" w:eastAsiaTheme="minorEastAsia" w:hAnsiTheme="minorEastAsia"/>
          <w:sz w:val="24"/>
          <w:szCs w:val="24"/>
        </w:rPr>
        <w:t>Container Freight Station</w:t>
      </w:r>
      <w:r w:rsidRPr="00E103F5">
        <w:rPr>
          <w:rFonts w:asciiTheme="minorEastAsia" w:eastAsiaTheme="minorEastAsia" w:hAnsiTheme="minorEastAsia" w:hint="eastAsia"/>
          <w:sz w:val="24"/>
          <w:szCs w:val="24"/>
        </w:rPr>
        <w:t>）、CY（Container Yard）等术语在国际物流领域已广泛使用；三是</w:t>
      </w:r>
      <w:r w:rsidR="008E2DC9" w:rsidRPr="00E103F5">
        <w:rPr>
          <w:rFonts w:asciiTheme="minorEastAsia" w:eastAsiaTheme="minorEastAsia" w:hAnsiTheme="minorEastAsia" w:hint="eastAsia"/>
          <w:sz w:val="24"/>
          <w:szCs w:val="24"/>
        </w:rPr>
        <w:t>国际贸易单证场景，提单、舱单、报关单等常以英文缩写标注码头类型</w:t>
      </w:r>
      <w:r w:rsidRPr="00E103F5">
        <w:rPr>
          <w:rFonts w:asciiTheme="minorEastAsia" w:eastAsiaTheme="minorEastAsia" w:hAnsiTheme="minorEastAsia" w:hint="eastAsia"/>
          <w:sz w:val="24"/>
          <w:szCs w:val="24"/>
        </w:rPr>
        <w:t>，便于跨国企业快速识别；四是港口企业内部管理场景，港口集团在TOS系统、ERP系统中普遍采用英文缩写作为码头类型标识，与现有信息系统保持兼容可降低标准实施成本。因此，本标准采用行业通用英文缩写，以便于港口物流企业、航运组织、多式联运经营人等用户识别，并促进国际数据交换和系统对接。</w:t>
      </w:r>
    </w:p>
    <w:p w14:paraId="3799062A" w14:textId="77777777" w:rsidR="00C0170B" w:rsidRPr="00E103F5" w:rsidRDefault="0033156F">
      <w:pPr>
        <w:spacing w:beforeLines="50" w:before="156" w:line="360" w:lineRule="auto"/>
        <w:ind w:firstLineChars="200" w:firstLine="480"/>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t>数字标识码为1位阿拉伯数字，默认值为0，取值范围为0至9。采用单位数字而非多位数字，主要基于以下</w:t>
      </w:r>
      <w:proofErr w:type="gramStart"/>
      <w:r w:rsidRPr="00E103F5">
        <w:rPr>
          <w:rFonts w:asciiTheme="minorEastAsia" w:eastAsiaTheme="minorEastAsia" w:hAnsiTheme="minorEastAsia" w:hint="eastAsia"/>
          <w:sz w:val="24"/>
          <w:szCs w:val="24"/>
        </w:rPr>
        <w:t>考量</w:t>
      </w:r>
      <w:proofErr w:type="gramEnd"/>
      <w:r w:rsidRPr="00E103F5">
        <w:rPr>
          <w:rFonts w:asciiTheme="minorEastAsia" w:eastAsiaTheme="minorEastAsia" w:hAnsiTheme="minorEastAsia" w:hint="eastAsia"/>
          <w:sz w:val="24"/>
          <w:szCs w:val="24"/>
        </w:rPr>
        <w:t>：一是应用场景层面，数字标识码的核心功能是区分同一港口内同一名称代码、同一类型代码下的不同分期或重码节点，同一系列分期码头通常不超过5期，同一港口内同类型码头的重码情形亦极少</w:t>
      </w:r>
      <w:r w:rsidRPr="00E103F5">
        <w:rPr>
          <w:rFonts w:asciiTheme="minorEastAsia" w:eastAsiaTheme="minorEastAsia" w:hAnsiTheme="minorEastAsia" w:hint="eastAsia"/>
          <w:sz w:val="24"/>
          <w:szCs w:val="24"/>
        </w:rPr>
        <w:lastRenderedPageBreak/>
        <w:t>超过9个，单位数字足以覆盖绝大多数实际应用场景；二是兼容性层面，保持与GB/T 7407等现有编码体系的简洁性一致，避免过度编码增加信息系统处理复杂度。</w:t>
      </w:r>
      <w:proofErr w:type="gramStart"/>
      <w:r w:rsidRPr="00E103F5">
        <w:rPr>
          <w:rFonts w:asciiTheme="minorEastAsia" w:eastAsiaTheme="minorEastAsia" w:hAnsiTheme="minorEastAsia" w:hint="eastAsia"/>
          <w:sz w:val="24"/>
          <w:szCs w:val="24"/>
        </w:rPr>
        <w:t>若实践</w:t>
      </w:r>
      <w:proofErr w:type="gramEnd"/>
      <w:r w:rsidRPr="00E103F5">
        <w:rPr>
          <w:rFonts w:asciiTheme="minorEastAsia" w:eastAsiaTheme="minorEastAsia" w:hAnsiTheme="minorEastAsia" w:hint="eastAsia"/>
          <w:sz w:val="24"/>
          <w:szCs w:val="24"/>
        </w:rPr>
        <w:t>中出现超过9个分期或重码超过9个的特殊情形，可通过在编制说明中记录并提请标准维护机构统一协调赋码的方式解决，以保障编码体系的长期稳定运行。</w:t>
      </w:r>
    </w:p>
    <w:p w14:paraId="04561164" w14:textId="77777777" w:rsidR="001B7FD7" w:rsidRPr="00E103F5" w:rsidRDefault="00C0170B">
      <w:pPr>
        <w:spacing w:beforeLines="50" w:before="156" w:line="360" w:lineRule="auto"/>
        <w:ind w:firstLineChars="200" w:firstLine="480"/>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t>拓展代码为4位，采用“顺序码（2位数字）+类型代码（2位字母）”的编排格式，以兼顾层次清晰性与扩展灵活性：数字顺序码标识同类设施的数量序列，字母类型代码标识设施的业务属性，二者组合既实现了设施个体的唯一标识，又保留了类别信息，便于信息系统按类型检索和统计；</w:t>
      </w:r>
      <w:proofErr w:type="gramStart"/>
      <w:r w:rsidRPr="00E103F5">
        <w:rPr>
          <w:rFonts w:asciiTheme="minorEastAsia" w:eastAsiaTheme="minorEastAsia" w:hAnsiTheme="minorEastAsia" w:hint="eastAsia"/>
          <w:sz w:val="24"/>
          <w:szCs w:val="24"/>
        </w:rPr>
        <w:t>顺序码从</w:t>
      </w:r>
      <w:proofErr w:type="gramEnd"/>
      <w:r w:rsidRPr="00E103F5">
        <w:rPr>
          <w:rFonts w:asciiTheme="minorEastAsia" w:eastAsiaTheme="minorEastAsia" w:hAnsiTheme="minorEastAsia" w:hint="eastAsia"/>
          <w:sz w:val="24"/>
          <w:szCs w:val="24"/>
        </w:rPr>
        <w:t>01开始编排，可支持99个同类设施，足以覆盖单一码头下属同类设施的数量需求。本文件在拓展类型代码的划分上参考了GB/T 42810-2023《港口地理要素分类与编码规范》中港口设施要素的分类框架，该标准将港口设施分为码头、堆场仓库等大类。本文件在此基础上结合当前港口物流作业实际作了适当细化：泊位类细分为通用件杂货泊位、集装箱泊位、散货泊位、液体/</w:t>
      </w:r>
      <w:proofErr w:type="gramStart"/>
      <w:r w:rsidRPr="00E103F5">
        <w:rPr>
          <w:rFonts w:asciiTheme="minorEastAsia" w:eastAsiaTheme="minorEastAsia" w:hAnsiTheme="minorEastAsia" w:hint="eastAsia"/>
          <w:sz w:val="24"/>
          <w:szCs w:val="24"/>
        </w:rPr>
        <w:t>危化品</w:t>
      </w:r>
      <w:proofErr w:type="gramEnd"/>
      <w:r w:rsidRPr="00E103F5">
        <w:rPr>
          <w:rFonts w:asciiTheme="minorEastAsia" w:eastAsiaTheme="minorEastAsia" w:hAnsiTheme="minorEastAsia" w:hint="eastAsia"/>
          <w:sz w:val="24"/>
          <w:szCs w:val="24"/>
        </w:rPr>
        <w:t>泊位、滚装泊位、客运/邮轮泊位、工作船泊位等，以适应港口泊位专业化发展趋势；堆场类细分为集装箱堆场、普通货物堆场、危险品堆场、通用堆场等，以区分不同货物的堆存管理要求；仓库类细分为普通仓库、保税仓库、冷链仓库、危险品仓库、自动化立体库、通用仓库等，以覆盖现代物流仓储的多元化形态；同时增加货运站类（含集装箱货运站、公路货运站、铁路货运站、通用货运站）和内陆港类别，以支撑港口多式联运节点的编码需求，体现内陆港在港口物流网络中的枢纽地位。类型代码采用2位字母英文缩写，与码头类型代码保持一致的风格，便于信息系统统一处理和国际数据交换。</w:t>
      </w:r>
    </w:p>
    <w:p w14:paraId="1F195689" w14:textId="0BEC1FC4" w:rsidR="00FE0E22" w:rsidRPr="00E103F5" w:rsidRDefault="001B7FD7">
      <w:pPr>
        <w:spacing w:beforeLines="50" w:before="156" w:line="360" w:lineRule="auto"/>
        <w:ind w:firstLineChars="200" w:firstLine="480"/>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t>省份代码为2位大写字母，依据GB/T 2260设置，用于标识港口物流节点所在的省（自治区、直辖市），仅作为国内统计、监管及数据管理的附加标识。设置该代码段的主要原因在于：我国港口物流节点具有明确的属地属性，在区域监管、统计分析、资源配置等国内管理场景中，需要从省级行政区划维度对节点进行识别与归类，以提高管理的精细化水平。同时，在国际航运与物流体系的数据交换中，港口及节点的标识通常仅</w:t>
      </w:r>
      <w:proofErr w:type="gramStart"/>
      <w:r w:rsidRPr="00E103F5">
        <w:rPr>
          <w:rFonts w:asciiTheme="minorEastAsia" w:eastAsiaTheme="minorEastAsia" w:hAnsiTheme="minorEastAsia" w:hint="eastAsia"/>
          <w:sz w:val="24"/>
          <w:szCs w:val="24"/>
        </w:rPr>
        <w:t>需基础</w:t>
      </w:r>
      <w:proofErr w:type="gramEnd"/>
      <w:r w:rsidRPr="00E103F5">
        <w:rPr>
          <w:rFonts w:asciiTheme="minorEastAsia" w:eastAsiaTheme="minorEastAsia" w:hAnsiTheme="minorEastAsia" w:hint="eastAsia"/>
          <w:sz w:val="24"/>
          <w:szCs w:val="24"/>
        </w:rPr>
        <w:t>代码及节点识别部分（即本标准前14</w:t>
      </w:r>
      <w:r w:rsidRPr="00E103F5">
        <w:rPr>
          <w:rFonts w:asciiTheme="minorEastAsia" w:eastAsiaTheme="minorEastAsia" w:hAnsiTheme="minorEastAsia" w:hint="eastAsia"/>
          <w:sz w:val="24"/>
          <w:szCs w:val="24"/>
        </w:rPr>
        <w:lastRenderedPageBreak/>
        <w:t>位编码）即可满足互认需求。因此，本标准将省份代码置于末位，作为国内扩展标识单独使用，既不影响与国际通用编码体系的兼容性，又实现了国内管理需求与国际应用需求的兼顾。</w:t>
      </w:r>
    </w:p>
    <w:p w14:paraId="038BAA00" w14:textId="77777777" w:rsidR="00FE0E22" w:rsidRPr="00E103F5" w:rsidRDefault="004255FF">
      <w:pPr>
        <w:spacing w:beforeLines="50" w:before="156" w:line="360" w:lineRule="auto"/>
        <w:outlineLvl w:val="0"/>
        <w:rPr>
          <w:rFonts w:asciiTheme="minorEastAsia" w:eastAsiaTheme="minorEastAsia" w:hAnsiTheme="minorEastAsia"/>
          <w:b/>
          <w:sz w:val="24"/>
          <w:szCs w:val="24"/>
        </w:rPr>
      </w:pPr>
      <w:bookmarkStart w:id="15" w:name="_Toc46098152"/>
      <w:r w:rsidRPr="00E103F5">
        <w:rPr>
          <w:rFonts w:asciiTheme="minorEastAsia" w:eastAsiaTheme="minorEastAsia" w:hAnsiTheme="minorEastAsia" w:hint="eastAsia"/>
          <w:b/>
          <w:sz w:val="24"/>
          <w:szCs w:val="24"/>
        </w:rPr>
        <w:t>三、主</w:t>
      </w:r>
      <w:r w:rsidRPr="00E103F5">
        <w:rPr>
          <w:rFonts w:asciiTheme="minorEastAsia" w:eastAsiaTheme="minorEastAsia" w:hAnsiTheme="minorEastAsia"/>
          <w:b/>
          <w:sz w:val="24"/>
          <w:szCs w:val="24"/>
        </w:rPr>
        <w:t>要试验（或验证）的分析、综述报告，技术经济论证，预期的经济效果</w:t>
      </w:r>
      <w:bookmarkEnd w:id="15"/>
    </w:p>
    <w:p w14:paraId="7BCD4A0E" w14:textId="77777777" w:rsidR="00FE0E22" w:rsidRPr="00E103F5" w:rsidRDefault="004255FF">
      <w:pPr>
        <w:spacing w:beforeLines="50" w:before="156" w:line="360" w:lineRule="auto"/>
        <w:ind w:firstLineChars="200" w:firstLine="482"/>
        <w:rPr>
          <w:rFonts w:asciiTheme="minorEastAsia" w:eastAsiaTheme="minorEastAsia" w:hAnsiTheme="minorEastAsia"/>
          <w:b/>
          <w:bCs/>
          <w:sz w:val="24"/>
          <w:szCs w:val="24"/>
        </w:rPr>
      </w:pPr>
      <w:r w:rsidRPr="00E103F5">
        <w:rPr>
          <w:rFonts w:asciiTheme="minorEastAsia" w:eastAsiaTheme="minorEastAsia" w:hAnsiTheme="minorEastAsia" w:hint="eastAsia"/>
          <w:b/>
          <w:bCs/>
          <w:sz w:val="24"/>
          <w:szCs w:val="24"/>
        </w:rPr>
        <w:t>（一）主要试验（或验证）的分析、综述报告</w:t>
      </w:r>
    </w:p>
    <w:p w14:paraId="026B0493" w14:textId="77777777" w:rsidR="00FE0E22" w:rsidRPr="00E103F5" w:rsidRDefault="004255FF">
      <w:pPr>
        <w:spacing w:beforeLines="50" w:before="156" w:line="360" w:lineRule="auto"/>
        <w:ind w:firstLineChars="200" w:firstLine="480"/>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t>本标准属于编码规则类标准，主要针对港口物流节点的标识与编码体系进行规范，不涉及物理设备性能测试或工程类试验，但在标准编制过程中，通过调研分析、规则验证及案例推演等方式开展了充分的技术验证工作，确保标准的科学性与可实施性。</w:t>
      </w:r>
    </w:p>
    <w:p w14:paraId="504EDEF7" w14:textId="77777777" w:rsidR="00FE0E22" w:rsidRPr="00E103F5" w:rsidRDefault="004255FF">
      <w:pPr>
        <w:spacing w:beforeLines="50" w:before="156" w:line="360" w:lineRule="auto"/>
        <w:ind w:firstLineChars="200" w:firstLine="480"/>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t>标准编制过程中，选取上海港、宁波舟山港、天津港等典型港口开展调研，系统梳理现有港口物流节点编码方式、信息系统应用现状及数据管理模式。调研结果表明，目前各港口在码头等节点标识方面存在编码规则不统一、表达方式不一致等问题，验证了构建统一编码规则的必要性。</w:t>
      </w:r>
    </w:p>
    <w:p w14:paraId="1AED4573" w14:textId="7BED47BC" w:rsidR="00FE0E22" w:rsidRPr="00E103F5" w:rsidRDefault="004255FF">
      <w:pPr>
        <w:spacing w:beforeLines="50" w:before="156" w:line="360" w:lineRule="auto"/>
        <w:ind w:firstLineChars="200" w:firstLine="480"/>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t>依据草案提出的“基础代码+码头代码+拓展代码+</w:t>
      </w:r>
      <w:r w:rsidR="008C5EFC" w:rsidRPr="00E103F5">
        <w:rPr>
          <w:rFonts w:asciiTheme="minorEastAsia" w:eastAsiaTheme="minorEastAsia" w:hAnsiTheme="minorEastAsia" w:hint="eastAsia"/>
          <w:sz w:val="24"/>
          <w:szCs w:val="24"/>
        </w:rPr>
        <w:t>省份</w:t>
      </w:r>
      <w:r w:rsidRPr="00E103F5">
        <w:rPr>
          <w:rFonts w:asciiTheme="minorEastAsia" w:eastAsiaTheme="minorEastAsia" w:hAnsiTheme="minorEastAsia" w:hint="eastAsia"/>
          <w:sz w:val="24"/>
          <w:szCs w:val="24"/>
        </w:rPr>
        <w:t>代码”的组合结构，对多个实际港口节点（如集装箱码头、散货码头、液体码头等）进行了模拟编码与示例验证。结果表明：编码结构层次清晰，能够准确表达节点所属港口、功能类型及位置属性；编码长度适中，既满足信息表达需求，又兼顾系统处理效率；各组成部分逻辑明确，具备良好的可读性与可解析性。</w:t>
      </w:r>
    </w:p>
    <w:p w14:paraId="478505D9" w14:textId="77777777" w:rsidR="00FE0E22" w:rsidRPr="00E103F5" w:rsidRDefault="004255FF">
      <w:pPr>
        <w:spacing w:beforeLines="50" w:before="156" w:line="360" w:lineRule="auto"/>
        <w:ind w:firstLineChars="200" w:firstLine="480"/>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t>通过对不同港口、不同类型节点进行批量编码测试，验证编码在同一体系下能够实现“</w:t>
      </w:r>
      <w:proofErr w:type="gramStart"/>
      <w:r w:rsidRPr="00E103F5">
        <w:rPr>
          <w:rFonts w:asciiTheme="minorEastAsia" w:eastAsiaTheme="minorEastAsia" w:hAnsiTheme="minorEastAsia" w:hint="eastAsia"/>
          <w:sz w:val="24"/>
          <w:szCs w:val="24"/>
        </w:rPr>
        <w:t>一</w:t>
      </w:r>
      <w:proofErr w:type="gramEnd"/>
      <w:r w:rsidRPr="00E103F5">
        <w:rPr>
          <w:rFonts w:asciiTheme="minorEastAsia" w:eastAsiaTheme="minorEastAsia" w:hAnsiTheme="minorEastAsia" w:hint="eastAsia"/>
          <w:sz w:val="24"/>
          <w:szCs w:val="24"/>
        </w:rPr>
        <w:t>节点</w:t>
      </w:r>
      <w:proofErr w:type="gramStart"/>
      <w:r w:rsidRPr="00E103F5">
        <w:rPr>
          <w:rFonts w:asciiTheme="minorEastAsia" w:eastAsiaTheme="minorEastAsia" w:hAnsiTheme="minorEastAsia" w:hint="eastAsia"/>
          <w:sz w:val="24"/>
          <w:szCs w:val="24"/>
        </w:rPr>
        <w:t>一</w:t>
      </w:r>
      <w:proofErr w:type="gramEnd"/>
      <w:r w:rsidRPr="00E103F5">
        <w:rPr>
          <w:rFonts w:asciiTheme="minorEastAsia" w:eastAsiaTheme="minorEastAsia" w:hAnsiTheme="minorEastAsia" w:hint="eastAsia"/>
          <w:sz w:val="24"/>
          <w:szCs w:val="24"/>
        </w:rPr>
        <w:t>代码”，不存在重复或冲突情况。同时，通过模拟节点新增、变更与注销场景，验证了编码在生命周期内保持稳定且具备可追溯性。</w:t>
      </w:r>
    </w:p>
    <w:p w14:paraId="6403EA73" w14:textId="77777777" w:rsidR="00FE0E22" w:rsidRPr="00E103F5" w:rsidRDefault="004255FF">
      <w:pPr>
        <w:spacing w:beforeLines="50" w:before="156" w:line="360" w:lineRule="auto"/>
        <w:ind w:firstLineChars="200" w:firstLine="480"/>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t>在编码设计中引入GB/T 7407、UN/LOCODE等已有标准代码，对接现有港口及国际通用编码体系。通过对比分析与映射测试，验证该编码体系可与现有标准实现有效衔接，并在</w:t>
      </w:r>
      <w:proofErr w:type="gramStart"/>
      <w:r w:rsidRPr="00E103F5">
        <w:rPr>
          <w:rFonts w:asciiTheme="minorEastAsia" w:eastAsiaTheme="minorEastAsia" w:hAnsiTheme="minorEastAsia" w:hint="eastAsia"/>
          <w:sz w:val="24"/>
          <w:szCs w:val="24"/>
        </w:rPr>
        <w:t>预留位</w:t>
      </w:r>
      <w:proofErr w:type="gramEnd"/>
      <w:r w:rsidRPr="00E103F5">
        <w:rPr>
          <w:rFonts w:asciiTheme="minorEastAsia" w:eastAsiaTheme="minorEastAsia" w:hAnsiTheme="minorEastAsia" w:hint="eastAsia"/>
          <w:sz w:val="24"/>
          <w:szCs w:val="24"/>
        </w:rPr>
        <w:t>设计下具备良好的扩展能力，能够适应未来港口规模扩展及节点类型细化需求。</w:t>
      </w:r>
    </w:p>
    <w:p w14:paraId="332047CE" w14:textId="77777777" w:rsidR="00FE0E22" w:rsidRPr="00E103F5" w:rsidRDefault="004255FF">
      <w:pPr>
        <w:spacing w:beforeLines="50" w:before="156" w:line="360" w:lineRule="auto"/>
        <w:ind w:firstLineChars="200" w:firstLine="480"/>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t>综上，通过调研分析与多场景验证，本标准提出的编码规则体系在结构设计、</w:t>
      </w:r>
      <w:r w:rsidRPr="00E103F5">
        <w:rPr>
          <w:rFonts w:asciiTheme="minorEastAsia" w:eastAsiaTheme="minorEastAsia" w:hAnsiTheme="minorEastAsia" w:hint="eastAsia"/>
          <w:sz w:val="24"/>
          <w:szCs w:val="24"/>
        </w:rPr>
        <w:lastRenderedPageBreak/>
        <w:t>逻辑表达及实际应用方面均具备良好的合理性和可行性。</w:t>
      </w:r>
    </w:p>
    <w:p w14:paraId="40D7EBAB" w14:textId="77777777" w:rsidR="00FE0E22" w:rsidRPr="00E103F5" w:rsidRDefault="004255FF">
      <w:pPr>
        <w:spacing w:beforeLines="50" w:before="156" w:line="360" w:lineRule="auto"/>
        <w:ind w:firstLineChars="200" w:firstLine="482"/>
        <w:rPr>
          <w:rFonts w:asciiTheme="minorEastAsia" w:eastAsiaTheme="minorEastAsia" w:hAnsiTheme="minorEastAsia"/>
          <w:b/>
          <w:bCs/>
          <w:sz w:val="24"/>
          <w:szCs w:val="24"/>
        </w:rPr>
      </w:pPr>
      <w:r w:rsidRPr="00E103F5">
        <w:rPr>
          <w:rFonts w:asciiTheme="minorEastAsia" w:eastAsiaTheme="minorEastAsia" w:hAnsiTheme="minorEastAsia" w:hint="eastAsia"/>
          <w:b/>
          <w:bCs/>
          <w:sz w:val="24"/>
          <w:szCs w:val="24"/>
        </w:rPr>
        <w:t>（二）技术经济论证</w:t>
      </w:r>
    </w:p>
    <w:p w14:paraId="1284B1BD" w14:textId="71906C84" w:rsidR="00FE0E22" w:rsidRPr="00E103F5" w:rsidRDefault="004255FF">
      <w:pPr>
        <w:spacing w:beforeLines="50" w:before="156" w:line="360" w:lineRule="auto"/>
        <w:ind w:firstLineChars="200" w:firstLine="480"/>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t>本标准基于现有国家标准（如GB/T 2260、GB/T 7407）及国际通用编码体系（如UN/LOCODE）构建编码框架，在技术路径上成熟可靠。编码规则采用组合设计，无需依赖复杂算法或特殊技术手段，可直接嵌入现有港口信息系统，实现难度低、适配性强。</w:t>
      </w:r>
    </w:p>
    <w:p w14:paraId="00802C48" w14:textId="77777777" w:rsidR="00FE0E22" w:rsidRPr="00E103F5" w:rsidRDefault="004255FF">
      <w:pPr>
        <w:spacing w:beforeLines="50" w:before="156" w:line="360" w:lineRule="auto"/>
        <w:ind w:firstLineChars="200" w:firstLine="480"/>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t>标准实施主要涉及信息系统编码规则调整及数据字段规范统一，不涉及硬件改造或大规模系统重构。对于已采用类似编码体系的港口，仅需进行局部优化；对于尚未统一编码的单位，可直接按标准建立编码体系。因此整体实施成本较低，具备良好的推广基础。</w:t>
      </w:r>
    </w:p>
    <w:p w14:paraId="3A51C374" w14:textId="77777777" w:rsidR="00FE0E22" w:rsidRPr="00E103F5" w:rsidRDefault="004255FF">
      <w:pPr>
        <w:spacing w:beforeLines="50" w:before="156" w:line="360" w:lineRule="auto"/>
        <w:ind w:firstLineChars="200" w:firstLine="480"/>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t>统一编码体系能够有效解决不同系统之间节点标识不一致问题，减少数据转换与人工匹配成本，提高数据处理效率。同时，有助于提升港口内部及港航上下游之间的信息协同能力，降低沟通成本与业务差错率。</w:t>
      </w:r>
    </w:p>
    <w:p w14:paraId="3E19910A" w14:textId="77777777" w:rsidR="00FE0E22" w:rsidRPr="00E103F5" w:rsidRDefault="004255FF">
      <w:pPr>
        <w:spacing w:beforeLines="50" w:before="156" w:line="360" w:lineRule="auto"/>
        <w:ind w:firstLineChars="200" w:firstLine="480"/>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t>该标准作为基础性编码标准，可为港口数字化、智慧港口建设提供统一的数据标识支撑。在多式联运、供应链协同及跨境物流等场景中，有助于实现节点信息的标准化表达和自动化处理，具有较强的技术支撑价值。</w:t>
      </w:r>
    </w:p>
    <w:p w14:paraId="2E263F92" w14:textId="77777777" w:rsidR="00FE0E22" w:rsidRPr="00E103F5" w:rsidRDefault="004255FF">
      <w:pPr>
        <w:spacing w:beforeLines="50" w:before="156" w:line="360" w:lineRule="auto"/>
        <w:ind w:firstLineChars="200" w:firstLine="482"/>
        <w:rPr>
          <w:rFonts w:asciiTheme="minorEastAsia" w:eastAsiaTheme="minorEastAsia" w:hAnsiTheme="minorEastAsia"/>
          <w:b/>
          <w:bCs/>
          <w:sz w:val="24"/>
          <w:szCs w:val="24"/>
        </w:rPr>
      </w:pPr>
      <w:r w:rsidRPr="00E103F5">
        <w:rPr>
          <w:rFonts w:asciiTheme="minorEastAsia" w:eastAsiaTheme="minorEastAsia" w:hAnsiTheme="minorEastAsia" w:hint="eastAsia"/>
          <w:b/>
          <w:bCs/>
          <w:sz w:val="24"/>
          <w:szCs w:val="24"/>
        </w:rPr>
        <w:t>（三）预期的经济效果</w:t>
      </w:r>
    </w:p>
    <w:p w14:paraId="19EE2A65" w14:textId="77777777" w:rsidR="00FE0E22" w:rsidRPr="00E103F5" w:rsidRDefault="004255FF">
      <w:pPr>
        <w:spacing w:beforeLines="50" w:before="156" w:line="360" w:lineRule="auto"/>
        <w:ind w:firstLineChars="200" w:firstLine="480"/>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t>通过统一港口物流节点编码，可有效减少因节点识别不一致导致的作业延误和信息误差，提高作业指令传递效率和系统响应速度，从而整体提升港口运营效率。同时，标准实施后能够减少不同信息系统之间的接口适配和数据转换工作量，降低系统开发与维护成本，并通过减少人工干预、提升自动化水平进一步降低运营成本。此外，统一编码体系有助于打破信息孤岛，促进港口、航运企业及物流服务商之间的数据互联互通，提升供应链协同效率，增强港口在区域乃至全球物流网络中的竞争力。总体来看，本标准的实施将推动港口物流基础数据的规范化建设，为智慧港口、数字航运及多式联运体系提供有力支撑，具有显著的行业推广价值和长期经济效益。</w:t>
      </w:r>
    </w:p>
    <w:p w14:paraId="6C226172" w14:textId="77777777" w:rsidR="00FE0E22" w:rsidRPr="00E103F5" w:rsidRDefault="004255FF">
      <w:pPr>
        <w:spacing w:beforeLines="50" w:before="156" w:line="360" w:lineRule="auto"/>
        <w:outlineLvl w:val="0"/>
        <w:rPr>
          <w:rFonts w:asciiTheme="minorEastAsia" w:eastAsiaTheme="minorEastAsia" w:hAnsiTheme="minorEastAsia"/>
          <w:b/>
          <w:sz w:val="24"/>
          <w:szCs w:val="24"/>
        </w:rPr>
      </w:pPr>
      <w:bookmarkStart w:id="16" w:name="_Toc46098153"/>
      <w:bookmarkStart w:id="17" w:name="OLE_LINK6"/>
      <w:r w:rsidRPr="00E103F5">
        <w:rPr>
          <w:rFonts w:asciiTheme="minorEastAsia" w:eastAsiaTheme="minorEastAsia" w:hAnsiTheme="minorEastAsia" w:hint="eastAsia"/>
          <w:b/>
          <w:sz w:val="24"/>
          <w:szCs w:val="24"/>
        </w:rPr>
        <w:lastRenderedPageBreak/>
        <w:t>四、</w:t>
      </w:r>
      <w:r w:rsidRPr="00E103F5">
        <w:rPr>
          <w:rFonts w:asciiTheme="minorEastAsia" w:eastAsiaTheme="minorEastAsia" w:hAnsiTheme="minorEastAsia"/>
          <w:b/>
          <w:sz w:val="24"/>
          <w:szCs w:val="24"/>
        </w:rPr>
        <w:t>采用国际标准和国外先进标准的程度，以及与国际、国外同类标准水平的对比情况，或与测试的国外样品、样机的有关数据对比情况</w:t>
      </w:r>
      <w:bookmarkEnd w:id="16"/>
    </w:p>
    <w:bookmarkEnd w:id="17"/>
    <w:p w14:paraId="548A9208" w14:textId="0041489A" w:rsidR="00FE0E22" w:rsidRPr="00E103F5" w:rsidRDefault="004255FF">
      <w:pPr>
        <w:spacing w:beforeLines="50" w:before="156" w:line="360" w:lineRule="auto"/>
        <w:ind w:firstLine="480"/>
        <w:rPr>
          <w:rFonts w:asciiTheme="majorEastAsia" w:eastAsiaTheme="majorEastAsia" w:hAnsiTheme="majorEastAsia"/>
          <w:sz w:val="24"/>
          <w:szCs w:val="24"/>
        </w:rPr>
      </w:pPr>
      <w:r w:rsidRPr="00E103F5">
        <w:rPr>
          <w:rFonts w:asciiTheme="majorEastAsia" w:eastAsiaTheme="majorEastAsia" w:hAnsiTheme="majorEastAsia"/>
          <w:sz w:val="24"/>
          <w:szCs w:val="24"/>
        </w:rPr>
        <w:t>本标准采用了等同采用联合国UN/LOCODE编码原则的前5位基础代码，确保与国际贸易体系的无缝对接和全球范围内的唯一性识别。同时，本标准在兼容国际标准的基础上，设计了</w:t>
      </w:r>
      <w:r w:rsidR="008C5EFC" w:rsidRPr="00E103F5">
        <w:rPr>
          <w:rFonts w:asciiTheme="majorEastAsia" w:eastAsiaTheme="majorEastAsia" w:hAnsiTheme="majorEastAsia"/>
          <w:sz w:val="24"/>
          <w:szCs w:val="24"/>
        </w:rPr>
        <w:t>16</w:t>
      </w:r>
      <w:r w:rsidRPr="00E103F5">
        <w:rPr>
          <w:rFonts w:asciiTheme="majorEastAsia" w:eastAsiaTheme="majorEastAsia" w:hAnsiTheme="majorEastAsia"/>
          <w:sz w:val="24"/>
          <w:szCs w:val="24"/>
        </w:rPr>
        <w:t>位组合结构的代码，补充了国内港口运营所需的</w:t>
      </w:r>
      <w:r w:rsidRPr="00E103F5">
        <w:rPr>
          <w:rFonts w:asciiTheme="majorEastAsia" w:eastAsiaTheme="majorEastAsia" w:hAnsiTheme="majorEastAsia" w:hint="eastAsia"/>
          <w:sz w:val="24"/>
          <w:szCs w:val="24"/>
        </w:rPr>
        <w:t>码头代码</w:t>
      </w:r>
      <w:r w:rsidRPr="00E103F5">
        <w:rPr>
          <w:rFonts w:asciiTheme="majorEastAsia" w:eastAsiaTheme="majorEastAsia" w:hAnsiTheme="majorEastAsia"/>
          <w:sz w:val="24"/>
          <w:szCs w:val="24"/>
        </w:rPr>
        <w:t>、</w:t>
      </w:r>
      <w:r w:rsidRPr="00E103F5">
        <w:rPr>
          <w:rFonts w:asciiTheme="majorEastAsia" w:eastAsiaTheme="majorEastAsia" w:hAnsiTheme="majorEastAsia" w:hint="eastAsia"/>
          <w:sz w:val="24"/>
          <w:szCs w:val="24"/>
        </w:rPr>
        <w:t>顺序</w:t>
      </w:r>
      <w:r w:rsidRPr="00E103F5">
        <w:rPr>
          <w:rFonts w:asciiTheme="majorEastAsia" w:eastAsiaTheme="majorEastAsia" w:hAnsiTheme="majorEastAsia"/>
          <w:sz w:val="24"/>
          <w:szCs w:val="24"/>
        </w:rPr>
        <w:t>号、</w:t>
      </w:r>
      <w:r w:rsidRPr="00E103F5">
        <w:rPr>
          <w:rFonts w:asciiTheme="majorEastAsia" w:eastAsiaTheme="majorEastAsia" w:hAnsiTheme="majorEastAsia" w:hint="eastAsia"/>
          <w:sz w:val="24"/>
          <w:szCs w:val="24"/>
        </w:rPr>
        <w:t>预留码</w:t>
      </w:r>
      <w:r w:rsidRPr="00E103F5">
        <w:rPr>
          <w:rFonts w:asciiTheme="majorEastAsia" w:eastAsiaTheme="majorEastAsia" w:hAnsiTheme="majorEastAsia"/>
          <w:sz w:val="24"/>
          <w:szCs w:val="24"/>
        </w:rPr>
        <w:t>等精细化标识信息。与现有的国际、国外同类标准相比，本标准在编码粒度上更为细化，可与国际标准形成互补关系，为我国港口物流行业与国际标准体系的对接提供了可行的技术方案。</w:t>
      </w:r>
    </w:p>
    <w:p w14:paraId="0F087FFC" w14:textId="77777777" w:rsidR="00FE0E22" w:rsidRPr="00E103F5" w:rsidRDefault="004255FF">
      <w:pPr>
        <w:spacing w:beforeLines="50" w:before="156" w:line="360" w:lineRule="auto"/>
        <w:outlineLvl w:val="0"/>
        <w:rPr>
          <w:rFonts w:asciiTheme="minorEastAsia" w:eastAsiaTheme="minorEastAsia" w:hAnsiTheme="minorEastAsia"/>
          <w:b/>
          <w:sz w:val="24"/>
          <w:szCs w:val="24"/>
        </w:rPr>
      </w:pPr>
      <w:bookmarkStart w:id="18" w:name="_Toc46098154"/>
      <w:r w:rsidRPr="00E103F5">
        <w:rPr>
          <w:rFonts w:asciiTheme="minorEastAsia" w:eastAsiaTheme="minorEastAsia" w:hAnsiTheme="minorEastAsia" w:hint="eastAsia"/>
          <w:b/>
          <w:sz w:val="24"/>
          <w:szCs w:val="24"/>
        </w:rPr>
        <w:t>五、</w:t>
      </w:r>
      <w:r w:rsidRPr="00E103F5">
        <w:rPr>
          <w:rFonts w:asciiTheme="minorEastAsia" w:eastAsiaTheme="minorEastAsia" w:hAnsiTheme="minorEastAsia"/>
          <w:b/>
          <w:sz w:val="24"/>
          <w:szCs w:val="24"/>
        </w:rPr>
        <w:t>与有关的现行法律、法规和强制性标准的关系</w:t>
      </w:r>
      <w:bookmarkEnd w:id="18"/>
    </w:p>
    <w:p w14:paraId="29554938" w14:textId="180D68F6" w:rsidR="00FE0E22" w:rsidRPr="00E103F5" w:rsidRDefault="004255FF">
      <w:pPr>
        <w:spacing w:beforeLines="50" w:before="156" w:line="360" w:lineRule="auto"/>
        <w:ind w:firstLine="480"/>
        <w:jc w:val="left"/>
        <w:rPr>
          <w:rFonts w:asciiTheme="majorEastAsia" w:eastAsiaTheme="majorEastAsia" w:hAnsiTheme="majorEastAsia"/>
          <w:sz w:val="24"/>
          <w:szCs w:val="24"/>
        </w:rPr>
      </w:pPr>
      <w:r w:rsidRPr="00E103F5">
        <w:rPr>
          <w:rFonts w:asciiTheme="majorEastAsia" w:eastAsiaTheme="majorEastAsia" w:hAnsiTheme="majorEastAsia"/>
          <w:sz w:val="24"/>
          <w:szCs w:val="24"/>
        </w:rPr>
        <w:t>本标准引用了GB/T 2260-2007《中华人民共和国行政区划代码》、GB/T 7407-2024《中国及世界主要水运口岸及相关地点代码》等标准，是为了保证港口物流节点代码编制过程中行政区划、国家代码、口岸代码等信息的准确性和一致性。</w:t>
      </w:r>
    </w:p>
    <w:p w14:paraId="6333D084" w14:textId="77777777" w:rsidR="00FE0E22" w:rsidRPr="00E103F5" w:rsidRDefault="004255FF">
      <w:pPr>
        <w:spacing w:beforeLines="50" w:before="156" w:line="360" w:lineRule="auto"/>
        <w:outlineLvl w:val="0"/>
        <w:rPr>
          <w:rFonts w:asciiTheme="minorEastAsia" w:eastAsiaTheme="minorEastAsia" w:hAnsiTheme="minorEastAsia"/>
          <w:b/>
          <w:sz w:val="24"/>
          <w:szCs w:val="24"/>
        </w:rPr>
      </w:pPr>
      <w:bookmarkStart w:id="19" w:name="_Toc46098155"/>
      <w:r w:rsidRPr="00E103F5">
        <w:rPr>
          <w:rFonts w:asciiTheme="minorEastAsia" w:eastAsiaTheme="minorEastAsia" w:hAnsiTheme="minorEastAsia" w:hint="eastAsia"/>
          <w:b/>
          <w:sz w:val="24"/>
          <w:szCs w:val="24"/>
        </w:rPr>
        <w:t>六、</w:t>
      </w:r>
      <w:r w:rsidRPr="00E103F5">
        <w:rPr>
          <w:rFonts w:asciiTheme="minorEastAsia" w:eastAsiaTheme="minorEastAsia" w:hAnsiTheme="minorEastAsia"/>
          <w:b/>
          <w:sz w:val="24"/>
          <w:szCs w:val="24"/>
        </w:rPr>
        <w:t>重大分歧意见的处理经过和依据</w:t>
      </w:r>
      <w:bookmarkEnd w:id="19"/>
    </w:p>
    <w:p w14:paraId="78680FF0" w14:textId="77777777" w:rsidR="00FE0E22" w:rsidRPr="00E103F5" w:rsidRDefault="004255FF">
      <w:pPr>
        <w:spacing w:beforeLines="50" w:before="156" w:line="360" w:lineRule="auto"/>
        <w:ind w:firstLine="420"/>
        <w:rPr>
          <w:sz w:val="24"/>
          <w:szCs w:val="24"/>
        </w:rPr>
      </w:pPr>
      <w:r w:rsidRPr="00E103F5">
        <w:rPr>
          <w:rFonts w:hint="eastAsia"/>
          <w:sz w:val="24"/>
          <w:szCs w:val="24"/>
        </w:rPr>
        <w:t>无。</w:t>
      </w:r>
    </w:p>
    <w:p w14:paraId="11CADC98" w14:textId="77777777" w:rsidR="00FE0E22" w:rsidRPr="00E103F5" w:rsidRDefault="004255FF">
      <w:pPr>
        <w:spacing w:beforeLines="50" w:before="156" w:line="360" w:lineRule="auto"/>
        <w:outlineLvl w:val="0"/>
        <w:rPr>
          <w:rFonts w:asciiTheme="minorEastAsia" w:eastAsiaTheme="minorEastAsia" w:hAnsiTheme="minorEastAsia"/>
          <w:b/>
          <w:sz w:val="24"/>
          <w:szCs w:val="24"/>
        </w:rPr>
      </w:pPr>
      <w:bookmarkStart w:id="20" w:name="_Toc46098156"/>
      <w:r w:rsidRPr="00E103F5">
        <w:rPr>
          <w:rFonts w:asciiTheme="minorEastAsia" w:eastAsiaTheme="minorEastAsia" w:hAnsiTheme="minorEastAsia" w:hint="eastAsia"/>
          <w:b/>
          <w:sz w:val="24"/>
          <w:szCs w:val="24"/>
        </w:rPr>
        <w:t>七、</w:t>
      </w:r>
      <w:r w:rsidRPr="00E103F5">
        <w:rPr>
          <w:rFonts w:asciiTheme="minorEastAsia" w:eastAsiaTheme="minorEastAsia" w:hAnsiTheme="minorEastAsia"/>
          <w:b/>
          <w:sz w:val="24"/>
          <w:szCs w:val="24"/>
        </w:rPr>
        <w:t>贯彻标准的要求和措施建议（包括组织措施、技术措施、过渡办法等内容）</w:t>
      </w:r>
      <w:bookmarkEnd w:id="20"/>
    </w:p>
    <w:p w14:paraId="5A6AAB4D" w14:textId="77777777" w:rsidR="00FE0E22" w:rsidRPr="00E103F5" w:rsidRDefault="004255FF">
      <w:pPr>
        <w:spacing w:beforeLines="50" w:before="156" w:line="360" w:lineRule="auto"/>
        <w:ind w:firstLine="420"/>
        <w:rPr>
          <w:rFonts w:asciiTheme="minorEastAsia" w:eastAsiaTheme="minorEastAsia" w:hAnsiTheme="minorEastAsia"/>
          <w:sz w:val="24"/>
          <w:szCs w:val="24"/>
        </w:rPr>
      </w:pPr>
      <w:r w:rsidRPr="00E103F5">
        <w:rPr>
          <w:rFonts w:asciiTheme="minorEastAsia" w:eastAsiaTheme="minorEastAsia" w:hAnsiTheme="minorEastAsia"/>
          <w:sz w:val="24"/>
          <w:szCs w:val="24"/>
        </w:rPr>
        <w:t>建议本标准发布后，组织宣贯培训，推动港口及相关企业按本标准进行代码编制与系统改造；建立动态维护机制，设置新旧编码并行过渡期，确保平稳切换。</w:t>
      </w:r>
    </w:p>
    <w:p w14:paraId="1B976F50" w14:textId="77777777" w:rsidR="00FE0E22" w:rsidRPr="00E103F5" w:rsidRDefault="004255FF">
      <w:pPr>
        <w:spacing w:beforeLines="50" w:before="156" w:line="360" w:lineRule="auto"/>
        <w:outlineLvl w:val="0"/>
        <w:rPr>
          <w:rFonts w:asciiTheme="minorEastAsia" w:eastAsiaTheme="minorEastAsia" w:hAnsiTheme="minorEastAsia"/>
          <w:b/>
          <w:sz w:val="24"/>
          <w:szCs w:val="24"/>
        </w:rPr>
      </w:pPr>
      <w:bookmarkStart w:id="21" w:name="_Toc46098157"/>
      <w:r w:rsidRPr="00E103F5">
        <w:rPr>
          <w:rFonts w:asciiTheme="minorEastAsia" w:eastAsiaTheme="minorEastAsia" w:hAnsiTheme="minorEastAsia" w:hint="eastAsia"/>
          <w:b/>
          <w:sz w:val="24"/>
          <w:szCs w:val="24"/>
        </w:rPr>
        <w:t>八、</w:t>
      </w:r>
      <w:r w:rsidRPr="00E103F5">
        <w:rPr>
          <w:rFonts w:asciiTheme="minorEastAsia" w:eastAsiaTheme="minorEastAsia" w:hAnsiTheme="minorEastAsia"/>
          <w:b/>
          <w:sz w:val="24"/>
          <w:szCs w:val="24"/>
        </w:rPr>
        <w:t>废止现行有关标准的建议</w:t>
      </w:r>
      <w:bookmarkEnd w:id="21"/>
    </w:p>
    <w:p w14:paraId="00297B59" w14:textId="77777777" w:rsidR="00FE0E22" w:rsidRPr="00E103F5" w:rsidRDefault="004255FF">
      <w:pPr>
        <w:spacing w:beforeLines="50" w:before="156" w:line="360" w:lineRule="auto"/>
        <w:ind w:firstLineChars="202" w:firstLine="485"/>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t>无。</w:t>
      </w:r>
    </w:p>
    <w:p w14:paraId="4FD36A88" w14:textId="77777777" w:rsidR="00FE0E22" w:rsidRPr="00E103F5" w:rsidRDefault="004255FF">
      <w:pPr>
        <w:spacing w:beforeLines="50" w:before="156" w:line="360" w:lineRule="auto"/>
        <w:outlineLvl w:val="0"/>
        <w:rPr>
          <w:rFonts w:asciiTheme="minorEastAsia" w:eastAsiaTheme="minorEastAsia" w:hAnsiTheme="minorEastAsia"/>
          <w:b/>
          <w:sz w:val="24"/>
          <w:szCs w:val="24"/>
        </w:rPr>
      </w:pPr>
      <w:bookmarkStart w:id="22" w:name="_Toc46098158"/>
      <w:r w:rsidRPr="00E103F5">
        <w:rPr>
          <w:rFonts w:asciiTheme="minorEastAsia" w:eastAsiaTheme="minorEastAsia" w:hAnsiTheme="minorEastAsia" w:hint="eastAsia"/>
          <w:b/>
          <w:sz w:val="24"/>
          <w:szCs w:val="24"/>
        </w:rPr>
        <w:t>九、</w:t>
      </w:r>
      <w:r w:rsidRPr="00E103F5">
        <w:rPr>
          <w:rFonts w:asciiTheme="minorEastAsia" w:eastAsiaTheme="minorEastAsia" w:hAnsiTheme="minorEastAsia"/>
          <w:b/>
          <w:sz w:val="24"/>
          <w:szCs w:val="24"/>
        </w:rPr>
        <w:t>其他应予说明的事项</w:t>
      </w:r>
      <w:bookmarkEnd w:id="22"/>
    </w:p>
    <w:p w14:paraId="7CAABCF1" w14:textId="77777777" w:rsidR="00FE0E22" w:rsidRPr="00E103F5" w:rsidRDefault="004255FF">
      <w:pPr>
        <w:spacing w:beforeLines="50" w:before="156" w:line="360" w:lineRule="auto"/>
        <w:ind w:firstLineChars="150" w:firstLine="360"/>
        <w:rPr>
          <w:rFonts w:asciiTheme="minorEastAsia" w:eastAsiaTheme="minorEastAsia" w:hAnsiTheme="minorEastAsia"/>
          <w:sz w:val="24"/>
          <w:szCs w:val="24"/>
        </w:rPr>
      </w:pPr>
      <w:r w:rsidRPr="00E103F5">
        <w:rPr>
          <w:rFonts w:asciiTheme="minorEastAsia" w:eastAsiaTheme="minorEastAsia" w:hAnsiTheme="minorEastAsia" w:hint="eastAsia"/>
          <w:sz w:val="24"/>
          <w:szCs w:val="24"/>
        </w:rPr>
        <w:t xml:space="preserve"> 无。</w:t>
      </w:r>
    </w:p>
    <w:sectPr w:rsidR="00FE0E22" w:rsidRPr="00E103F5">
      <w:footerReference w:type="default" r:id="rId10"/>
      <w:pgSz w:w="11906" w:h="16838"/>
      <w:pgMar w:top="1588" w:right="1814" w:bottom="1588" w:left="1814"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AA984B" w14:textId="77777777" w:rsidR="00694EA1" w:rsidRDefault="00694EA1">
      <w:r>
        <w:separator/>
      </w:r>
    </w:p>
  </w:endnote>
  <w:endnote w:type="continuationSeparator" w:id="0">
    <w:p w14:paraId="27FF09AF" w14:textId="77777777" w:rsidR="00694EA1" w:rsidRDefault="00694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1979204"/>
    </w:sdtPr>
    <w:sdtEndPr/>
    <w:sdtContent>
      <w:p w14:paraId="302B3A7B" w14:textId="77777777" w:rsidR="00FE0E22" w:rsidRDefault="004255FF">
        <w:pPr>
          <w:pStyle w:val="af"/>
          <w:jc w:val="center"/>
        </w:pPr>
        <w:r>
          <w:fldChar w:fldCharType="begin"/>
        </w:r>
        <w:r>
          <w:instrText>PAGE   \* MERGEFORMAT</w:instrText>
        </w:r>
        <w:r>
          <w:fldChar w:fldCharType="separate"/>
        </w:r>
        <w:r>
          <w:rPr>
            <w:lang w:val="zh-CN"/>
          </w:rPr>
          <w:t>2</w:t>
        </w:r>
        <w:r>
          <w:fldChar w:fldCharType="end"/>
        </w:r>
      </w:p>
    </w:sdtContent>
  </w:sdt>
  <w:p w14:paraId="056F458C" w14:textId="77777777" w:rsidR="00FE0E22" w:rsidRDefault="00FE0E22">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3737249"/>
    </w:sdtPr>
    <w:sdtEndPr/>
    <w:sdtContent>
      <w:p w14:paraId="5B0DBCB3" w14:textId="77777777" w:rsidR="00FE0E22" w:rsidRDefault="004255FF">
        <w:pPr>
          <w:pStyle w:val="af"/>
          <w:jc w:val="center"/>
        </w:pPr>
        <w:r>
          <w:fldChar w:fldCharType="begin"/>
        </w:r>
        <w:r>
          <w:instrText>PAGE   \* MERGEFORMAT</w:instrText>
        </w:r>
        <w:r>
          <w:fldChar w:fldCharType="separate"/>
        </w:r>
        <w:r>
          <w:rPr>
            <w:lang w:val="zh-CN"/>
          </w:rPr>
          <w:t>3</w:t>
        </w:r>
        <w:r>
          <w:fldChar w:fldCharType="end"/>
        </w:r>
      </w:p>
    </w:sdtContent>
  </w:sdt>
  <w:p w14:paraId="390CF772" w14:textId="77777777" w:rsidR="00FE0E22" w:rsidRDefault="00FE0E22">
    <w:pPr>
      <w:pStyle w:val="af"/>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740270"/>
    </w:sdtPr>
    <w:sdtEndPr>
      <w:rPr>
        <w:sz w:val="24"/>
        <w:szCs w:val="24"/>
      </w:rPr>
    </w:sdtEndPr>
    <w:sdtContent>
      <w:p w14:paraId="0927FD42" w14:textId="0D2735D6" w:rsidR="00FE0E22" w:rsidRDefault="004255FF">
        <w:pPr>
          <w:pStyle w:val="af"/>
          <w:jc w:val="center"/>
          <w:rPr>
            <w:sz w:val="24"/>
            <w:szCs w:val="24"/>
          </w:rPr>
        </w:pPr>
        <w:r>
          <w:rPr>
            <w:sz w:val="24"/>
            <w:szCs w:val="24"/>
          </w:rPr>
          <w:fldChar w:fldCharType="begin"/>
        </w:r>
        <w:r>
          <w:rPr>
            <w:sz w:val="24"/>
            <w:szCs w:val="24"/>
          </w:rPr>
          <w:instrText>PAGE   \* MERGEFORMAT</w:instrText>
        </w:r>
        <w:r>
          <w:rPr>
            <w:sz w:val="24"/>
            <w:szCs w:val="24"/>
          </w:rPr>
          <w:fldChar w:fldCharType="separate"/>
        </w:r>
        <w:r w:rsidR="00E95353" w:rsidRPr="00E95353">
          <w:rPr>
            <w:noProof/>
            <w:sz w:val="24"/>
            <w:szCs w:val="24"/>
            <w:lang w:val="zh-CN"/>
          </w:rPr>
          <w:t>2</w:t>
        </w:r>
        <w:r>
          <w:rPr>
            <w:sz w:val="24"/>
            <w:szCs w:val="24"/>
          </w:rPr>
          <w:fldChar w:fldCharType="end"/>
        </w:r>
      </w:p>
    </w:sdtContent>
  </w:sdt>
  <w:p w14:paraId="5E2B9415" w14:textId="77777777" w:rsidR="00FE0E22" w:rsidRDefault="00FE0E22">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72BD4F" w14:textId="77777777" w:rsidR="00694EA1" w:rsidRDefault="00694EA1">
      <w:r>
        <w:separator/>
      </w:r>
    </w:p>
  </w:footnote>
  <w:footnote w:type="continuationSeparator" w:id="0">
    <w:p w14:paraId="0273E251" w14:textId="77777777" w:rsidR="00694EA1" w:rsidRDefault="00694EA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7"/>
    <w:lvl w:ilvl="0">
      <w:start w:val="1"/>
      <w:numFmt w:val="decimal"/>
      <w:suff w:val="nothing"/>
      <w:lvlText w:val="%1　"/>
      <w:lvlJc w:val="left"/>
      <w:pPr>
        <w:ind w:left="1277"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color w:val="auto"/>
        <w:sz w:val="21"/>
      </w:rPr>
    </w:lvl>
    <w:lvl w:ilvl="4">
      <w:start w:val="1"/>
      <w:numFmt w:val="decimal"/>
      <w:suff w:val="nothing"/>
      <w:lvlText w:val="%1.%2.%3.%4.%5　"/>
      <w:lvlJc w:val="left"/>
      <w:pPr>
        <w:ind w:left="2126"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00000017"/>
    <w:multiLevelType w:val="multilevel"/>
    <w:tmpl w:val="00000017"/>
    <w:lvl w:ilvl="0">
      <w:start w:val="1"/>
      <w:numFmt w:val="lowerLetter"/>
      <w:pStyle w:val="a0"/>
      <w:lvlText w:val="%1)"/>
      <w:lvlJc w:val="left"/>
      <w:pPr>
        <w:tabs>
          <w:tab w:val="left" w:pos="840"/>
        </w:tabs>
        <w:ind w:left="839" w:hanging="419"/>
      </w:pPr>
      <w:rPr>
        <w:rFonts w:ascii="宋体" w:eastAsia="宋体" w:hint="eastAsia"/>
        <w:b w:val="0"/>
        <w:i w:val="0"/>
        <w:sz w:val="21"/>
        <w:szCs w:val="21"/>
      </w:rPr>
    </w:lvl>
    <w:lvl w:ilvl="1">
      <w:start w:val="1"/>
      <w:numFmt w:val="decimal"/>
      <w:pStyle w:val="a1"/>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 w15:restartNumberingAfterBreak="0">
    <w:nsid w:val="03114E1C"/>
    <w:multiLevelType w:val="multilevel"/>
    <w:tmpl w:val="03114E1C"/>
    <w:lvl w:ilvl="0">
      <w:start w:val="1"/>
      <w:numFmt w:val="lowerLetter"/>
      <w:pStyle w:val="a2"/>
      <w:lvlText w:val="%1)"/>
      <w:lvlJc w:val="left"/>
      <w:pPr>
        <w:ind w:left="840" w:hanging="420"/>
      </w:pPr>
      <w:rPr>
        <w:rFonts w:hint="eastAsia"/>
        <w:b w:val="0"/>
        <w:i w:val="0"/>
        <w:sz w:val="20"/>
        <w:szCs w:val="21"/>
      </w:rPr>
    </w:lvl>
    <w:lvl w:ilvl="1">
      <w:start w:val="1"/>
      <w:numFmt w:val="decimal"/>
      <w:pStyle w:val="a3"/>
      <w:lvlText w:val="%2)"/>
      <w:lvlJc w:val="left"/>
      <w:pPr>
        <w:tabs>
          <w:tab w:val="left" w:pos="1259"/>
        </w:tabs>
        <w:ind w:left="1259" w:hanging="420"/>
      </w:pPr>
      <w:rPr>
        <w:rFonts w:ascii="宋体" w:eastAsia="宋体" w:hAnsi="宋体" w:hint="eastAsia"/>
        <w:b w:val="0"/>
        <w:i w:val="0"/>
        <w:sz w:val="20"/>
      </w:rPr>
    </w:lvl>
    <w:lvl w:ilvl="2">
      <w:start w:val="1"/>
      <w:numFmt w:val="decimal"/>
      <w:pStyle w:val="a4"/>
      <w:lvlText w:val="(%3)"/>
      <w:lvlJc w:val="left"/>
      <w:pPr>
        <w:tabs>
          <w:tab w:val="left" w:pos="0"/>
        </w:tabs>
        <w:ind w:left="1678" w:hanging="419"/>
      </w:pPr>
      <w:rPr>
        <w:rFonts w:ascii="宋体" w:eastAsia="宋体" w:hAnsi="宋体" w:hint="eastAsia"/>
        <w:b w:val="0"/>
        <w:i w:val="0"/>
        <w:sz w:val="20"/>
        <w:szCs w:val="21"/>
      </w:rPr>
    </w:lvl>
    <w:lvl w:ilvl="3">
      <w:start w:val="1"/>
      <w:numFmt w:val="decimal"/>
      <w:lvlText w:val="%4."/>
      <w:lvlJc w:val="left"/>
      <w:pPr>
        <w:tabs>
          <w:tab w:val="left" w:pos="2098"/>
        </w:tabs>
        <w:ind w:left="2098" w:hanging="420"/>
      </w:pPr>
      <w:rPr>
        <w:rFonts w:hint="eastAsia"/>
      </w:rPr>
    </w:lvl>
    <w:lvl w:ilvl="4">
      <w:start w:val="1"/>
      <w:numFmt w:val="lowerLetter"/>
      <w:lvlText w:val="%5)"/>
      <w:lvlJc w:val="left"/>
      <w:pPr>
        <w:tabs>
          <w:tab w:val="left" w:pos="2517"/>
        </w:tabs>
        <w:ind w:left="2517" w:hanging="419"/>
      </w:pPr>
      <w:rPr>
        <w:rFonts w:hint="eastAsia"/>
      </w:rPr>
    </w:lvl>
    <w:lvl w:ilvl="5">
      <w:start w:val="1"/>
      <w:numFmt w:val="lowerRoman"/>
      <w:lvlText w:val="%6."/>
      <w:lvlJc w:val="right"/>
      <w:pPr>
        <w:tabs>
          <w:tab w:val="left" w:pos="2942"/>
        </w:tabs>
        <w:ind w:left="2937" w:hanging="420"/>
      </w:pPr>
      <w:rPr>
        <w:rFonts w:hint="eastAsia"/>
      </w:rPr>
    </w:lvl>
    <w:lvl w:ilvl="6">
      <w:start w:val="1"/>
      <w:numFmt w:val="decimal"/>
      <w:lvlText w:val="%7."/>
      <w:lvlJc w:val="left"/>
      <w:pPr>
        <w:tabs>
          <w:tab w:val="left" w:pos="3362"/>
        </w:tabs>
        <w:ind w:left="3356" w:hanging="414"/>
      </w:pPr>
      <w:rPr>
        <w:rFonts w:hint="eastAsia"/>
      </w:rPr>
    </w:lvl>
    <w:lvl w:ilvl="7">
      <w:start w:val="1"/>
      <w:numFmt w:val="lowerLetter"/>
      <w:lvlText w:val="%8)"/>
      <w:lvlJc w:val="left"/>
      <w:pPr>
        <w:tabs>
          <w:tab w:val="left" w:pos="3781"/>
        </w:tabs>
        <w:ind w:left="3776" w:hanging="414"/>
      </w:pPr>
      <w:rPr>
        <w:rFonts w:hint="eastAsia"/>
      </w:rPr>
    </w:lvl>
    <w:lvl w:ilvl="8">
      <w:start w:val="1"/>
      <w:numFmt w:val="lowerRoman"/>
      <w:lvlText w:val="%9."/>
      <w:lvlJc w:val="right"/>
      <w:pPr>
        <w:tabs>
          <w:tab w:val="left" w:pos="4201"/>
        </w:tabs>
        <w:ind w:left="4201" w:hanging="420"/>
      </w:pPr>
      <w:rPr>
        <w:rFonts w:hint="eastAsia"/>
      </w:rPr>
    </w:lvl>
  </w:abstractNum>
  <w:abstractNum w:abstractNumId="3" w15:restartNumberingAfterBreak="0">
    <w:nsid w:val="36231C1D"/>
    <w:multiLevelType w:val="multilevel"/>
    <w:tmpl w:val="36231C1D"/>
    <w:lvl w:ilvl="0">
      <w:start w:val="1"/>
      <w:numFmt w:val="decimal"/>
      <w:lvlText w:val="%1、"/>
      <w:lvlJc w:val="left"/>
      <w:pPr>
        <w:ind w:left="440" w:hanging="44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2MDI0ZjEyODc2MWRmY2I3ZjM5YmFlM2Y5MWYwOWUifQ=="/>
  </w:docVars>
  <w:rsids>
    <w:rsidRoot w:val="00774D80"/>
    <w:rsid w:val="00000830"/>
    <w:rsid w:val="00002A8A"/>
    <w:rsid w:val="00002B7C"/>
    <w:rsid w:val="000041EB"/>
    <w:rsid w:val="00005EE6"/>
    <w:rsid w:val="00006EF0"/>
    <w:rsid w:val="000147C3"/>
    <w:rsid w:val="00022B03"/>
    <w:rsid w:val="0003673B"/>
    <w:rsid w:val="0004418D"/>
    <w:rsid w:val="0005238E"/>
    <w:rsid w:val="0005677E"/>
    <w:rsid w:val="00061378"/>
    <w:rsid w:val="00064725"/>
    <w:rsid w:val="0008623E"/>
    <w:rsid w:val="000876B6"/>
    <w:rsid w:val="00093364"/>
    <w:rsid w:val="00093A33"/>
    <w:rsid w:val="000A01D7"/>
    <w:rsid w:val="000A4255"/>
    <w:rsid w:val="000C2E76"/>
    <w:rsid w:val="000C4503"/>
    <w:rsid w:val="000C5F7E"/>
    <w:rsid w:val="000C7AA5"/>
    <w:rsid w:val="000D127C"/>
    <w:rsid w:val="000E544E"/>
    <w:rsid w:val="000F2EC1"/>
    <w:rsid w:val="000F6B29"/>
    <w:rsid w:val="00122AB5"/>
    <w:rsid w:val="00127E0C"/>
    <w:rsid w:val="0013290C"/>
    <w:rsid w:val="00133103"/>
    <w:rsid w:val="001379BD"/>
    <w:rsid w:val="0014096F"/>
    <w:rsid w:val="001416C7"/>
    <w:rsid w:val="001426ED"/>
    <w:rsid w:val="001500DC"/>
    <w:rsid w:val="00154EB1"/>
    <w:rsid w:val="001629DA"/>
    <w:rsid w:val="00165479"/>
    <w:rsid w:val="00171197"/>
    <w:rsid w:val="00172000"/>
    <w:rsid w:val="0018261D"/>
    <w:rsid w:val="001936E6"/>
    <w:rsid w:val="001B3A51"/>
    <w:rsid w:val="001B663C"/>
    <w:rsid w:val="001B7FD7"/>
    <w:rsid w:val="001D1EBF"/>
    <w:rsid w:val="001F74B5"/>
    <w:rsid w:val="00210169"/>
    <w:rsid w:val="00211842"/>
    <w:rsid w:val="00216B64"/>
    <w:rsid w:val="00241115"/>
    <w:rsid w:val="0025499B"/>
    <w:rsid w:val="002615E0"/>
    <w:rsid w:val="0026218F"/>
    <w:rsid w:val="00265CCF"/>
    <w:rsid w:val="00291823"/>
    <w:rsid w:val="002972BA"/>
    <w:rsid w:val="002A5199"/>
    <w:rsid w:val="002B6D04"/>
    <w:rsid w:val="002C2FF7"/>
    <w:rsid w:val="002D37E7"/>
    <w:rsid w:val="0030244D"/>
    <w:rsid w:val="0030763F"/>
    <w:rsid w:val="0031315A"/>
    <w:rsid w:val="00317F8A"/>
    <w:rsid w:val="003235DA"/>
    <w:rsid w:val="0033156F"/>
    <w:rsid w:val="00331983"/>
    <w:rsid w:val="00332699"/>
    <w:rsid w:val="00335AFB"/>
    <w:rsid w:val="00336662"/>
    <w:rsid w:val="003457C2"/>
    <w:rsid w:val="003544B8"/>
    <w:rsid w:val="00362971"/>
    <w:rsid w:val="00362C8D"/>
    <w:rsid w:val="00383666"/>
    <w:rsid w:val="0039181B"/>
    <w:rsid w:val="0039217E"/>
    <w:rsid w:val="003956F7"/>
    <w:rsid w:val="003A319E"/>
    <w:rsid w:val="003A45B6"/>
    <w:rsid w:val="003C49F3"/>
    <w:rsid w:val="003D0C8C"/>
    <w:rsid w:val="003D38BE"/>
    <w:rsid w:val="003E0742"/>
    <w:rsid w:val="003E2746"/>
    <w:rsid w:val="003E468D"/>
    <w:rsid w:val="003E67D3"/>
    <w:rsid w:val="003F356A"/>
    <w:rsid w:val="003F366A"/>
    <w:rsid w:val="00423568"/>
    <w:rsid w:val="00423E79"/>
    <w:rsid w:val="004255FF"/>
    <w:rsid w:val="004269C3"/>
    <w:rsid w:val="004318A8"/>
    <w:rsid w:val="0044127E"/>
    <w:rsid w:val="00442E70"/>
    <w:rsid w:val="004467BF"/>
    <w:rsid w:val="00447861"/>
    <w:rsid w:val="00453C70"/>
    <w:rsid w:val="00474922"/>
    <w:rsid w:val="004777F0"/>
    <w:rsid w:val="00483FA6"/>
    <w:rsid w:val="00491409"/>
    <w:rsid w:val="0049564C"/>
    <w:rsid w:val="00495A16"/>
    <w:rsid w:val="00497192"/>
    <w:rsid w:val="004A33C6"/>
    <w:rsid w:val="004A47E5"/>
    <w:rsid w:val="004B1AD9"/>
    <w:rsid w:val="004B6E12"/>
    <w:rsid w:val="004C083D"/>
    <w:rsid w:val="004C60ED"/>
    <w:rsid w:val="004D1019"/>
    <w:rsid w:val="004D4A52"/>
    <w:rsid w:val="004E5BE2"/>
    <w:rsid w:val="004F18E5"/>
    <w:rsid w:val="00503171"/>
    <w:rsid w:val="005033FB"/>
    <w:rsid w:val="005034BC"/>
    <w:rsid w:val="005103DF"/>
    <w:rsid w:val="00520FEB"/>
    <w:rsid w:val="00522850"/>
    <w:rsid w:val="0052635F"/>
    <w:rsid w:val="00527657"/>
    <w:rsid w:val="00531A37"/>
    <w:rsid w:val="00531DE3"/>
    <w:rsid w:val="00533951"/>
    <w:rsid w:val="00537001"/>
    <w:rsid w:val="005419B4"/>
    <w:rsid w:val="0055366D"/>
    <w:rsid w:val="005701C3"/>
    <w:rsid w:val="005732C5"/>
    <w:rsid w:val="00581B78"/>
    <w:rsid w:val="00596FA0"/>
    <w:rsid w:val="005C2CB0"/>
    <w:rsid w:val="005C793B"/>
    <w:rsid w:val="005D382D"/>
    <w:rsid w:val="00610FB3"/>
    <w:rsid w:val="00611B88"/>
    <w:rsid w:val="00614860"/>
    <w:rsid w:val="00617919"/>
    <w:rsid w:val="0063374C"/>
    <w:rsid w:val="006468CA"/>
    <w:rsid w:val="006469B0"/>
    <w:rsid w:val="00656734"/>
    <w:rsid w:val="006613FB"/>
    <w:rsid w:val="0066225C"/>
    <w:rsid w:val="006634E1"/>
    <w:rsid w:val="006672E7"/>
    <w:rsid w:val="00672A9F"/>
    <w:rsid w:val="00675F68"/>
    <w:rsid w:val="00685107"/>
    <w:rsid w:val="00694EA1"/>
    <w:rsid w:val="00696C6D"/>
    <w:rsid w:val="006A1689"/>
    <w:rsid w:val="006A4AEF"/>
    <w:rsid w:val="006B4DF1"/>
    <w:rsid w:val="006C0076"/>
    <w:rsid w:val="006C6C74"/>
    <w:rsid w:val="006D3E3B"/>
    <w:rsid w:val="006D7746"/>
    <w:rsid w:val="006E0C0E"/>
    <w:rsid w:val="006E1CA3"/>
    <w:rsid w:val="006E67C9"/>
    <w:rsid w:val="006E6C0B"/>
    <w:rsid w:val="006E7867"/>
    <w:rsid w:val="006F763E"/>
    <w:rsid w:val="00712890"/>
    <w:rsid w:val="007147BA"/>
    <w:rsid w:val="00722B78"/>
    <w:rsid w:val="007244EE"/>
    <w:rsid w:val="007308BA"/>
    <w:rsid w:val="0073450F"/>
    <w:rsid w:val="0075309B"/>
    <w:rsid w:val="00753809"/>
    <w:rsid w:val="00763EAB"/>
    <w:rsid w:val="007647CC"/>
    <w:rsid w:val="00766C81"/>
    <w:rsid w:val="00771902"/>
    <w:rsid w:val="00773EE8"/>
    <w:rsid w:val="007749DE"/>
    <w:rsid w:val="00774D80"/>
    <w:rsid w:val="00775629"/>
    <w:rsid w:val="00783DD1"/>
    <w:rsid w:val="00785292"/>
    <w:rsid w:val="00785FF9"/>
    <w:rsid w:val="00791EAC"/>
    <w:rsid w:val="007B231C"/>
    <w:rsid w:val="007E705A"/>
    <w:rsid w:val="007F1430"/>
    <w:rsid w:val="007F2782"/>
    <w:rsid w:val="007F738E"/>
    <w:rsid w:val="008019A4"/>
    <w:rsid w:val="008107F0"/>
    <w:rsid w:val="00811CF9"/>
    <w:rsid w:val="00816801"/>
    <w:rsid w:val="00823231"/>
    <w:rsid w:val="00831EC0"/>
    <w:rsid w:val="00833541"/>
    <w:rsid w:val="0083487D"/>
    <w:rsid w:val="008367A5"/>
    <w:rsid w:val="00846E4E"/>
    <w:rsid w:val="00854D5D"/>
    <w:rsid w:val="00863840"/>
    <w:rsid w:val="00863DC7"/>
    <w:rsid w:val="00867C42"/>
    <w:rsid w:val="00870187"/>
    <w:rsid w:val="008814BD"/>
    <w:rsid w:val="00881D85"/>
    <w:rsid w:val="008914E3"/>
    <w:rsid w:val="00892C37"/>
    <w:rsid w:val="0089375D"/>
    <w:rsid w:val="008939A3"/>
    <w:rsid w:val="008A14D7"/>
    <w:rsid w:val="008B539F"/>
    <w:rsid w:val="008B5E30"/>
    <w:rsid w:val="008C2ECA"/>
    <w:rsid w:val="008C5EFC"/>
    <w:rsid w:val="008D369D"/>
    <w:rsid w:val="008D56EC"/>
    <w:rsid w:val="008E1E6D"/>
    <w:rsid w:val="008E2DC9"/>
    <w:rsid w:val="008E4618"/>
    <w:rsid w:val="008E6F9E"/>
    <w:rsid w:val="0090678B"/>
    <w:rsid w:val="00906BF8"/>
    <w:rsid w:val="00925151"/>
    <w:rsid w:val="0093393C"/>
    <w:rsid w:val="00933AF0"/>
    <w:rsid w:val="009343B7"/>
    <w:rsid w:val="009413AD"/>
    <w:rsid w:val="00941C5C"/>
    <w:rsid w:val="00942E15"/>
    <w:rsid w:val="00951F8B"/>
    <w:rsid w:val="009725D0"/>
    <w:rsid w:val="009751C9"/>
    <w:rsid w:val="00980E45"/>
    <w:rsid w:val="009A3C51"/>
    <w:rsid w:val="009A79E2"/>
    <w:rsid w:val="009B0566"/>
    <w:rsid w:val="009B2A1F"/>
    <w:rsid w:val="009B3825"/>
    <w:rsid w:val="009D73A6"/>
    <w:rsid w:val="009F4B50"/>
    <w:rsid w:val="009F68D8"/>
    <w:rsid w:val="00A04DA5"/>
    <w:rsid w:val="00A111FD"/>
    <w:rsid w:val="00A15CFB"/>
    <w:rsid w:val="00A21F07"/>
    <w:rsid w:val="00A25550"/>
    <w:rsid w:val="00A27655"/>
    <w:rsid w:val="00A3418E"/>
    <w:rsid w:val="00A40C68"/>
    <w:rsid w:val="00A41D46"/>
    <w:rsid w:val="00A428EE"/>
    <w:rsid w:val="00A50EFB"/>
    <w:rsid w:val="00A544ED"/>
    <w:rsid w:val="00A6739A"/>
    <w:rsid w:val="00A72F26"/>
    <w:rsid w:val="00A75124"/>
    <w:rsid w:val="00A8305A"/>
    <w:rsid w:val="00A834AA"/>
    <w:rsid w:val="00AB4B79"/>
    <w:rsid w:val="00AB698A"/>
    <w:rsid w:val="00AD5020"/>
    <w:rsid w:val="00AE3903"/>
    <w:rsid w:val="00AE4BEA"/>
    <w:rsid w:val="00AF2C9A"/>
    <w:rsid w:val="00B2115A"/>
    <w:rsid w:val="00B254D1"/>
    <w:rsid w:val="00B27A87"/>
    <w:rsid w:val="00B328C9"/>
    <w:rsid w:val="00B37C19"/>
    <w:rsid w:val="00B60877"/>
    <w:rsid w:val="00B60CA8"/>
    <w:rsid w:val="00B61DE6"/>
    <w:rsid w:val="00B62EFD"/>
    <w:rsid w:val="00B64CAE"/>
    <w:rsid w:val="00B67AFA"/>
    <w:rsid w:val="00B70E7E"/>
    <w:rsid w:val="00B8201E"/>
    <w:rsid w:val="00B8435C"/>
    <w:rsid w:val="00B91A4E"/>
    <w:rsid w:val="00B97BF7"/>
    <w:rsid w:val="00BA7CD3"/>
    <w:rsid w:val="00BC346B"/>
    <w:rsid w:val="00BC4D1B"/>
    <w:rsid w:val="00BF1B4B"/>
    <w:rsid w:val="00BF1D15"/>
    <w:rsid w:val="00C0170B"/>
    <w:rsid w:val="00C04636"/>
    <w:rsid w:val="00C06C7D"/>
    <w:rsid w:val="00C076AF"/>
    <w:rsid w:val="00C122F4"/>
    <w:rsid w:val="00C178A4"/>
    <w:rsid w:val="00C35DDE"/>
    <w:rsid w:val="00C4552B"/>
    <w:rsid w:val="00C505BD"/>
    <w:rsid w:val="00C51076"/>
    <w:rsid w:val="00C515E5"/>
    <w:rsid w:val="00C54E66"/>
    <w:rsid w:val="00C55974"/>
    <w:rsid w:val="00C64365"/>
    <w:rsid w:val="00C743BF"/>
    <w:rsid w:val="00C80ECD"/>
    <w:rsid w:val="00C84E64"/>
    <w:rsid w:val="00CA1209"/>
    <w:rsid w:val="00CC50FC"/>
    <w:rsid w:val="00CD3CD3"/>
    <w:rsid w:val="00CE2184"/>
    <w:rsid w:val="00CE4BDD"/>
    <w:rsid w:val="00CE6973"/>
    <w:rsid w:val="00CF4BEA"/>
    <w:rsid w:val="00D22500"/>
    <w:rsid w:val="00D257A9"/>
    <w:rsid w:val="00D3282A"/>
    <w:rsid w:val="00D45BF9"/>
    <w:rsid w:val="00D65397"/>
    <w:rsid w:val="00D71230"/>
    <w:rsid w:val="00D80291"/>
    <w:rsid w:val="00D8035A"/>
    <w:rsid w:val="00D813A2"/>
    <w:rsid w:val="00D83D3B"/>
    <w:rsid w:val="00D858DD"/>
    <w:rsid w:val="00D87115"/>
    <w:rsid w:val="00D9754A"/>
    <w:rsid w:val="00DA6562"/>
    <w:rsid w:val="00DB2423"/>
    <w:rsid w:val="00DC2909"/>
    <w:rsid w:val="00DC3934"/>
    <w:rsid w:val="00DC5664"/>
    <w:rsid w:val="00DC70AD"/>
    <w:rsid w:val="00DD2063"/>
    <w:rsid w:val="00DD2984"/>
    <w:rsid w:val="00DD7B38"/>
    <w:rsid w:val="00DE2F1D"/>
    <w:rsid w:val="00DE3D7E"/>
    <w:rsid w:val="00DE597C"/>
    <w:rsid w:val="00DF19F3"/>
    <w:rsid w:val="00DF625C"/>
    <w:rsid w:val="00E0009D"/>
    <w:rsid w:val="00E103F5"/>
    <w:rsid w:val="00E1061A"/>
    <w:rsid w:val="00E13578"/>
    <w:rsid w:val="00E13E25"/>
    <w:rsid w:val="00E20429"/>
    <w:rsid w:val="00E306DD"/>
    <w:rsid w:val="00E33B00"/>
    <w:rsid w:val="00E432B3"/>
    <w:rsid w:val="00E81A7A"/>
    <w:rsid w:val="00E901AF"/>
    <w:rsid w:val="00E92873"/>
    <w:rsid w:val="00E95353"/>
    <w:rsid w:val="00E953B9"/>
    <w:rsid w:val="00E968A9"/>
    <w:rsid w:val="00E96949"/>
    <w:rsid w:val="00E96F8E"/>
    <w:rsid w:val="00EA2AD0"/>
    <w:rsid w:val="00EA3493"/>
    <w:rsid w:val="00EB422A"/>
    <w:rsid w:val="00EB4E63"/>
    <w:rsid w:val="00EB6F21"/>
    <w:rsid w:val="00EC1E69"/>
    <w:rsid w:val="00ED2DA5"/>
    <w:rsid w:val="00ED65EB"/>
    <w:rsid w:val="00ED6D60"/>
    <w:rsid w:val="00ED72BA"/>
    <w:rsid w:val="00ED7616"/>
    <w:rsid w:val="00EF5034"/>
    <w:rsid w:val="00F02FAE"/>
    <w:rsid w:val="00F326B1"/>
    <w:rsid w:val="00F34D0A"/>
    <w:rsid w:val="00F46D57"/>
    <w:rsid w:val="00F50060"/>
    <w:rsid w:val="00F55585"/>
    <w:rsid w:val="00F6434A"/>
    <w:rsid w:val="00F74158"/>
    <w:rsid w:val="00F77F09"/>
    <w:rsid w:val="00F920AD"/>
    <w:rsid w:val="00FA45B6"/>
    <w:rsid w:val="00FA7B2E"/>
    <w:rsid w:val="00FC1720"/>
    <w:rsid w:val="00FC6111"/>
    <w:rsid w:val="00FD16BC"/>
    <w:rsid w:val="00FE0E22"/>
    <w:rsid w:val="00FF332B"/>
    <w:rsid w:val="02205CDF"/>
    <w:rsid w:val="03627E10"/>
    <w:rsid w:val="0574147B"/>
    <w:rsid w:val="07342867"/>
    <w:rsid w:val="0D8A4387"/>
    <w:rsid w:val="12E44E0E"/>
    <w:rsid w:val="16A93CF3"/>
    <w:rsid w:val="1A300078"/>
    <w:rsid w:val="21C0196E"/>
    <w:rsid w:val="24AD003F"/>
    <w:rsid w:val="2CB129C6"/>
    <w:rsid w:val="2F356DC2"/>
    <w:rsid w:val="3788716A"/>
    <w:rsid w:val="3FDC2FAD"/>
    <w:rsid w:val="41C4702D"/>
    <w:rsid w:val="41F533C3"/>
    <w:rsid w:val="4AE02CA9"/>
    <w:rsid w:val="552A363A"/>
    <w:rsid w:val="5AC74D33"/>
    <w:rsid w:val="5C6D2FE1"/>
    <w:rsid w:val="5ED92FF7"/>
    <w:rsid w:val="61853EF8"/>
    <w:rsid w:val="62450B1A"/>
    <w:rsid w:val="64691A31"/>
    <w:rsid w:val="64751757"/>
    <w:rsid w:val="64CA0774"/>
    <w:rsid w:val="6AC76CD4"/>
    <w:rsid w:val="6B6D2281"/>
    <w:rsid w:val="6F905C4E"/>
    <w:rsid w:val="76D446F6"/>
    <w:rsid w:val="77140320"/>
    <w:rsid w:val="7F9139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88067"/>
  <w15:docId w15:val="{BF9B1340-170A-401D-A4F1-5E8CB47B6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widowControl w:val="0"/>
      <w:jc w:val="both"/>
    </w:pPr>
    <w:rPr>
      <w:kern w:val="2"/>
      <w:sz w:val="21"/>
    </w:rPr>
  </w:style>
  <w:style w:type="paragraph" w:styleId="1">
    <w:name w:val="heading 1"/>
    <w:basedOn w:val="a5"/>
    <w:next w:val="a5"/>
    <w:link w:val="10"/>
    <w:uiPriority w:val="9"/>
    <w:qFormat/>
    <w:pPr>
      <w:keepNext/>
      <w:keepLines/>
      <w:spacing w:before="340" w:after="330" w:line="578" w:lineRule="auto"/>
      <w:outlineLvl w:val="0"/>
    </w:pPr>
    <w:rPr>
      <w:b/>
      <w:bCs/>
      <w:kern w:val="44"/>
      <w:sz w:val="44"/>
      <w:szCs w:val="44"/>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7">
    <w:name w:val="toc 7"/>
    <w:basedOn w:val="a5"/>
    <w:next w:val="a5"/>
    <w:uiPriority w:val="39"/>
    <w:semiHidden/>
    <w:unhideWhenUsed/>
    <w:qFormat/>
    <w:pPr>
      <w:ind w:left="1260"/>
      <w:jc w:val="left"/>
    </w:pPr>
    <w:rPr>
      <w:rFonts w:asciiTheme="minorHAnsi" w:hAnsiTheme="minorHAnsi"/>
      <w:sz w:val="18"/>
      <w:szCs w:val="18"/>
    </w:rPr>
  </w:style>
  <w:style w:type="paragraph" w:styleId="a9">
    <w:name w:val="annotation text"/>
    <w:basedOn w:val="a5"/>
    <w:link w:val="aa"/>
    <w:qFormat/>
    <w:pPr>
      <w:adjustRightInd w:val="0"/>
      <w:spacing w:line="360" w:lineRule="atLeast"/>
      <w:jc w:val="left"/>
      <w:textAlignment w:val="baseline"/>
    </w:pPr>
    <w:rPr>
      <w:kern w:val="0"/>
      <w:sz w:val="28"/>
    </w:rPr>
  </w:style>
  <w:style w:type="paragraph" w:styleId="ab">
    <w:name w:val="Body Text Indent"/>
    <w:basedOn w:val="a5"/>
    <w:link w:val="ac"/>
    <w:qFormat/>
    <w:pPr>
      <w:adjustRightInd w:val="0"/>
      <w:spacing w:line="360" w:lineRule="auto"/>
      <w:ind w:firstLine="420"/>
      <w:jc w:val="left"/>
      <w:textAlignment w:val="baseline"/>
    </w:pPr>
    <w:rPr>
      <w:kern w:val="0"/>
    </w:rPr>
  </w:style>
  <w:style w:type="paragraph" w:styleId="5">
    <w:name w:val="toc 5"/>
    <w:basedOn w:val="a5"/>
    <w:next w:val="a5"/>
    <w:uiPriority w:val="39"/>
    <w:semiHidden/>
    <w:unhideWhenUsed/>
    <w:qFormat/>
    <w:pPr>
      <w:ind w:left="840"/>
      <w:jc w:val="left"/>
    </w:pPr>
    <w:rPr>
      <w:rFonts w:asciiTheme="minorHAnsi" w:hAnsiTheme="minorHAnsi"/>
      <w:sz w:val="18"/>
      <w:szCs w:val="18"/>
    </w:rPr>
  </w:style>
  <w:style w:type="paragraph" w:styleId="3">
    <w:name w:val="toc 3"/>
    <w:basedOn w:val="a5"/>
    <w:next w:val="a5"/>
    <w:uiPriority w:val="39"/>
    <w:semiHidden/>
    <w:unhideWhenUsed/>
    <w:qFormat/>
    <w:pPr>
      <w:ind w:left="420"/>
      <w:jc w:val="left"/>
    </w:pPr>
    <w:rPr>
      <w:rFonts w:asciiTheme="minorHAnsi" w:hAnsiTheme="minorHAnsi"/>
      <w:i/>
      <w:iCs/>
      <w:sz w:val="20"/>
    </w:rPr>
  </w:style>
  <w:style w:type="paragraph" w:styleId="8">
    <w:name w:val="toc 8"/>
    <w:basedOn w:val="a5"/>
    <w:next w:val="a5"/>
    <w:uiPriority w:val="39"/>
    <w:semiHidden/>
    <w:unhideWhenUsed/>
    <w:qFormat/>
    <w:pPr>
      <w:ind w:left="1470"/>
      <w:jc w:val="left"/>
    </w:pPr>
    <w:rPr>
      <w:rFonts w:asciiTheme="minorHAnsi" w:hAnsiTheme="minorHAnsi"/>
      <w:sz w:val="18"/>
      <w:szCs w:val="18"/>
    </w:rPr>
  </w:style>
  <w:style w:type="paragraph" w:styleId="ad">
    <w:name w:val="Balloon Text"/>
    <w:basedOn w:val="a5"/>
    <w:link w:val="ae"/>
    <w:uiPriority w:val="99"/>
    <w:semiHidden/>
    <w:unhideWhenUsed/>
    <w:qFormat/>
    <w:rPr>
      <w:sz w:val="18"/>
      <w:szCs w:val="18"/>
    </w:rPr>
  </w:style>
  <w:style w:type="paragraph" w:styleId="af">
    <w:name w:val="footer"/>
    <w:basedOn w:val="a5"/>
    <w:link w:val="af0"/>
    <w:uiPriority w:val="99"/>
    <w:unhideWhenUsed/>
    <w:qFormat/>
    <w:pPr>
      <w:tabs>
        <w:tab w:val="center" w:pos="4153"/>
        <w:tab w:val="right" w:pos="8306"/>
      </w:tabs>
      <w:snapToGrid w:val="0"/>
      <w:jc w:val="left"/>
    </w:pPr>
    <w:rPr>
      <w:sz w:val="18"/>
      <w:szCs w:val="18"/>
    </w:rPr>
  </w:style>
  <w:style w:type="paragraph" w:styleId="af1">
    <w:name w:val="header"/>
    <w:basedOn w:val="a5"/>
    <w:link w:val="af2"/>
    <w:uiPriority w:val="99"/>
    <w:unhideWhenUsed/>
    <w:qFormat/>
    <w:pPr>
      <w:pBdr>
        <w:bottom w:val="single" w:sz="6" w:space="1" w:color="auto"/>
      </w:pBdr>
      <w:tabs>
        <w:tab w:val="center" w:pos="4153"/>
        <w:tab w:val="right" w:pos="8306"/>
      </w:tabs>
      <w:snapToGrid w:val="0"/>
      <w:jc w:val="center"/>
    </w:pPr>
    <w:rPr>
      <w:sz w:val="18"/>
      <w:szCs w:val="18"/>
    </w:rPr>
  </w:style>
  <w:style w:type="paragraph" w:styleId="11">
    <w:name w:val="toc 1"/>
    <w:basedOn w:val="a5"/>
    <w:next w:val="a5"/>
    <w:uiPriority w:val="39"/>
    <w:qFormat/>
    <w:pPr>
      <w:spacing w:before="120" w:after="120"/>
      <w:jc w:val="left"/>
    </w:pPr>
    <w:rPr>
      <w:rFonts w:asciiTheme="minorHAnsi" w:hAnsiTheme="minorHAnsi"/>
      <w:b/>
      <w:bCs/>
      <w:caps/>
      <w:sz w:val="20"/>
    </w:rPr>
  </w:style>
  <w:style w:type="paragraph" w:styleId="4">
    <w:name w:val="toc 4"/>
    <w:basedOn w:val="a5"/>
    <w:next w:val="a5"/>
    <w:uiPriority w:val="39"/>
    <w:semiHidden/>
    <w:unhideWhenUsed/>
    <w:qFormat/>
    <w:pPr>
      <w:ind w:left="630"/>
      <w:jc w:val="left"/>
    </w:pPr>
    <w:rPr>
      <w:rFonts w:asciiTheme="minorHAnsi" w:hAnsiTheme="minorHAnsi"/>
      <w:sz w:val="18"/>
      <w:szCs w:val="18"/>
    </w:rPr>
  </w:style>
  <w:style w:type="paragraph" w:styleId="6">
    <w:name w:val="toc 6"/>
    <w:basedOn w:val="a5"/>
    <w:next w:val="a5"/>
    <w:uiPriority w:val="39"/>
    <w:semiHidden/>
    <w:unhideWhenUsed/>
    <w:qFormat/>
    <w:pPr>
      <w:ind w:left="1050"/>
      <w:jc w:val="left"/>
    </w:pPr>
    <w:rPr>
      <w:rFonts w:asciiTheme="minorHAnsi" w:hAnsiTheme="minorHAnsi"/>
      <w:sz w:val="18"/>
      <w:szCs w:val="18"/>
    </w:rPr>
  </w:style>
  <w:style w:type="paragraph" w:styleId="2">
    <w:name w:val="toc 2"/>
    <w:basedOn w:val="a5"/>
    <w:next w:val="a5"/>
    <w:uiPriority w:val="39"/>
    <w:qFormat/>
    <w:pPr>
      <w:ind w:left="210"/>
      <w:jc w:val="left"/>
    </w:pPr>
    <w:rPr>
      <w:rFonts w:asciiTheme="minorHAnsi" w:hAnsiTheme="minorHAnsi"/>
      <w:smallCaps/>
      <w:sz w:val="20"/>
    </w:rPr>
  </w:style>
  <w:style w:type="paragraph" w:styleId="9">
    <w:name w:val="toc 9"/>
    <w:basedOn w:val="a5"/>
    <w:next w:val="a5"/>
    <w:uiPriority w:val="39"/>
    <w:semiHidden/>
    <w:unhideWhenUsed/>
    <w:qFormat/>
    <w:pPr>
      <w:ind w:left="1680"/>
      <w:jc w:val="left"/>
    </w:pPr>
    <w:rPr>
      <w:rFonts w:asciiTheme="minorHAnsi" w:hAnsiTheme="minorHAnsi"/>
      <w:sz w:val="18"/>
      <w:szCs w:val="18"/>
    </w:rPr>
  </w:style>
  <w:style w:type="paragraph" w:styleId="af3">
    <w:name w:val="Normal (Web)"/>
    <w:basedOn w:val="a5"/>
    <w:uiPriority w:val="99"/>
    <w:semiHidden/>
    <w:unhideWhenUsed/>
    <w:qFormat/>
    <w:pPr>
      <w:spacing w:beforeAutospacing="1" w:afterAutospacing="1"/>
      <w:jc w:val="left"/>
    </w:pPr>
    <w:rPr>
      <w:kern w:val="0"/>
      <w:sz w:val="24"/>
    </w:rPr>
  </w:style>
  <w:style w:type="paragraph" w:styleId="af4">
    <w:name w:val="annotation subject"/>
    <w:basedOn w:val="a9"/>
    <w:next w:val="a9"/>
    <w:link w:val="af5"/>
    <w:uiPriority w:val="99"/>
    <w:semiHidden/>
    <w:unhideWhenUsed/>
    <w:qFormat/>
    <w:pPr>
      <w:adjustRightInd/>
      <w:spacing w:line="240" w:lineRule="auto"/>
      <w:textAlignment w:val="auto"/>
    </w:pPr>
    <w:rPr>
      <w:b/>
      <w:bCs/>
      <w:kern w:val="2"/>
      <w:sz w:val="21"/>
    </w:rPr>
  </w:style>
  <w:style w:type="character" w:styleId="af6">
    <w:name w:val="Strong"/>
    <w:basedOn w:val="a6"/>
    <w:uiPriority w:val="22"/>
    <w:qFormat/>
    <w:rPr>
      <w:b/>
    </w:rPr>
  </w:style>
  <w:style w:type="character" w:styleId="af7">
    <w:name w:val="Hyperlink"/>
    <w:uiPriority w:val="99"/>
    <w:qFormat/>
    <w:rPr>
      <w:color w:val="0000FF"/>
      <w:u w:val="single"/>
    </w:rPr>
  </w:style>
  <w:style w:type="character" w:styleId="af8">
    <w:name w:val="annotation reference"/>
    <w:qFormat/>
    <w:rPr>
      <w:sz w:val="21"/>
      <w:szCs w:val="21"/>
    </w:rPr>
  </w:style>
  <w:style w:type="paragraph" w:styleId="af9">
    <w:name w:val="List Paragraph"/>
    <w:basedOn w:val="a5"/>
    <w:uiPriority w:val="34"/>
    <w:qFormat/>
    <w:pPr>
      <w:ind w:firstLineChars="200" w:firstLine="420"/>
    </w:pPr>
  </w:style>
  <w:style w:type="character" w:customStyle="1" w:styleId="af2">
    <w:name w:val="页眉 字符"/>
    <w:basedOn w:val="a6"/>
    <w:link w:val="af1"/>
    <w:uiPriority w:val="99"/>
    <w:qFormat/>
    <w:rPr>
      <w:rFonts w:ascii="Times New Roman" w:eastAsia="宋体" w:hAnsi="Times New Roman" w:cs="Times New Roman"/>
      <w:sz w:val="18"/>
      <w:szCs w:val="18"/>
    </w:rPr>
  </w:style>
  <w:style w:type="character" w:customStyle="1" w:styleId="af0">
    <w:name w:val="页脚 字符"/>
    <w:basedOn w:val="a6"/>
    <w:link w:val="af"/>
    <w:uiPriority w:val="99"/>
    <w:qFormat/>
    <w:rPr>
      <w:rFonts w:ascii="Times New Roman" w:eastAsia="宋体" w:hAnsi="Times New Roman" w:cs="Times New Roman"/>
      <w:sz w:val="18"/>
      <w:szCs w:val="18"/>
    </w:rPr>
  </w:style>
  <w:style w:type="character" w:customStyle="1" w:styleId="ae">
    <w:name w:val="批注框文本 字符"/>
    <w:basedOn w:val="a6"/>
    <w:link w:val="ad"/>
    <w:uiPriority w:val="99"/>
    <w:semiHidden/>
    <w:qFormat/>
    <w:rPr>
      <w:rFonts w:ascii="Times New Roman" w:eastAsia="宋体" w:hAnsi="Times New Roman" w:cs="Times New Roman"/>
      <w:sz w:val="18"/>
      <w:szCs w:val="18"/>
    </w:rPr>
  </w:style>
  <w:style w:type="character" w:customStyle="1" w:styleId="Char">
    <w:name w:val="批注文字 Char"/>
    <w:basedOn w:val="a6"/>
    <w:uiPriority w:val="99"/>
    <w:semiHidden/>
    <w:qFormat/>
    <w:rPr>
      <w:rFonts w:ascii="Times New Roman" w:eastAsia="宋体" w:hAnsi="Times New Roman" w:cs="Times New Roman"/>
      <w:szCs w:val="20"/>
    </w:rPr>
  </w:style>
  <w:style w:type="character" w:customStyle="1" w:styleId="aa">
    <w:name w:val="批注文字 字符"/>
    <w:link w:val="a9"/>
    <w:qFormat/>
    <w:rPr>
      <w:rFonts w:ascii="Times New Roman" w:eastAsia="宋体" w:hAnsi="Times New Roman" w:cs="Times New Roman"/>
      <w:kern w:val="0"/>
      <w:sz w:val="28"/>
      <w:szCs w:val="20"/>
    </w:rPr>
  </w:style>
  <w:style w:type="character" w:customStyle="1" w:styleId="ac">
    <w:name w:val="正文文本缩进 字符"/>
    <w:basedOn w:val="a6"/>
    <w:link w:val="ab"/>
    <w:qFormat/>
    <w:rPr>
      <w:rFonts w:ascii="Times New Roman" w:eastAsia="宋体" w:hAnsi="Times New Roman" w:cs="Times New Roman"/>
      <w:kern w:val="0"/>
      <w:szCs w:val="20"/>
    </w:rPr>
  </w:style>
  <w:style w:type="character" w:customStyle="1" w:styleId="10">
    <w:name w:val="标题 1 字符"/>
    <w:basedOn w:val="a6"/>
    <w:link w:val="1"/>
    <w:uiPriority w:val="9"/>
    <w:qFormat/>
    <w:rPr>
      <w:rFonts w:ascii="Times New Roman" w:eastAsia="宋体" w:hAnsi="Times New Roman" w:cs="Times New Roman"/>
      <w:b/>
      <w:bCs/>
      <w:kern w:val="44"/>
      <w:sz w:val="44"/>
      <w:szCs w:val="44"/>
    </w:rPr>
  </w:style>
  <w:style w:type="paragraph" w:customStyle="1" w:styleId="TOC1">
    <w:name w:val="TOC 标题1"/>
    <w:basedOn w:val="1"/>
    <w:next w:val="a5"/>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afa">
    <w:name w:val="表格"/>
    <w:basedOn w:val="a5"/>
    <w:qFormat/>
    <w:pPr>
      <w:adjustRightInd w:val="0"/>
      <w:snapToGrid w:val="0"/>
      <w:spacing w:after="60" w:line="400" w:lineRule="atLeast"/>
      <w:jc w:val="center"/>
      <w:textAlignment w:val="center"/>
    </w:pPr>
    <w:rPr>
      <w:kern w:val="0"/>
    </w:rPr>
  </w:style>
  <w:style w:type="paragraph" w:customStyle="1" w:styleId="afb">
    <w:name w:val="一级条标题"/>
    <w:next w:val="a5"/>
    <w:qFormat/>
    <w:pPr>
      <w:spacing w:beforeLines="50" w:before="156" w:afterLines="50" w:after="156"/>
      <w:outlineLvl w:val="2"/>
    </w:pPr>
    <w:rPr>
      <w:rFonts w:ascii="黑体" w:eastAsia="黑体"/>
      <w:sz w:val="21"/>
      <w:szCs w:val="21"/>
    </w:rPr>
  </w:style>
  <w:style w:type="paragraph" w:customStyle="1" w:styleId="a">
    <w:name w:val="二级条标题"/>
    <w:basedOn w:val="afb"/>
    <w:next w:val="a5"/>
    <w:qFormat/>
    <w:pPr>
      <w:numPr>
        <w:ilvl w:val="2"/>
        <w:numId w:val="1"/>
      </w:numPr>
      <w:spacing w:before="50" w:after="50"/>
      <w:outlineLvl w:val="3"/>
    </w:pPr>
    <w:rPr>
      <w:rFonts w:ascii="Times New Roman" w:eastAsia="宋体"/>
    </w:rPr>
  </w:style>
  <w:style w:type="paragraph" w:customStyle="1" w:styleId="a3">
    <w:name w:val="三级条标题"/>
    <w:basedOn w:val="a"/>
    <w:next w:val="a5"/>
    <w:qFormat/>
    <w:pPr>
      <w:numPr>
        <w:ilvl w:val="1"/>
        <w:numId w:val="2"/>
      </w:numPr>
      <w:outlineLvl w:val="4"/>
    </w:pPr>
  </w:style>
  <w:style w:type="paragraph" w:customStyle="1" w:styleId="a2">
    <w:name w:val="列项——（一级）"/>
    <w:qFormat/>
    <w:pPr>
      <w:widowControl w:val="0"/>
      <w:numPr>
        <w:numId w:val="2"/>
      </w:numPr>
      <w:jc w:val="both"/>
    </w:pPr>
    <w:rPr>
      <w:rFonts w:ascii="宋体"/>
      <w:sz w:val="21"/>
    </w:rPr>
  </w:style>
  <w:style w:type="paragraph" w:customStyle="1" w:styleId="a4">
    <w:name w:val="列项◆（三级）"/>
    <w:basedOn w:val="a5"/>
    <w:qFormat/>
    <w:pPr>
      <w:widowControl/>
      <w:numPr>
        <w:ilvl w:val="2"/>
        <w:numId w:val="2"/>
      </w:numPr>
      <w:jc w:val="left"/>
    </w:pPr>
    <w:rPr>
      <w:rFonts w:ascii="宋体"/>
      <w:kern w:val="0"/>
      <w:sz w:val="24"/>
      <w:szCs w:val="21"/>
    </w:rPr>
  </w:style>
  <w:style w:type="paragraph" w:customStyle="1" w:styleId="a0">
    <w:name w:val="字母编号列项（一级）"/>
    <w:qFormat/>
    <w:pPr>
      <w:numPr>
        <w:numId w:val="3"/>
      </w:numPr>
      <w:jc w:val="both"/>
    </w:pPr>
    <w:rPr>
      <w:rFonts w:ascii="宋体"/>
      <w:sz w:val="21"/>
    </w:rPr>
  </w:style>
  <w:style w:type="paragraph" w:customStyle="1" w:styleId="a1">
    <w:name w:val="数字编号列项（二级）"/>
    <w:qFormat/>
    <w:pPr>
      <w:numPr>
        <w:ilvl w:val="1"/>
        <w:numId w:val="3"/>
      </w:numPr>
      <w:jc w:val="both"/>
    </w:pPr>
    <w:rPr>
      <w:rFonts w:ascii="宋体"/>
      <w:sz w:val="21"/>
    </w:rPr>
  </w:style>
  <w:style w:type="character" w:customStyle="1" w:styleId="x3e4">
    <w:name w:val="x3e4"/>
    <w:basedOn w:val="a6"/>
    <w:qFormat/>
    <w:rPr>
      <w:color w:val="FFFFCC"/>
    </w:rPr>
  </w:style>
  <w:style w:type="character" w:customStyle="1" w:styleId="poradisabled4">
    <w:name w:val="p_oradisabled4"/>
    <w:basedOn w:val="a6"/>
    <w:qFormat/>
    <w:rPr>
      <w:color w:val="FFFFCC"/>
    </w:rPr>
  </w:style>
  <w:style w:type="character" w:customStyle="1" w:styleId="oralinkdisabled2">
    <w:name w:val="oralinkdisabled2"/>
    <w:basedOn w:val="a6"/>
    <w:qFormat/>
  </w:style>
  <w:style w:type="character" w:customStyle="1" w:styleId="xi3">
    <w:name w:val="xi3"/>
    <w:basedOn w:val="a6"/>
    <w:qFormat/>
  </w:style>
  <w:style w:type="character" w:customStyle="1" w:styleId="af5">
    <w:name w:val="批注主题 字符"/>
    <w:basedOn w:val="aa"/>
    <w:link w:val="af4"/>
    <w:uiPriority w:val="99"/>
    <w:semiHidden/>
    <w:qFormat/>
    <w:rPr>
      <w:rFonts w:ascii="Times New Roman" w:eastAsia="宋体" w:hAnsi="Times New Roman" w:cs="Times New Roman"/>
      <w:b/>
      <w:bCs/>
      <w:kern w:val="2"/>
      <w:sz w:val="21"/>
      <w:szCs w:val="20"/>
    </w:rPr>
  </w:style>
  <w:style w:type="character" w:customStyle="1" w:styleId="12">
    <w:name w:val="未处理的提及1"/>
    <w:basedOn w:val="a6"/>
    <w:uiPriority w:val="99"/>
    <w:semiHidden/>
    <w:unhideWhenUsed/>
    <w:qFormat/>
    <w:rPr>
      <w:color w:val="605E5C"/>
      <w:shd w:val="clear" w:color="auto" w:fill="E1DFDD"/>
    </w:rPr>
  </w:style>
  <w:style w:type="paragraph" w:customStyle="1" w:styleId="13">
    <w:name w:val="修订1"/>
    <w:hidden/>
    <w:uiPriority w:val="99"/>
    <w:unhideWhenUsed/>
    <w:qFormat/>
    <w:rPr>
      <w:kern w:val="2"/>
      <w:sz w:val="21"/>
    </w:rPr>
  </w:style>
  <w:style w:type="paragraph" w:customStyle="1" w:styleId="afc">
    <w:name w:val="标准文件_段"/>
    <w:qFormat/>
    <w:pPr>
      <w:autoSpaceDE w:val="0"/>
      <w:autoSpaceDN w:val="0"/>
      <w:ind w:firstLineChars="200" w:firstLine="200"/>
      <w:jc w:val="both"/>
    </w:pPr>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F58FDA3-7B6B-4228-B6D6-B7E210CD7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14</Pages>
  <Words>1514</Words>
  <Characters>8634</Characters>
  <Application>Microsoft Office Word</Application>
  <DocSecurity>0</DocSecurity>
  <Lines>71</Lines>
  <Paragraphs>20</Paragraphs>
  <ScaleCrop>false</ScaleCrop>
  <Company>Microsoft</Company>
  <LinksUpToDate>false</LinksUpToDate>
  <CharactersWithSpaces>10128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ASUS</cp:lastModifiedBy>
  <cp:revision>16</cp:revision>
  <dcterms:created xsi:type="dcterms:W3CDTF">2026-07-09T09:05:00Z</dcterms:created>
  <dcterms:modified xsi:type="dcterms:W3CDTF">2026-08-05T02:26:00Z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2312935C28454B008063ACBC346757E2_13</vt:lpwstr>
  </property>
  <property fmtid="{D5CDD505-2E9C-101B-9397-08002B2CF9AE}" pid="4" name="KSOTemplateDocerSaveRecord">
    <vt:lpwstr>eyJoZGlkIjoiYmIyNjQ5ODlkYWU1MTFmZjlhNTc2MjUxYjhiZTZhYTkiLCJ1c2VySWQiOiI1MzIyNTg0MDQifQ==</vt:lpwstr>
  </property>
</Properties>
</file>