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5D5CA">
      <w:pPr>
        <w:jc w:val="center"/>
        <w:rPr>
          <w:rFonts w:ascii="Times New Roman" w:hAnsi="Times New Roman" w:eastAsia="黑体" w:cs="Times New Roman"/>
          <w:color w:val="000000" w:themeColor="text1"/>
          <w:sz w:val="48"/>
          <w:szCs w:val="48"/>
          <w14:textFill>
            <w14:solidFill>
              <w14:schemeClr w14:val="tx1"/>
            </w14:solidFill>
          </w14:textFill>
        </w:rPr>
      </w:pPr>
      <w:bookmarkStart w:id="0" w:name="_Toc533255722"/>
      <w:bookmarkStart w:id="1" w:name="_Toc530768808"/>
      <w:r>
        <w:rPr>
          <w:rFonts w:hint="eastAsia" w:ascii="Times New Roman" w:hAnsi="Times New Roman" w:eastAsia="黑体" w:cs="Times New Roman"/>
          <w:color w:val="000000" w:themeColor="text1"/>
          <w:sz w:val="48"/>
          <w:szCs w:val="48"/>
          <w14:textFill>
            <w14:solidFill>
              <w14:schemeClr w14:val="tx1"/>
            </w14:solidFill>
          </w14:textFill>
        </w:rPr>
        <w:t>港口协会团体标准</w:t>
      </w:r>
    </w:p>
    <w:p w14:paraId="58BB75BA">
      <w:pPr>
        <w:jc w:val="center"/>
        <w:rPr>
          <w:rFonts w:ascii="Times New Roman" w:hAnsi="Times New Roman" w:eastAsia="黑体" w:cs="Times New Roman"/>
          <w:color w:val="000000" w:themeColor="text1"/>
          <w:sz w:val="48"/>
          <w:szCs w:val="48"/>
          <w14:textFill>
            <w14:solidFill>
              <w14:schemeClr w14:val="tx1"/>
            </w14:solidFill>
          </w14:textFill>
        </w:rPr>
      </w:pPr>
      <w:r>
        <w:rPr>
          <w:rFonts w:ascii="Times New Roman" w:hAnsi="Times New Roman" w:eastAsia="黑体" w:cs="Times New Roman"/>
          <w:color w:val="000000" w:themeColor="text1"/>
          <w:sz w:val="48"/>
          <w:szCs w:val="48"/>
          <w14:textFill>
            <w14:solidFill>
              <w14:schemeClr w14:val="tx1"/>
            </w14:solidFill>
          </w14:textFill>
        </w:rPr>
        <w:t>《</w:t>
      </w:r>
      <w:r>
        <w:rPr>
          <w:rFonts w:hint="eastAsia" w:ascii="Times New Roman" w:hAnsi="Times New Roman" w:eastAsia="黑体" w:cs="Times New Roman"/>
          <w:color w:val="000000" w:themeColor="text1"/>
          <w:sz w:val="48"/>
          <w:szCs w:val="48"/>
          <w14:textFill>
            <w14:solidFill>
              <w14:schemeClr w14:val="tx1"/>
            </w14:solidFill>
          </w14:textFill>
        </w:rPr>
        <w:t>岸边集装箱起重机</w:t>
      </w:r>
      <w:r>
        <w:rPr>
          <w:rFonts w:hint="eastAsia" w:ascii="Times New Roman" w:hAnsi="Times New Roman" w:eastAsia="黑体" w:cs="Times New Roman"/>
          <w:color w:val="000000" w:themeColor="text1"/>
          <w:sz w:val="48"/>
          <w:szCs w:val="48"/>
          <w:lang w:val="en-US" w:eastAsia="zh-CN"/>
          <w14:textFill>
            <w14:solidFill>
              <w14:schemeClr w14:val="tx1"/>
            </w14:solidFill>
          </w14:textFill>
        </w:rPr>
        <w:t>防风</w:t>
      </w:r>
      <w:r>
        <w:rPr>
          <w:rFonts w:hint="eastAsia" w:ascii="Times New Roman" w:hAnsi="Times New Roman" w:eastAsia="黑体" w:cs="Times New Roman"/>
          <w:color w:val="000000" w:themeColor="text1"/>
          <w:sz w:val="48"/>
          <w:szCs w:val="48"/>
          <w14:textFill>
            <w14:solidFill>
              <w14:schemeClr w14:val="tx1"/>
            </w14:solidFill>
          </w14:textFill>
        </w:rPr>
        <w:t>装置技术要求</w:t>
      </w:r>
      <w:r>
        <w:rPr>
          <w:rFonts w:ascii="Times New Roman" w:hAnsi="Times New Roman" w:eastAsia="黑体" w:cs="Times New Roman"/>
          <w:color w:val="000000" w:themeColor="text1"/>
          <w:sz w:val="48"/>
          <w:szCs w:val="48"/>
          <w14:textFill>
            <w14:solidFill>
              <w14:schemeClr w14:val="tx1"/>
            </w14:solidFill>
          </w14:textFill>
        </w:rPr>
        <w:t>》编制说明</w:t>
      </w:r>
    </w:p>
    <w:p w14:paraId="2AA03C0F">
      <w:pPr>
        <w:outlineLvl w:val="0"/>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一、工作简况</w:t>
      </w:r>
    </w:p>
    <w:p w14:paraId="602CDCF8">
      <w:pPr>
        <w:ind w:firstLine="551" w:firstLineChars="196"/>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1、任务来源</w:t>
      </w:r>
    </w:p>
    <w:p w14:paraId="342607E9">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20</w:t>
      </w:r>
      <w:r>
        <w:rPr>
          <w:rFonts w:hint="eastAsia" w:ascii="Times New Roman" w:hAnsi="Times New Roman" w:cs="Times New Roman"/>
          <w:color w:val="000000" w:themeColor="text1"/>
          <w:sz w:val="28"/>
          <w:szCs w:val="28"/>
          <w14:textFill>
            <w14:solidFill>
              <w14:schemeClr w14:val="tx1"/>
            </w14:solidFill>
          </w14:textFill>
        </w:rPr>
        <w:t>2</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14:textFill>
            <w14:solidFill>
              <w14:schemeClr w14:val="tx1"/>
            </w14:solidFill>
          </w14:textFill>
        </w:rPr>
        <w:t>11</w:t>
      </w:r>
      <w:r>
        <w:rPr>
          <w:rFonts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14:textFill>
            <w14:solidFill>
              <w14:schemeClr w14:val="tx1"/>
            </w14:solidFill>
          </w14:textFill>
        </w:rPr>
        <w:t>中国港口协会下达了关于《202</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hint="eastAsia" w:ascii="Times New Roman" w:hAnsi="Times New Roman" w:cs="Times New Roman"/>
          <w:color w:val="000000" w:themeColor="text1"/>
          <w:sz w:val="28"/>
          <w:szCs w:val="28"/>
          <w14:textFill>
            <w14:solidFill>
              <w14:schemeClr w14:val="tx1"/>
            </w14:solidFill>
          </w14:textFill>
        </w:rPr>
        <w:t>年度中国港口协会团体标准化计划</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第二批</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》的通知</w:t>
      </w:r>
      <w:r>
        <w:rPr>
          <w:rFonts w:ascii="Times New Roman" w:hAnsi="Times New Roman" w:cs="Times New Roman"/>
          <w:color w:val="000000" w:themeColor="text1"/>
          <w:sz w:val="28"/>
          <w:szCs w:val="28"/>
          <w14:textFill>
            <w14:solidFill>
              <w14:schemeClr w14:val="tx1"/>
            </w14:solidFill>
          </w14:textFill>
        </w:rPr>
        <w:t>，本标准《</w:t>
      </w:r>
      <w:r>
        <w:rPr>
          <w:rFonts w:hint="eastAsia" w:ascii="Times New Roman" w:hAnsi="Times New Roman" w:cs="Times New Roman"/>
          <w:color w:val="000000" w:themeColor="text1"/>
          <w:sz w:val="28"/>
          <w:szCs w:val="28"/>
          <w14:textFill>
            <w14:solidFill>
              <w14:schemeClr w14:val="tx1"/>
            </w14:solidFill>
          </w14:textFill>
        </w:rPr>
        <w:t>岸边集装箱起重机</w:t>
      </w:r>
      <w:r>
        <w:rPr>
          <w:rFonts w:hint="eastAsia" w:ascii="Times New Roman" w:hAnsi="Times New Roman" w:cs="Times New Roman"/>
          <w:color w:val="000000" w:themeColor="text1"/>
          <w:sz w:val="28"/>
          <w:szCs w:val="28"/>
          <w:lang w:val="en-US" w:eastAsia="zh-CN"/>
          <w14:textFill>
            <w14:solidFill>
              <w14:schemeClr w14:val="tx1"/>
            </w14:solidFill>
          </w14:textFill>
        </w:rPr>
        <w:t>防风</w:t>
      </w:r>
      <w:r>
        <w:rPr>
          <w:rFonts w:hint="eastAsia" w:ascii="Times New Roman" w:hAnsi="Times New Roman" w:cs="Times New Roman"/>
          <w:color w:val="000000" w:themeColor="text1"/>
          <w:sz w:val="28"/>
          <w:szCs w:val="28"/>
          <w14:textFill>
            <w14:solidFill>
              <w14:schemeClr w14:val="tx1"/>
            </w14:solidFill>
          </w14:textFill>
        </w:rPr>
        <w:t>装置技术要求</w:t>
      </w:r>
      <w:r>
        <w:rPr>
          <w:rFonts w:ascii="Times New Roman" w:hAnsi="Times New Roman" w:cs="Times New Roman"/>
          <w:color w:val="000000" w:themeColor="text1"/>
          <w:sz w:val="28"/>
          <w:szCs w:val="28"/>
          <w14:textFill>
            <w14:solidFill>
              <w14:schemeClr w14:val="tx1"/>
            </w14:solidFill>
          </w14:textFill>
        </w:rPr>
        <w:t>》计划编号为</w:t>
      </w:r>
      <w:r>
        <w:rPr>
          <w:rFonts w:hint="eastAsia" w:ascii="Times New Roman" w:hAnsi="Times New Roman" w:cs="Times New Roman"/>
          <w:color w:val="000000" w:themeColor="text1"/>
          <w:sz w:val="28"/>
          <w:szCs w:val="28"/>
          <w14:textFill>
            <w14:solidFill>
              <w14:schemeClr w14:val="tx1"/>
            </w14:solidFill>
          </w14:textFill>
        </w:rPr>
        <w:t>202</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hint="eastAsia"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32</w:t>
      </w:r>
      <w:r>
        <w:rPr>
          <w:rFonts w:ascii="Times New Roman" w:hAnsi="Times New Roman" w:cs="Times New Roman"/>
          <w:color w:val="000000" w:themeColor="text1"/>
          <w:sz w:val="28"/>
          <w:szCs w:val="28"/>
          <w14:textFill>
            <w14:solidFill>
              <w14:schemeClr w14:val="tx1"/>
            </w14:solidFill>
          </w14:textFill>
        </w:rPr>
        <w:t>。</w:t>
      </w:r>
    </w:p>
    <w:p w14:paraId="320A4C1D">
      <w:pPr>
        <w:ind w:firstLine="551" w:firstLineChars="196"/>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2、主要起草人及其所做的工作</w:t>
      </w:r>
    </w:p>
    <w:p w14:paraId="5016BF8A">
      <w:pPr>
        <w:spacing w:line="360" w:lineRule="auto"/>
        <w:ind w:firstLine="562"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起草单位：</w:t>
      </w:r>
      <w:r>
        <w:rPr>
          <w:rFonts w:ascii="Times New Roman" w:hAnsi="Times New Roman" w:cs="Times New Roman"/>
          <w:color w:val="000000" w:themeColor="text1"/>
          <w:sz w:val="28"/>
          <w:szCs w:val="28"/>
          <w14:textFill>
            <w14:solidFill>
              <w14:schemeClr w14:val="tx1"/>
            </w14:solidFill>
          </w14:textFill>
        </w:rPr>
        <w:t>本标准的归口单位为</w:t>
      </w:r>
      <w:r>
        <w:rPr>
          <w:rFonts w:hint="eastAsia" w:ascii="Times New Roman" w:hAnsi="Times New Roman" w:cs="Times New Roman"/>
          <w:color w:val="000000" w:themeColor="text1"/>
          <w:sz w:val="28"/>
          <w:szCs w:val="28"/>
          <w14:textFill>
            <w14:solidFill>
              <w14:schemeClr w14:val="tx1"/>
            </w14:solidFill>
          </w14:textFill>
        </w:rPr>
        <w:t>中国港口协会</w:t>
      </w:r>
      <w:r>
        <w:rPr>
          <w:rFonts w:ascii="Times New Roman" w:hAnsi="Times New Roman" w:cs="Times New Roman"/>
          <w:color w:val="000000" w:themeColor="text1"/>
          <w:sz w:val="28"/>
          <w:szCs w:val="28"/>
          <w14:textFill>
            <w14:solidFill>
              <w14:schemeClr w14:val="tx1"/>
            </w14:solidFill>
          </w14:textFill>
        </w:rPr>
        <w:t>，起草单位为</w:t>
      </w:r>
      <w:r>
        <w:rPr>
          <w:rFonts w:hint="eastAsia" w:ascii="Times New Roman" w:hAnsi="Times New Roman" w:cs="Times New Roman"/>
          <w:color w:val="000000" w:themeColor="text1"/>
          <w:sz w:val="28"/>
          <w:szCs w:val="28"/>
          <w14:textFill>
            <w14:solidFill>
              <w14:schemeClr w14:val="tx1"/>
            </w14:solidFill>
          </w14:textFill>
        </w:rPr>
        <w:t>交通运输部天津水运工程科学研究</w:t>
      </w:r>
      <w:r>
        <w:rPr>
          <w:rFonts w:hint="eastAsia" w:ascii="Times New Roman" w:hAnsi="Times New Roman" w:cs="Times New Roman"/>
          <w:color w:val="000000" w:themeColor="text1"/>
          <w:sz w:val="28"/>
          <w:szCs w:val="28"/>
          <w:lang w:val="en-US" w:eastAsia="zh-CN"/>
          <w14:textFill>
            <w14:solidFill>
              <w14:schemeClr w14:val="tx1"/>
            </w14:solidFill>
          </w14:textFill>
        </w:rPr>
        <w:t>所</w:t>
      </w:r>
      <w:r>
        <w:rPr>
          <w:rFonts w:hint="eastAsia" w:ascii="Times New Roman" w:hAnsi="Times New Roman" w:cs="Times New Roman"/>
          <w:color w:val="000000" w:themeColor="text1"/>
          <w:sz w:val="28"/>
          <w:szCs w:val="28"/>
          <w14:textFill>
            <w14:solidFill>
              <w14:schemeClr w14:val="tx1"/>
            </w14:solidFill>
          </w14:textFill>
        </w:rPr>
        <w:t>、天津港股份有限公司、辽港控股（营口）有限公司集装箱码头分公司、天津港第二集装箱码头有限公司、宁波舟山港股份有限公司、上海振华重工</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集团</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股份有限公司、盐田国际集装箱码头有限公司</w:t>
      </w:r>
      <w:r>
        <w:rPr>
          <w:rFonts w:ascii="Times New Roman" w:hAnsi="Times New Roman" w:cs="Times New Roman"/>
          <w:color w:val="000000" w:themeColor="text1"/>
          <w:sz w:val="28"/>
          <w:szCs w:val="28"/>
          <w14:textFill>
            <w14:solidFill>
              <w14:schemeClr w14:val="tx1"/>
            </w14:solidFill>
          </w14:textFill>
        </w:rPr>
        <w:t>。</w:t>
      </w:r>
    </w:p>
    <w:p w14:paraId="13BEE428">
      <w:pPr>
        <w:spacing w:line="360" w:lineRule="auto"/>
        <w:ind w:firstLine="562" w:firstLineChars="200"/>
        <w:rPr>
          <w:rFonts w:ascii="Times New Roman" w:hAnsi="Times New Roman" w:cs="Times New Roman"/>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标准起草负责人：</w:t>
      </w:r>
      <w:r>
        <w:rPr>
          <w:rFonts w:hint="eastAsia" w:ascii="Times New Roman" w:hAnsi="Times New Roman" w:cs="Times New Roman"/>
          <w:b/>
          <w:color w:val="000000" w:themeColor="text1"/>
          <w:sz w:val="28"/>
          <w:szCs w:val="28"/>
          <w14:textFill>
            <w14:solidFill>
              <w14:schemeClr w14:val="tx1"/>
            </w14:solidFill>
          </w14:textFill>
        </w:rPr>
        <w:t>詹水芬</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4193"/>
        <w:gridCol w:w="3370"/>
      </w:tblGrid>
      <w:tr w14:paraId="1B1DE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blHeader/>
        </w:trPr>
        <w:tc>
          <w:tcPr>
            <w:tcW w:w="959" w:type="dxa"/>
            <w:vMerge w:val="restart"/>
            <w:tcBorders>
              <w:top w:val="single" w:color="auto" w:sz="12" w:space="0"/>
              <w:left w:val="single" w:color="auto" w:sz="12" w:space="0"/>
            </w:tcBorders>
            <w:vAlign w:val="center"/>
          </w:tcPr>
          <w:p w14:paraId="755DD335">
            <w:pPr>
              <w:adjustRightInd w:val="0"/>
              <w:snapToGrid w:val="0"/>
              <w:spacing w:line="30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cs="Times New Roman" w:hAnsiTheme="minorEastAsia"/>
                <w:b/>
                <w:color w:val="000000" w:themeColor="text1"/>
                <w:sz w:val="24"/>
                <w:szCs w:val="24"/>
                <w14:textFill>
                  <w14:solidFill>
                    <w14:schemeClr w14:val="tx1"/>
                  </w14:solidFill>
                </w14:textFill>
              </w:rPr>
              <w:t>起草人</w:t>
            </w:r>
          </w:p>
        </w:tc>
        <w:tc>
          <w:tcPr>
            <w:tcW w:w="4193" w:type="dxa"/>
            <w:vMerge w:val="restart"/>
            <w:tcBorders>
              <w:top w:val="single" w:color="auto" w:sz="12" w:space="0"/>
            </w:tcBorders>
            <w:vAlign w:val="center"/>
          </w:tcPr>
          <w:p w14:paraId="2B7C9742">
            <w:pPr>
              <w:adjustRightInd w:val="0"/>
              <w:snapToGrid w:val="0"/>
              <w:spacing w:line="30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cs="Times New Roman" w:hAnsiTheme="minorEastAsia"/>
                <w:b/>
                <w:color w:val="000000" w:themeColor="text1"/>
                <w:sz w:val="24"/>
                <w:szCs w:val="24"/>
                <w14:textFill>
                  <w14:solidFill>
                    <w14:schemeClr w14:val="tx1"/>
                  </w14:solidFill>
                </w14:textFill>
              </w:rPr>
              <w:t>单位</w:t>
            </w:r>
          </w:p>
        </w:tc>
        <w:tc>
          <w:tcPr>
            <w:tcW w:w="3370" w:type="dxa"/>
            <w:vMerge w:val="restart"/>
            <w:tcBorders>
              <w:top w:val="single" w:color="auto" w:sz="12" w:space="0"/>
              <w:right w:val="single" w:color="auto" w:sz="12" w:space="0"/>
            </w:tcBorders>
            <w:vAlign w:val="center"/>
          </w:tcPr>
          <w:p w14:paraId="65C39451">
            <w:pPr>
              <w:adjustRightInd w:val="0"/>
              <w:snapToGrid w:val="0"/>
              <w:spacing w:line="300" w:lineRule="auto"/>
              <w:jc w:val="center"/>
              <w:rPr>
                <w:rFonts w:ascii="Times New Roman" w:hAnsi="Times New Roman" w:cs="Times New Roman"/>
                <w:b/>
                <w:color w:val="000000" w:themeColor="text1"/>
                <w:szCs w:val="21"/>
                <w14:textFill>
                  <w14:solidFill>
                    <w14:schemeClr w14:val="tx1"/>
                  </w14:solidFill>
                </w14:textFill>
              </w:rPr>
            </w:pPr>
            <w:r>
              <w:rPr>
                <w:rFonts w:ascii="Times New Roman" w:cs="Times New Roman" w:hAnsiTheme="minorEastAsia"/>
                <w:b/>
                <w:color w:val="000000" w:themeColor="text1"/>
                <w:szCs w:val="21"/>
                <w14:textFill>
                  <w14:solidFill>
                    <w14:schemeClr w14:val="tx1"/>
                  </w14:solidFill>
                </w14:textFill>
              </w:rPr>
              <w:t>承担的工作</w:t>
            </w:r>
          </w:p>
        </w:tc>
      </w:tr>
      <w:tr w14:paraId="2EC03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959" w:type="dxa"/>
            <w:vMerge w:val="continue"/>
            <w:tcBorders>
              <w:left w:val="single" w:color="auto" w:sz="12" w:space="0"/>
            </w:tcBorders>
            <w:vAlign w:val="center"/>
          </w:tcPr>
          <w:p w14:paraId="64A80488">
            <w:pPr>
              <w:adjustRightInd w:val="0"/>
              <w:snapToGrid w:val="0"/>
              <w:spacing w:line="300" w:lineRule="auto"/>
              <w:jc w:val="center"/>
              <w:rPr>
                <w:rFonts w:ascii="Times New Roman" w:hAnsi="Times New Roman" w:cs="Times New Roman"/>
                <w:color w:val="000000" w:themeColor="text1"/>
                <w:sz w:val="24"/>
                <w:szCs w:val="24"/>
                <w14:textFill>
                  <w14:solidFill>
                    <w14:schemeClr w14:val="tx1"/>
                  </w14:solidFill>
                </w14:textFill>
              </w:rPr>
            </w:pPr>
          </w:p>
        </w:tc>
        <w:tc>
          <w:tcPr>
            <w:tcW w:w="4193" w:type="dxa"/>
            <w:vMerge w:val="continue"/>
            <w:vAlign w:val="center"/>
          </w:tcPr>
          <w:p w14:paraId="1CC2B385">
            <w:pPr>
              <w:adjustRightInd w:val="0"/>
              <w:snapToGrid w:val="0"/>
              <w:spacing w:line="300" w:lineRule="auto"/>
              <w:jc w:val="center"/>
              <w:rPr>
                <w:rFonts w:ascii="Times New Roman" w:hAnsi="Times New Roman" w:cs="Times New Roman"/>
                <w:color w:val="000000" w:themeColor="text1"/>
                <w:sz w:val="24"/>
                <w:szCs w:val="24"/>
                <w14:textFill>
                  <w14:solidFill>
                    <w14:schemeClr w14:val="tx1"/>
                  </w14:solidFill>
                </w14:textFill>
              </w:rPr>
            </w:pPr>
          </w:p>
        </w:tc>
        <w:tc>
          <w:tcPr>
            <w:tcW w:w="3370" w:type="dxa"/>
            <w:vMerge w:val="continue"/>
            <w:tcBorders>
              <w:right w:val="single" w:color="auto" w:sz="12" w:space="0"/>
            </w:tcBorders>
            <w:vAlign w:val="center"/>
          </w:tcPr>
          <w:p w14:paraId="746DAE2F">
            <w:pPr>
              <w:adjustRightInd w:val="0"/>
              <w:snapToGrid w:val="0"/>
              <w:spacing w:line="300" w:lineRule="auto"/>
              <w:jc w:val="center"/>
              <w:rPr>
                <w:rFonts w:ascii="Times New Roman" w:hAnsi="Times New Roman" w:cs="Times New Roman"/>
                <w:color w:val="000000" w:themeColor="text1"/>
                <w:szCs w:val="21"/>
                <w14:textFill>
                  <w14:solidFill>
                    <w14:schemeClr w14:val="tx1"/>
                  </w14:solidFill>
                </w14:textFill>
              </w:rPr>
            </w:pPr>
          </w:p>
        </w:tc>
      </w:tr>
      <w:tr w14:paraId="572B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1FCEBB8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lang w:val="en-US" w:eastAsia="zh-CN"/>
              </w:rPr>
              <w:t>胡艳华</w:t>
            </w:r>
          </w:p>
        </w:tc>
        <w:tc>
          <w:tcPr>
            <w:tcW w:w="4193" w:type="dxa"/>
            <w:vAlign w:val="center"/>
          </w:tcPr>
          <w:p w14:paraId="58FD6DE8">
            <w:pPr>
              <w:rPr>
                <w:rFonts w:hint="default" w:ascii="Times New Roman" w:hAnsi="Times New Roman" w:cs="Times New Roman"/>
                <w:sz w:val="24"/>
                <w:szCs w:val="28"/>
              </w:rPr>
            </w:pPr>
            <w:r>
              <w:rPr>
                <w:rFonts w:hint="default" w:ascii="Times New Roman" w:hAnsi="Times New Roman" w:cs="Times New Roman"/>
                <w:sz w:val="24"/>
                <w:szCs w:val="28"/>
              </w:rPr>
              <w:t>交通运输部天津水运工程科学研究所</w:t>
            </w:r>
          </w:p>
        </w:tc>
        <w:tc>
          <w:tcPr>
            <w:tcW w:w="3370" w:type="dxa"/>
            <w:tcBorders>
              <w:right w:val="single" w:color="auto" w:sz="12" w:space="0"/>
            </w:tcBorders>
            <w:vAlign w:val="center"/>
          </w:tcPr>
          <w:p w14:paraId="0D6E2FC8">
            <w:pPr>
              <w:rPr>
                <w:rFonts w:hint="default" w:ascii="Times New Roman" w:hAnsi="Times New Roman" w:cs="Times New Roman"/>
                <w:sz w:val="24"/>
                <w:szCs w:val="28"/>
              </w:rPr>
            </w:pPr>
            <w:r>
              <w:rPr>
                <w:rFonts w:hint="default" w:ascii="Times New Roman" w:hAnsi="Times New Roman" w:cs="Times New Roman"/>
                <w:sz w:val="24"/>
                <w:szCs w:val="28"/>
              </w:rPr>
              <w:t>负责标准编写、审核和现场验证工作</w:t>
            </w:r>
          </w:p>
        </w:tc>
      </w:tr>
      <w:tr w14:paraId="5BCC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443C2DE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lang w:val="en-US" w:eastAsia="zh-CN"/>
              </w:rPr>
              <w:t>杨成良</w:t>
            </w:r>
          </w:p>
        </w:tc>
        <w:tc>
          <w:tcPr>
            <w:tcW w:w="4193" w:type="dxa"/>
            <w:vAlign w:val="center"/>
          </w:tcPr>
          <w:p w14:paraId="53BAD355">
            <w:pPr>
              <w:rPr>
                <w:rFonts w:hint="default" w:ascii="Times New Roman" w:hAnsi="Times New Roman" w:cs="Times New Roman"/>
                <w:sz w:val="24"/>
                <w:szCs w:val="28"/>
              </w:rPr>
            </w:pPr>
            <w:r>
              <w:rPr>
                <w:rFonts w:hint="default" w:ascii="Times New Roman" w:hAnsi="Times New Roman" w:cs="Times New Roman"/>
                <w:sz w:val="24"/>
                <w:szCs w:val="28"/>
              </w:rPr>
              <w:t>天津港股份有限公司</w:t>
            </w:r>
          </w:p>
        </w:tc>
        <w:tc>
          <w:tcPr>
            <w:tcW w:w="3370" w:type="dxa"/>
            <w:tcBorders>
              <w:right w:val="single" w:color="auto" w:sz="12" w:space="0"/>
            </w:tcBorders>
            <w:vAlign w:val="center"/>
          </w:tcPr>
          <w:p w14:paraId="414A55D8">
            <w:pPr>
              <w:rPr>
                <w:rFonts w:hint="default" w:ascii="Times New Roman" w:hAnsi="Times New Roman" w:cs="Times New Roman"/>
                <w:sz w:val="24"/>
                <w:szCs w:val="28"/>
              </w:rPr>
            </w:pPr>
            <w:r>
              <w:rPr>
                <w:rFonts w:hint="default" w:ascii="Times New Roman" w:hAnsi="Times New Roman" w:cs="Times New Roman"/>
                <w:sz w:val="24"/>
                <w:szCs w:val="28"/>
              </w:rPr>
              <w:t>负责标准编写和现场验证工作</w:t>
            </w:r>
          </w:p>
        </w:tc>
      </w:tr>
      <w:tr w14:paraId="101A6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41890B2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lang w:val="en-US" w:eastAsia="zh-CN"/>
              </w:rPr>
              <w:t>吕建宇</w:t>
            </w:r>
          </w:p>
        </w:tc>
        <w:tc>
          <w:tcPr>
            <w:tcW w:w="4193" w:type="dxa"/>
            <w:vAlign w:val="center"/>
          </w:tcPr>
          <w:p w14:paraId="417D117C">
            <w:pPr>
              <w:rPr>
                <w:rFonts w:hint="default" w:ascii="Times New Roman" w:hAnsi="Times New Roman" w:cs="Times New Roman"/>
                <w:sz w:val="24"/>
                <w:szCs w:val="28"/>
              </w:rPr>
            </w:pPr>
            <w:r>
              <w:rPr>
                <w:rFonts w:hint="default" w:ascii="Times New Roman" w:hAnsi="Times New Roman" w:cs="Times New Roman"/>
                <w:sz w:val="24"/>
                <w:szCs w:val="28"/>
              </w:rPr>
              <w:t>交通运输部天津水运工程科学研究所</w:t>
            </w:r>
          </w:p>
        </w:tc>
        <w:tc>
          <w:tcPr>
            <w:tcW w:w="3370" w:type="dxa"/>
            <w:tcBorders>
              <w:right w:val="single" w:color="auto" w:sz="12" w:space="0"/>
            </w:tcBorders>
            <w:vAlign w:val="center"/>
          </w:tcPr>
          <w:p w14:paraId="76149EBB">
            <w:pPr>
              <w:rPr>
                <w:rFonts w:hint="default" w:ascii="Times New Roman" w:hAnsi="Times New Roman" w:cs="Times New Roman"/>
                <w:sz w:val="24"/>
                <w:szCs w:val="28"/>
              </w:rPr>
            </w:pPr>
            <w:r>
              <w:rPr>
                <w:rFonts w:hint="default" w:ascii="Times New Roman" w:hAnsi="Times New Roman" w:cs="Times New Roman"/>
                <w:sz w:val="24"/>
                <w:szCs w:val="28"/>
              </w:rPr>
              <w:t>负责标准编写和现场验证工作</w:t>
            </w:r>
          </w:p>
        </w:tc>
      </w:tr>
      <w:tr w14:paraId="2762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5EEA40F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lang w:val="en-US" w:eastAsia="zh-CN"/>
              </w:rPr>
              <w:t>马云驰</w:t>
            </w:r>
          </w:p>
        </w:tc>
        <w:tc>
          <w:tcPr>
            <w:tcW w:w="4193" w:type="dxa"/>
            <w:vAlign w:val="center"/>
          </w:tcPr>
          <w:p w14:paraId="5BCA86BD">
            <w:pPr>
              <w:rPr>
                <w:rFonts w:hint="default" w:ascii="Times New Roman" w:hAnsi="Times New Roman" w:cs="Times New Roman"/>
                <w:sz w:val="24"/>
                <w:szCs w:val="28"/>
              </w:rPr>
            </w:pPr>
            <w:r>
              <w:rPr>
                <w:rFonts w:hint="default" w:ascii="Times New Roman" w:hAnsi="Times New Roman" w:cs="Times New Roman"/>
                <w:sz w:val="24"/>
                <w:szCs w:val="28"/>
              </w:rPr>
              <w:t>辽港控股（营口）有限公司集装箱码头分公司</w:t>
            </w:r>
          </w:p>
        </w:tc>
        <w:tc>
          <w:tcPr>
            <w:tcW w:w="3370" w:type="dxa"/>
            <w:tcBorders>
              <w:right w:val="single" w:color="auto" w:sz="12" w:space="0"/>
            </w:tcBorders>
            <w:vAlign w:val="center"/>
          </w:tcPr>
          <w:p w14:paraId="039FE00C">
            <w:pPr>
              <w:rPr>
                <w:rFonts w:hint="default" w:ascii="Times New Roman" w:hAnsi="Times New Roman" w:cs="Times New Roman"/>
                <w:sz w:val="24"/>
                <w:szCs w:val="28"/>
              </w:rPr>
            </w:pPr>
            <w:r>
              <w:rPr>
                <w:rFonts w:hint="default" w:ascii="Times New Roman" w:hAnsi="Times New Roman" w:cs="Times New Roman"/>
                <w:sz w:val="24"/>
                <w:szCs w:val="28"/>
              </w:rPr>
              <w:t>负责标准编写和现场验证工作</w:t>
            </w:r>
          </w:p>
        </w:tc>
      </w:tr>
      <w:tr w14:paraId="0D5E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1882374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lang w:val="en-US" w:eastAsia="zh-CN"/>
              </w:rPr>
              <w:t>王宇</w:t>
            </w:r>
          </w:p>
        </w:tc>
        <w:tc>
          <w:tcPr>
            <w:tcW w:w="4193" w:type="dxa"/>
            <w:vAlign w:val="center"/>
          </w:tcPr>
          <w:p w14:paraId="568FAF1B">
            <w:pPr>
              <w:rPr>
                <w:rFonts w:hint="default" w:ascii="Times New Roman" w:hAnsi="Times New Roman" w:cs="Times New Roman"/>
                <w:sz w:val="24"/>
                <w:szCs w:val="28"/>
              </w:rPr>
            </w:pPr>
            <w:r>
              <w:rPr>
                <w:rFonts w:hint="default" w:ascii="Times New Roman" w:hAnsi="Times New Roman" w:cs="Times New Roman"/>
                <w:sz w:val="24"/>
                <w:szCs w:val="28"/>
              </w:rPr>
              <w:t>天津港第二集装箱码头有限公司</w:t>
            </w:r>
          </w:p>
        </w:tc>
        <w:tc>
          <w:tcPr>
            <w:tcW w:w="3370" w:type="dxa"/>
            <w:tcBorders>
              <w:right w:val="single" w:color="auto" w:sz="12" w:space="0"/>
            </w:tcBorders>
            <w:vAlign w:val="center"/>
          </w:tcPr>
          <w:p w14:paraId="613D7280">
            <w:pPr>
              <w:rPr>
                <w:rFonts w:hint="default" w:ascii="Times New Roman" w:hAnsi="Times New Roman" w:cs="Times New Roman"/>
                <w:sz w:val="24"/>
                <w:szCs w:val="28"/>
              </w:rPr>
            </w:pPr>
            <w:r>
              <w:rPr>
                <w:rFonts w:hint="default" w:ascii="Times New Roman" w:hAnsi="Times New Roman" w:cs="Times New Roman"/>
                <w:sz w:val="24"/>
                <w:szCs w:val="28"/>
              </w:rPr>
              <w:t>负责标准编写和现场验证工作</w:t>
            </w:r>
          </w:p>
        </w:tc>
      </w:tr>
      <w:tr w14:paraId="7DF1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0076EA2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HAnsi" w:hAnsiTheme="minorHAnsi" w:eastAsiaTheme="minorEastAsia" w:cstheme="minorBidi"/>
                <w:kern w:val="2"/>
                <w:sz w:val="24"/>
                <w:szCs w:val="24"/>
                <w:lang w:val="en-US" w:eastAsia="zh-CN" w:bidi="ar-SA"/>
              </w:rPr>
            </w:pPr>
            <w:r>
              <w:rPr>
                <w:rFonts w:hint="eastAsia" w:cstheme="minorBidi"/>
                <w:kern w:val="2"/>
                <w:sz w:val="24"/>
                <w:szCs w:val="24"/>
                <w:lang w:val="en-US" w:eastAsia="zh-CN" w:bidi="ar-SA"/>
              </w:rPr>
              <w:t>于立臣</w:t>
            </w:r>
          </w:p>
        </w:tc>
        <w:tc>
          <w:tcPr>
            <w:tcW w:w="4193" w:type="dxa"/>
          </w:tcPr>
          <w:p w14:paraId="6D029637">
            <w:pPr>
              <w:rPr>
                <w:rFonts w:hint="default" w:ascii="Times New Roman" w:hAnsi="Times New Roman" w:cs="Times New Roman"/>
                <w:sz w:val="24"/>
                <w:szCs w:val="28"/>
              </w:rPr>
            </w:pPr>
            <w:r>
              <w:rPr>
                <w:rFonts w:hint="default" w:ascii="Times New Roman" w:hAnsi="Times New Roman" w:cs="Times New Roman"/>
                <w:sz w:val="24"/>
                <w:szCs w:val="28"/>
              </w:rPr>
              <w:t>天津港股份有限公司</w:t>
            </w:r>
          </w:p>
        </w:tc>
        <w:tc>
          <w:tcPr>
            <w:tcW w:w="3370" w:type="dxa"/>
            <w:tcBorders>
              <w:right w:val="single" w:color="auto" w:sz="12" w:space="0"/>
            </w:tcBorders>
          </w:tcPr>
          <w:p w14:paraId="17499BF8">
            <w:pPr>
              <w:rPr>
                <w:rFonts w:hint="default" w:ascii="Times New Roman" w:hAnsi="Times New Roman" w:cs="Times New Roman"/>
                <w:sz w:val="24"/>
                <w:szCs w:val="28"/>
              </w:rPr>
            </w:pPr>
            <w:r>
              <w:rPr>
                <w:rFonts w:hint="default" w:ascii="Times New Roman" w:hAnsi="Times New Roman" w:cs="Times New Roman"/>
                <w:sz w:val="24"/>
                <w:szCs w:val="28"/>
              </w:rPr>
              <w:t>参与标准第</w:t>
            </w:r>
            <w:r>
              <w:rPr>
                <w:rFonts w:hint="default" w:ascii="Times New Roman" w:hAnsi="Times New Roman" w:cs="Times New Roman"/>
                <w:sz w:val="24"/>
                <w:szCs w:val="28"/>
                <w:lang w:val="en-US" w:eastAsia="zh-CN"/>
              </w:rPr>
              <w:t>4</w:t>
            </w:r>
            <w:r>
              <w:rPr>
                <w:rFonts w:hint="default" w:ascii="Times New Roman" w:hAnsi="Times New Roman" w:cs="Times New Roman"/>
                <w:sz w:val="24"/>
                <w:szCs w:val="28"/>
              </w:rPr>
              <w:t>章编写工作</w:t>
            </w:r>
          </w:p>
        </w:tc>
      </w:tr>
      <w:tr w14:paraId="2DEE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2830AFB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lang w:val="en-US" w:eastAsia="zh-CN"/>
              </w:rPr>
              <w:t>张进</w:t>
            </w:r>
          </w:p>
        </w:tc>
        <w:tc>
          <w:tcPr>
            <w:tcW w:w="4193" w:type="dxa"/>
          </w:tcPr>
          <w:p w14:paraId="6ED30687">
            <w:pPr>
              <w:rPr>
                <w:rFonts w:hint="default" w:ascii="Times New Roman" w:hAnsi="Times New Roman" w:cs="Times New Roman"/>
                <w:sz w:val="24"/>
                <w:szCs w:val="28"/>
              </w:rPr>
            </w:pPr>
            <w:r>
              <w:rPr>
                <w:rFonts w:hint="default" w:ascii="Times New Roman" w:hAnsi="Times New Roman" w:cs="Times New Roman"/>
                <w:sz w:val="24"/>
                <w:szCs w:val="28"/>
              </w:rPr>
              <w:t>辽港控股（营口）有限公司集装箱码头分公司</w:t>
            </w:r>
          </w:p>
        </w:tc>
        <w:tc>
          <w:tcPr>
            <w:tcW w:w="3370" w:type="dxa"/>
            <w:tcBorders>
              <w:right w:val="single" w:color="auto" w:sz="12" w:space="0"/>
            </w:tcBorders>
          </w:tcPr>
          <w:p w14:paraId="30AE6892">
            <w:pPr>
              <w:rPr>
                <w:rFonts w:hint="default" w:ascii="Times New Roman" w:hAnsi="Times New Roman" w:cs="Times New Roman"/>
                <w:sz w:val="24"/>
                <w:szCs w:val="28"/>
              </w:rPr>
            </w:pPr>
            <w:r>
              <w:rPr>
                <w:rFonts w:hint="default" w:ascii="Times New Roman" w:hAnsi="Times New Roman" w:cs="Times New Roman"/>
                <w:sz w:val="24"/>
                <w:szCs w:val="28"/>
              </w:rPr>
              <w:t>参与标准第</w:t>
            </w:r>
            <w:r>
              <w:rPr>
                <w:rFonts w:hint="default" w:ascii="Times New Roman" w:hAnsi="Times New Roman" w:cs="Times New Roman"/>
                <w:sz w:val="24"/>
                <w:szCs w:val="28"/>
                <w:lang w:val="en-US" w:eastAsia="zh-CN"/>
              </w:rPr>
              <w:t>4</w:t>
            </w:r>
            <w:r>
              <w:rPr>
                <w:rFonts w:hint="default" w:ascii="Times New Roman" w:hAnsi="Times New Roman" w:cs="Times New Roman"/>
                <w:sz w:val="24"/>
                <w:szCs w:val="28"/>
              </w:rPr>
              <w:t>章编写工作</w:t>
            </w:r>
          </w:p>
        </w:tc>
      </w:tr>
      <w:tr w14:paraId="0D98F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3305B91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HAnsi" w:hAnsiTheme="minorHAnsi" w:eastAsiaTheme="minorEastAsia" w:cstheme="minorBidi"/>
                <w:kern w:val="2"/>
                <w:sz w:val="24"/>
                <w:szCs w:val="24"/>
                <w:lang w:val="en-US" w:eastAsia="zh-CN" w:bidi="ar-SA"/>
              </w:rPr>
            </w:pPr>
            <w:r>
              <w:rPr>
                <w:rFonts w:hint="eastAsia" w:cstheme="minorBidi"/>
                <w:kern w:val="2"/>
                <w:sz w:val="24"/>
                <w:szCs w:val="24"/>
                <w:lang w:val="en-US" w:eastAsia="zh-CN" w:bidi="ar-SA"/>
              </w:rPr>
              <w:t>李沛泽</w:t>
            </w:r>
          </w:p>
        </w:tc>
        <w:tc>
          <w:tcPr>
            <w:tcW w:w="4193" w:type="dxa"/>
          </w:tcPr>
          <w:p w14:paraId="7D9983C9">
            <w:pPr>
              <w:rPr>
                <w:rFonts w:hint="default" w:ascii="Times New Roman" w:hAnsi="Times New Roman" w:cs="Times New Roman"/>
                <w:sz w:val="24"/>
                <w:szCs w:val="28"/>
              </w:rPr>
            </w:pPr>
            <w:r>
              <w:rPr>
                <w:rFonts w:hint="default" w:ascii="Times New Roman" w:hAnsi="Times New Roman" w:cs="Times New Roman"/>
                <w:sz w:val="24"/>
                <w:szCs w:val="28"/>
              </w:rPr>
              <w:t>天津港第二集装箱码头有限公司</w:t>
            </w:r>
          </w:p>
        </w:tc>
        <w:tc>
          <w:tcPr>
            <w:tcW w:w="3370" w:type="dxa"/>
            <w:tcBorders>
              <w:right w:val="single" w:color="auto" w:sz="12" w:space="0"/>
            </w:tcBorders>
          </w:tcPr>
          <w:p w14:paraId="0561A238">
            <w:pPr>
              <w:rPr>
                <w:rFonts w:hint="default" w:ascii="Times New Roman" w:hAnsi="Times New Roman" w:cs="Times New Roman"/>
                <w:sz w:val="24"/>
                <w:szCs w:val="28"/>
              </w:rPr>
            </w:pPr>
            <w:r>
              <w:rPr>
                <w:rFonts w:hint="default" w:ascii="Times New Roman" w:hAnsi="Times New Roman" w:cs="Times New Roman"/>
                <w:sz w:val="24"/>
                <w:szCs w:val="28"/>
              </w:rPr>
              <w:t>参与标准第</w:t>
            </w:r>
            <w:r>
              <w:rPr>
                <w:rFonts w:hint="default" w:ascii="Times New Roman" w:hAnsi="Times New Roman" w:cs="Times New Roman"/>
                <w:sz w:val="24"/>
                <w:szCs w:val="28"/>
                <w:lang w:val="en-US" w:eastAsia="zh-CN"/>
              </w:rPr>
              <w:t>5</w:t>
            </w:r>
            <w:r>
              <w:rPr>
                <w:rFonts w:hint="default" w:ascii="Times New Roman" w:hAnsi="Times New Roman" w:cs="Times New Roman"/>
                <w:sz w:val="24"/>
                <w:szCs w:val="28"/>
              </w:rPr>
              <w:t>章编写工作</w:t>
            </w:r>
          </w:p>
        </w:tc>
      </w:tr>
      <w:tr w14:paraId="6BB9B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412B43D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lang w:val="en-US" w:eastAsia="zh-CN"/>
              </w:rPr>
              <w:t>王飞</w:t>
            </w:r>
          </w:p>
        </w:tc>
        <w:tc>
          <w:tcPr>
            <w:tcW w:w="4193" w:type="dxa"/>
          </w:tcPr>
          <w:p w14:paraId="33D5AC93">
            <w:pPr>
              <w:rPr>
                <w:rFonts w:hint="default" w:ascii="Times New Roman" w:hAnsi="Times New Roman" w:cs="Times New Roman"/>
                <w:sz w:val="24"/>
                <w:szCs w:val="28"/>
              </w:rPr>
            </w:pPr>
            <w:r>
              <w:rPr>
                <w:rFonts w:hint="default" w:ascii="Times New Roman" w:hAnsi="Times New Roman" w:cs="Times New Roman"/>
                <w:sz w:val="24"/>
                <w:szCs w:val="28"/>
              </w:rPr>
              <w:t>辽港控股（营口）有限公司集装箱码头分公司</w:t>
            </w:r>
          </w:p>
        </w:tc>
        <w:tc>
          <w:tcPr>
            <w:tcW w:w="3370" w:type="dxa"/>
            <w:tcBorders>
              <w:right w:val="single" w:color="auto" w:sz="12" w:space="0"/>
            </w:tcBorders>
          </w:tcPr>
          <w:p w14:paraId="274A62B7">
            <w:pPr>
              <w:rPr>
                <w:rFonts w:hint="default" w:ascii="Times New Roman" w:hAnsi="Times New Roman" w:cs="Times New Roman"/>
                <w:sz w:val="24"/>
                <w:szCs w:val="28"/>
              </w:rPr>
            </w:pPr>
            <w:r>
              <w:rPr>
                <w:rFonts w:hint="default" w:ascii="Times New Roman" w:hAnsi="Times New Roman" w:cs="Times New Roman"/>
                <w:sz w:val="24"/>
                <w:szCs w:val="28"/>
              </w:rPr>
              <w:t>参与标准第</w:t>
            </w:r>
            <w:r>
              <w:rPr>
                <w:rFonts w:hint="default" w:ascii="Times New Roman" w:hAnsi="Times New Roman" w:cs="Times New Roman"/>
                <w:sz w:val="24"/>
                <w:szCs w:val="28"/>
                <w:lang w:val="en-US" w:eastAsia="zh-CN"/>
              </w:rPr>
              <w:t>5</w:t>
            </w:r>
            <w:r>
              <w:rPr>
                <w:rFonts w:hint="default" w:ascii="Times New Roman" w:hAnsi="Times New Roman" w:cs="Times New Roman"/>
                <w:sz w:val="24"/>
                <w:szCs w:val="28"/>
              </w:rPr>
              <w:t>章编写工作</w:t>
            </w:r>
          </w:p>
        </w:tc>
      </w:tr>
      <w:tr w14:paraId="7987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4F64BA9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heme="minorHAnsi" w:hAnsiTheme="minorHAnsi" w:eastAsiaTheme="minorEastAsia" w:cstheme="minorBidi"/>
                <w:kern w:val="2"/>
                <w:sz w:val="24"/>
                <w:szCs w:val="24"/>
                <w:lang w:val="en-US" w:eastAsia="zh-CN" w:bidi="ar-SA"/>
              </w:rPr>
            </w:pPr>
            <w:r>
              <w:rPr>
                <w:rFonts w:hint="eastAsia" w:cstheme="minorBidi"/>
                <w:kern w:val="2"/>
                <w:sz w:val="24"/>
                <w:szCs w:val="24"/>
                <w:lang w:val="en-US" w:eastAsia="zh-CN" w:bidi="ar-SA"/>
              </w:rPr>
              <w:t>李思辰</w:t>
            </w:r>
          </w:p>
        </w:tc>
        <w:tc>
          <w:tcPr>
            <w:tcW w:w="4193" w:type="dxa"/>
          </w:tcPr>
          <w:p w14:paraId="66565CC3">
            <w:pPr>
              <w:rPr>
                <w:rFonts w:hint="default" w:ascii="Times New Roman" w:hAnsi="Times New Roman" w:cs="Times New Roman"/>
                <w:sz w:val="24"/>
                <w:szCs w:val="28"/>
              </w:rPr>
            </w:pPr>
            <w:r>
              <w:rPr>
                <w:rFonts w:hint="default" w:ascii="Times New Roman" w:hAnsi="Times New Roman" w:cs="Times New Roman"/>
                <w:sz w:val="24"/>
                <w:szCs w:val="28"/>
              </w:rPr>
              <w:t>交通运输部天津水运工程科学研究所</w:t>
            </w:r>
          </w:p>
        </w:tc>
        <w:tc>
          <w:tcPr>
            <w:tcW w:w="3370" w:type="dxa"/>
            <w:tcBorders>
              <w:right w:val="single" w:color="auto" w:sz="12" w:space="0"/>
            </w:tcBorders>
          </w:tcPr>
          <w:p w14:paraId="1A3189FF">
            <w:pPr>
              <w:rPr>
                <w:rFonts w:hint="default" w:ascii="Times New Roman" w:hAnsi="Times New Roman" w:cs="Times New Roman"/>
                <w:sz w:val="24"/>
                <w:szCs w:val="28"/>
              </w:rPr>
            </w:pPr>
            <w:r>
              <w:rPr>
                <w:rFonts w:hint="default" w:ascii="Times New Roman" w:hAnsi="Times New Roman" w:cs="Times New Roman"/>
                <w:sz w:val="24"/>
                <w:szCs w:val="28"/>
              </w:rPr>
              <w:t>参与标准第</w:t>
            </w:r>
            <w:r>
              <w:rPr>
                <w:rFonts w:hint="default" w:ascii="Times New Roman" w:hAnsi="Times New Roman" w:cs="Times New Roman"/>
                <w:sz w:val="24"/>
                <w:szCs w:val="28"/>
                <w:lang w:val="en-US" w:eastAsia="zh-CN"/>
              </w:rPr>
              <w:t>5</w:t>
            </w:r>
            <w:r>
              <w:rPr>
                <w:rFonts w:hint="default" w:ascii="Times New Roman" w:hAnsi="Times New Roman" w:cs="Times New Roman"/>
                <w:sz w:val="24"/>
                <w:szCs w:val="28"/>
              </w:rPr>
              <w:t>章编写工作</w:t>
            </w:r>
          </w:p>
        </w:tc>
      </w:tr>
      <w:tr w14:paraId="72CB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6691EEF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lang w:val="en-US" w:eastAsia="zh-CN"/>
              </w:rPr>
              <w:t>张栋栋</w:t>
            </w:r>
          </w:p>
        </w:tc>
        <w:tc>
          <w:tcPr>
            <w:tcW w:w="4193" w:type="dxa"/>
          </w:tcPr>
          <w:p w14:paraId="0789F39F">
            <w:pPr>
              <w:rPr>
                <w:rFonts w:hint="default" w:ascii="Times New Roman" w:hAnsi="Times New Roman" w:cs="Times New Roman"/>
                <w:sz w:val="24"/>
                <w:szCs w:val="28"/>
              </w:rPr>
            </w:pPr>
            <w:r>
              <w:rPr>
                <w:rFonts w:hint="default" w:ascii="Times New Roman" w:hAnsi="Times New Roman" w:cs="Times New Roman"/>
                <w:sz w:val="24"/>
                <w:szCs w:val="28"/>
              </w:rPr>
              <w:t>天津港股份有限公司</w:t>
            </w:r>
          </w:p>
        </w:tc>
        <w:tc>
          <w:tcPr>
            <w:tcW w:w="3370" w:type="dxa"/>
            <w:tcBorders>
              <w:right w:val="single" w:color="auto" w:sz="12" w:space="0"/>
            </w:tcBorders>
            <w:vAlign w:val="center"/>
          </w:tcPr>
          <w:p w14:paraId="5253C578">
            <w:pPr>
              <w:rPr>
                <w:rFonts w:hint="default" w:ascii="Times New Roman" w:hAnsi="Times New Roman" w:cs="Times New Roman"/>
                <w:sz w:val="24"/>
                <w:szCs w:val="28"/>
              </w:rPr>
            </w:pPr>
            <w:r>
              <w:rPr>
                <w:rFonts w:hint="default" w:ascii="Times New Roman" w:hAnsi="Times New Roman" w:cs="Times New Roman"/>
                <w:sz w:val="24"/>
                <w:szCs w:val="28"/>
              </w:rPr>
              <w:t>参与标准第</w:t>
            </w:r>
            <w:r>
              <w:rPr>
                <w:rFonts w:hint="default" w:ascii="Times New Roman" w:hAnsi="Times New Roman" w:cs="Times New Roman"/>
                <w:sz w:val="24"/>
                <w:szCs w:val="28"/>
                <w:lang w:val="en-US" w:eastAsia="zh-CN"/>
              </w:rPr>
              <w:t>5</w:t>
            </w:r>
            <w:r>
              <w:rPr>
                <w:rFonts w:hint="default" w:ascii="Times New Roman" w:hAnsi="Times New Roman" w:cs="Times New Roman"/>
                <w:sz w:val="24"/>
                <w:szCs w:val="28"/>
              </w:rPr>
              <w:t>章编写工作</w:t>
            </w:r>
          </w:p>
        </w:tc>
      </w:tr>
      <w:tr w14:paraId="34203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03391E9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暴公力</w:t>
            </w:r>
          </w:p>
        </w:tc>
        <w:tc>
          <w:tcPr>
            <w:tcW w:w="4193" w:type="dxa"/>
          </w:tcPr>
          <w:p w14:paraId="41564311">
            <w:pPr>
              <w:rPr>
                <w:rFonts w:hint="default" w:ascii="Times New Roman" w:hAnsi="Times New Roman" w:cs="Times New Roman"/>
                <w:sz w:val="24"/>
                <w:szCs w:val="28"/>
              </w:rPr>
            </w:pPr>
            <w:r>
              <w:rPr>
                <w:rFonts w:hint="default" w:ascii="Times New Roman" w:hAnsi="Times New Roman" w:cs="Times New Roman"/>
                <w:sz w:val="24"/>
                <w:szCs w:val="28"/>
              </w:rPr>
              <w:t>辽港控股（营口）有限公司集装箱码头分公司</w:t>
            </w:r>
          </w:p>
        </w:tc>
        <w:tc>
          <w:tcPr>
            <w:tcW w:w="3370" w:type="dxa"/>
            <w:tcBorders>
              <w:right w:val="single" w:color="auto" w:sz="12" w:space="0"/>
            </w:tcBorders>
            <w:vAlign w:val="center"/>
          </w:tcPr>
          <w:p w14:paraId="2557CB55">
            <w:pPr>
              <w:rPr>
                <w:rFonts w:hint="default" w:ascii="Times New Roman" w:hAnsi="Times New Roman" w:cs="Times New Roman"/>
                <w:sz w:val="24"/>
                <w:szCs w:val="28"/>
              </w:rPr>
            </w:pPr>
            <w:r>
              <w:rPr>
                <w:rFonts w:hint="default" w:ascii="Times New Roman" w:hAnsi="Times New Roman" w:cs="Times New Roman"/>
                <w:sz w:val="24"/>
                <w:szCs w:val="28"/>
              </w:rPr>
              <w:t>参与标准第</w:t>
            </w:r>
            <w:r>
              <w:rPr>
                <w:rFonts w:hint="default" w:ascii="Times New Roman" w:hAnsi="Times New Roman" w:cs="Times New Roman"/>
                <w:sz w:val="24"/>
                <w:szCs w:val="28"/>
                <w:lang w:val="en-US" w:eastAsia="zh-CN"/>
              </w:rPr>
              <w:t>6</w:t>
            </w:r>
            <w:r>
              <w:rPr>
                <w:rFonts w:hint="default" w:ascii="Times New Roman" w:hAnsi="Times New Roman" w:cs="Times New Roman"/>
                <w:sz w:val="24"/>
                <w:szCs w:val="28"/>
              </w:rPr>
              <w:t>章编写工作</w:t>
            </w:r>
          </w:p>
        </w:tc>
      </w:tr>
      <w:tr w14:paraId="524B1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523B626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lang w:val="en-US" w:eastAsia="zh-CN"/>
              </w:rPr>
              <w:t>马文宇</w:t>
            </w:r>
          </w:p>
        </w:tc>
        <w:tc>
          <w:tcPr>
            <w:tcW w:w="4193" w:type="dxa"/>
            <w:vAlign w:val="center"/>
          </w:tcPr>
          <w:p w14:paraId="4B3BDFD7">
            <w:pPr>
              <w:rPr>
                <w:rFonts w:hint="default" w:ascii="Times New Roman" w:hAnsi="Times New Roman" w:cs="Times New Roman"/>
                <w:sz w:val="24"/>
                <w:szCs w:val="28"/>
              </w:rPr>
            </w:pPr>
            <w:r>
              <w:rPr>
                <w:rFonts w:hint="default" w:ascii="Times New Roman" w:hAnsi="Times New Roman" w:cs="Times New Roman"/>
                <w:sz w:val="24"/>
                <w:szCs w:val="28"/>
              </w:rPr>
              <w:t>天津港第二集装箱码头有限公司</w:t>
            </w:r>
          </w:p>
        </w:tc>
        <w:tc>
          <w:tcPr>
            <w:tcW w:w="3370" w:type="dxa"/>
            <w:tcBorders>
              <w:right w:val="single" w:color="auto" w:sz="12" w:space="0"/>
            </w:tcBorders>
            <w:vAlign w:val="center"/>
          </w:tcPr>
          <w:p w14:paraId="530718B1">
            <w:pPr>
              <w:rPr>
                <w:rFonts w:hint="default" w:ascii="Times New Roman" w:hAnsi="Times New Roman" w:cs="Times New Roman"/>
                <w:sz w:val="24"/>
                <w:szCs w:val="28"/>
              </w:rPr>
            </w:pPr>
            <w:r>
              <w:rPr>
                <w:rFonts w:hint="default" w:ascii="Times New Roman" w:hAnsi="Times New Roman" w:cs="Times New Roman"/>
                <w:sz w:val="24"/>
                <w:szCs w:val="28"/>
              </w:rPr>
              <w:t>参与标准第</w:t>
            </w:r>
            <w:r>
              <w:rPr>
                <w:rFonts w:hint="default" w:ascii="Times New Roman" w:hAnsi="Times New Roman" w:cs="Times New Roman"/>
                <w:sz w:val="24"/>
                <w:szCs w:val="28"/>
                <w:lang w:val="en-US" w:eastAsia="zh-CN"/>
              </w:rPr>
              <w:t>6</w:t>
            </w:r>
            <w:r>
              <w:rPr>
                <w:rFonts w:hint="default" w:ascii="Times New Roman" w:hAnsi="Times New Roman" w:cs="Times New Roman"/>
                <w:sz w:val="24"/>
                <w:szCs w:val="28"/>
              </w:rPr>
              <w:t>章编写工作</w:t>
            </w:r>
          </w:p>
        </w:tc>
      </w:tr>
      <w:tr w14:paraId="40C12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2529576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lang w:val="en-US" w:eastAsia="zh-CN"/>
              </w:rPr>
              <w:t>周朝丰</w:t>
            </w:r>
          </w:p>
        </w:tc>
        <w:tc>
          <w:tcPr>
            <w:tcW w:w="4193" w:type="dxa"/>
            <w:vAlign w:val="center"/>
          </w:tcPr>
          <w:p w14:paraId="3E0B5E77">
            <w:pPr>
              <w:rPr>
                <w:rFonts w:hint="default" w:ascii="Times New Roman" w:hAnsi="Times New Roman" w:cs="Times New Roman"/>
                <w:sz w:val="24"/>
                <w:szCs w:val="28"/>
              </w:rPr>
            </w:pPr>
            <w:r>
              <w:rPr>
                <w:rFonts w:hint="default" w:ascii="Times New Roman" w:hAnsi="Times New Roman" w:cs="Times New Roman"/>
                <w:sz w:val="24"/>
                <w:szCs w:val="28"/>
              </w:rPr>
              <w:t>宁波舟山港股份有限公司</w:t>
            </w:r>
          </w:p>
        </w:tc>
        <w:tc>
          <w:tcPr>
            <w:tcW w:w="3370" w:type="dxa"/>
            <w:tcBorders>
              <w:right w:val="single" w:color="auto" w:sz="12" w:space="0"/>
            </w:tcBorders>
            <w:vAlign w:val="center"/>
          </w:tcPr>
          <w:p w14:paraId="5533D6B8">
            <w:pPr>
              <w:rPr>
                <w:rFonts w:hint="default" w:ascii="Times New Roman" w:hAnsi="Times New Roman" w:cs="Times New Roman"/>
                <w:sz w:val="24"/>
                <w:szCs w:val="28"/>
              </w:rPr>
            </w:pPr>
            <w:r>
              <w:rPr>
                <w:rFonts w:hint="default" w:ascii="Times New Roman" w:hAnsi="Times New Roman" w:cs="Times New Roman"/>
                <w:sz w:val="24"/>
                <w:szCs w:val="28"/>
              </w:rPr>
              <w:t>参与标准第</w:t>
            </w:r>
            <w:r>
              <w:rPr>
                <w:rFonts w:hint="default" w:ascii="Times New Roman" w:hAnsi="Times New Roman" w:cs="Times New Roman"/>
                <w:sz w:val="24"/>
                <w:szCs w:val="28"/>
                <w:lang w:val="en-US" w:eastAsia="zh-CN"/>
              </w:rPr>
              <w:t>6</w:t>
            </w:r>
            <w:r>
              <w:rPr>
                <w:rFonts w:hint="default" w:ascii="Times New Roman" w:hAnsi="Times New Roman" w:cs="Times New Roman"/>
                <w:sz w:val="24"/>
                <w:szCs w:val="28"/>
              </w:rPr>
              <w:t>章编写工作</w:t>
            </w:r>
          </w:p>
        </w:tc>
      </w:tr>
      <w:tr w14:paraId="6BD72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4C503B9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lang w:val="en-US" w:eastAsia="zh-CN"/>
              </w:rPr>
              <w:t>张连磊</w:t>
            </w:r>
          </w:p>
        </w:tc>
        <w:tc>
          <w:tcPr>
            <w:tcW w:w="4193" w:type="dxa"/>
            <w:vAlign w:val="center"/>
          </w:tcPr>
          <w:p w14:paraId="3D0B596A">
            <w:pPr>
              <w:rPr>
                <w:rFonts w:hint="default" w:ascii="Times New Roman" w:hAnsi="Times New Roman" w:cs="Times New Roman"/>
                <w:sz w:val="24"/>
                <w:szCs w:val="28"/>
              </w:rPr>
            </w:pPr>
            <w:r>
              <w:rPr>
                <w:rFonts w:hint="default" w:ascii="Times New Roman" w:hAnsi="Times New Roman" w:cs="Times New Roman"/>
                <w:sz w:val="24"/>
                <w:szCs w:val="28"/>
              </w:rPr>
              <w:t>天津港股份有限公司</w:t>
            </w:r>
          </w:p>
        </w:tc>
        <w:tc>
          <w:tcPr>
            <w:tcW w:w="3370" w:type="dxa"/>
            <w:tcBorders>
              <w:right w:val="single" w:color="auto" w:sz="12" w:space="0"/>
            </w:tcBorders>
            <w:vAlign w:val="center"/>
          </w:tcPr>
          <w:p w14:paraId="77720282">
            <w:pPr>
              <w:rPr>
                <w:rFonts w:hint="default" w:ascii="Times New Roman" w:hAnsi="Times New Roman" w:cs="Times New Roman"/>
                <w:sz w:val="24"/>
                <w:szCs w:val="28"/>
              </w:rPr>
            </w:pPr>
            <w:r>
              <w:rPr>
                <w:rFonts w:hint="default" w:ascii="Times New Roman" w:hAnsi="Times New Roman" w:cs="Times New Roman"/>
                <w:sz w:val="24"/>
                <w:szCs w:val="28"/>
              </w:rPr>
              <w:t>参与标准第</w:t>
            </w:r>
            <w:r>
              <w:rPr>
                <w:rFonts w:hint="default" w:ascii="Times New Roman" w:hAnsi="Times New Roman" w:cs="Times New Roman"/>
                <w:sz w:val="24"/>
                <w:szCs w:val="28"/>
                <w:lang w:val="en-US" w:eastAsia="zh-CN"/>
              </w:rPr>
              <w:t>6</w:t>
            </w:r>
            <w:r>
              <w:rPr>
                <w:rFonts w:hint="default" w:ascii="Times New Roman" w:hAnsi="Times New Roman" w:cs="Times New Roman"/>
                <w:sz w:val="24"/>
                <w:szCs w:val="28"/>
              </w:rPr>
              <w:t>章编写工作</w:t>
            </w:r>
          </w:p>
        </w:tc>
      </w:tr>
      <w:tr w14:paraId="4E72A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5AB7DCE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eastAsiaTheme="minorEastAsia"/>
                <w:sz w:val="24"/>
                <w:szCs w:val="24"/>
                <w:lang w:val="en-US" w:eastAsia="zh-CN"/>
              </w:rPr>
            </w:pPr>
            <w:r>
              <w:rPr>
                <w:rFonts w:hint="eastAsia"/>
                <w:sz w:val="24"/>
                <w:szCs w:val="24"/>
                <w:lang w:val="en-US" w:eastAsia="zh-CN"/>
              </w:rPr>
              <w:t>张磊</w:t>
            </w:r>
          </w:p>
        </w:tc>
        <w:tc>
          <w:tcPr>
            <w:tcW w:w="4193" w:type="dxa"/>
            <w:shd w:val="clear" w:color="auto" w:fill="auto"/>
            <w:vAlign w:val="center"/>
          </w:tcPr>
          <w:p w14:paraId="71EDF4CA">
            <w:pPr>
              <w:rPr>
                <w:rFonts w:hint="default" w:ascii="Times New Roman" w:hAnsi="Times New Roman" w:cs="Times New Roman"/>
                <w:sz w:val="24"/>
                <w:szCs w:val="28"/>
                <w:lang w:val="en-US" w:eastAsia="zh-CN"/>
              </w:rPr>
            </w:pPr>
            <w:r>
              <w:rPr>
                <w:rFonts w:hint="default" w:ascii="Times New Roman" w:hAnsi="Times New Roman" w:cs="Times New Roman"/>
                <w:sz w:val="24"/>
                <w:szCs w:val="28"/>
              </w:rPr>
              <w:t>天津港股份有限公司</w:t>
            </w:r>
          </w:p>
        </w:tc>
        <w:tc>
          <w:tcPr>
            <w:tcW w:w="3370" w:type="dxa"/>
            <w:tcBorders>
              <w:right w:val="single" w:color="auto" w:sz="12" w:space="0"/>
            </w:tcBorders>
            <w:shd w:val="clear" w:color="auto" w:fill="auto"/>
            <w:vAlign w:val="center"/>
          </w:tcPr>
          <w:p w14:paraId="264A34E0">
            <w:pPr>
              <w:rPr>
                <w:rFonts w:hint="default" w:ascii="Times New Roman" w:hAnsi="Times New Roman" w:cs="Times New Roman"/>
                <w:sz w:val="24"/>
                <w:szCs w:val="28"/>
                <w:lang w:val="en-US" w:eastAsia="zh-CN"/>
              </w:rPr>
            </w:pPr>
            <w:r>
              <w:rPr>
                <w:rFonts w:hint="default" w:ascii="Times New Roman" w:hAnsi="Times New Roman" w:cs="Times New Roman"/>
                <w:sz w:val="24"/>
                <w:szCs w:val="28"/>
              </w:rPr>
              <w:t>参与标准第</w:t>
            </w:r>
            <w:r>
              <w:rPr>
                <w:rFonts w:hint="default" w:ascii="Times New Roman" w:hAnsi="Times New Roman" w:cs="Times New Roman"/>
                <w:sz w:val="24"/>
                <w:szCs w:val="28"/>
                <w:lang w:val="en-US" w:eastAsia="zh-CN"/>
              </w:rPr>
              <w:t>6</w:t>
            </w:r>
            <w:r>
              <w:rPr>
                <w:rFonts w:hint="default" w:ascii="Times New Roman" w:hAnsi="Times New Roman" w:cs="Times New Roman"/>
                <w:sz w:val="24"/>
                <w:szCs w:val="28"/>
              </w:rPr>
              <w:t>章编写工作</w:t>
            </w:r>
          </w:p>
        </w:tc>
      </w:tr>
      <w:tr w14:paraId="4784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78FA21E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eastAsiaTheme="minorEastAsia"/>
                <w:sz w:val="24"/>
                <w:szCs w:val="24"/>
                <w:lang w:val="en-US" w:eastAsia="zh-CN"/>
              </w:rPr>
            </w:pPr>
            <w:r>
              <w:rPr>
                <w:rFonts w:hint="eastAsia"/>
                <w:sz w:val="24"/>
                <w:szCs w:val="24"/>
                <w:lang w:val="en-US" w:eastAsia="zh-CN"/>
              </w:rPr>
              <w:t>张锋锋</w:t>
            </w:r>
          </w:p>
        </w:tc>
        <w:tc>
          <w:tcPr>
            <w:tcW w:w="4193" w:type="dxa"/>
            <w:vAlign w:val="center"/>
          </w:tcPr>
          <w:p w14:paraId="42BE0C55">
            <w:pPr>
              <w:rPr>
                <w:rFonts w:hint="default" w:ascii="Times New Roman" w:hAnsi="Times New Roman" w:cs="Times New Roman"/>
                <w:sz w:val="24"/>
                <w:szCs w:val="28"/>
              </w:rPr>
            </w:pPr>
            <w:r>
              <w:rPr>
                <w:rFonts w:hint="default" w:ascii="Times New Roman" w:hAnsi="Times New Roman" w:cs="Times New Roman"/>
                <w:sz w:val="24"/>
                <w:szCs w:val="28"/>
              </w:rPr>
              <w:t>上海振华重工</w:t>
            </w:r>
            <w:r>
              <w:rPr>
                <w:rFonts w:hint="default" w:ascii="Times New Roman" w:hAnsi="Times New Roman" w:cs="Times New Roman"/>
                <w:sz w:val="24"/>
                <w:szCs w:val="28"/>
                <w:lang w:val="en-US" w:eastAsia="zh-CN"/>
              </w:rPr>
              <w:t>（</w:t>
            </w:r>
            <w:r>
              <w:rPr>
                <w:rFonts w:hint="default" w:ascii="Times New Roman" w:hAnsi="Times New Roman" w:cs="Times New Roman"/>
                <w:sz w:val="24"/>
                <w:szCs w:val="28"/>
              </w:rPr>
              <w:t>集团</w:t>
            </w:r>
            <w:r>
              <w:rPr>
                <w:rFonts w:hint="default" w:ascii="Times New Roman" w:hAnsi="Times New Roman" w:cs="Times New Roman"/>
                <w:sz w:val="24"/>
                <w:szCs w:val="28"/>
                <w:lang w:eastAsia="zh-CN"/>
              </w:rPr>
              <w:t>）</w:t>
            </w:r>
            <w:r>
              <w:rPr>
                <w:rFonts w:hint="default" w:ascii="Times New Roman" w:hAnsi="Times New Roman" w:cs="Times New Roman"/>
                <w:sz w:val="24"/>
                <w:szCs w:val="28"/>
              </w:rPr>
              <w:t>股份有限公司</w:t>
            </w:r>
          </w:p>
        </w:tc>
        <w:tc>
          <w:tcPr>
            <w:tcW w:w="3370" w:type="dxa"/>
            <w:tcBorders>
              <w:right w:val="single" w:color="auto" w:sz="12" w:space="0"/>
            </w:tcBorders>
            <w:vAlign w:val="center"/>
          </w:tcPr>
          <w:p w14:paraId="16A68844">
            <w:pPr>
              <w:rPr>
                <w:rFonts w:hint="default" w:ascii="Times New Roman" w:hAnsi="Times New Roman" w:cs="Times New Roman"/>
                <w:sz w:val="24"/>
                <w:szCs w:val="28"/>
              </w:rPr>
            </w:pPr>
            <w:r>
              <w:rPr>
                <w:rFonts w:hint="default" w:ascii="Times New Roman" w:hAnsi="Times New Roman" w:cs="Times New Roman"/>
                <w:sz w:val="24"/>
                <w:szCs w:val="28"/>
              </w:rPr>
              <w:t>参与标准第</w:t>
            </w:r>
            <w:r>
              <w:rPr>
                <w:rFonts w:hint="default" w:ascii="Times New Roman" w:hAnsi="Times New Roman" w:cs="Times New Roman"/>
                <w:sz w:val="24"/>
                <w:szCs w:val="28"/>
                <w:lang w:val="en-US" w:eastAsia="zh-CN"/>
              </w:rPr>
              <w:t>6</w:t>
            </w:r>
            <w:r>
              <w:rPr>
                <w:rFonts w:hint="default" w:ascii="Times New Roman" w:hAnsi="Times New Roman" w:cs="Times New Roman"/>
                <w:sz w:val="24"/>
                <w:szCs w:val="28"/>
              </w:rPr>
              <w:t>章编写工作</w:t>
            </w:r>
          </w:p>
        </w:tc>
      </w:tr>
    </w:tbl>
    <w:p w14:paraId="5498E536">
      <w:pPr>
        <w:spacing w:line="360" w:lineRule="auto"/>
        <w:ind w:firstLine="562" w:firstLineChars="200"/>
        <w:rPr>
          <w:rFonts w:hint="eastAsia" w:ascii="Times New Roman" w:hAnsi="Times New Roman" w:cs="Times New Roman"/>
          <w:b/>
          <w:color w:val="0000FF"/>
          <w:sz w:val="28"/>
          <w:szCs w:val="28"/>
        </w:rPr>
      </w:pPr>
    </w:p>
    <w:p w14:paraId="13DA1677">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3、主要工作过程</w:t>
      </w:r>
    </w:p>
    <w:p w14:paraId="309C8EA6">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为了确保标准内容制定的准确性、实用性，充分反映实际情况、提高</w:t>
      </w:r>
      <w:r>
        <w:rPr>
          <w:rFonts w:hint="eastAsia" w:ascii="Times New Roman" w:hAnsi="Times New Roman" w:cs="Times New Roman"/>
          <w:color w:val="000000" w:themeColor="text1"/>
          <w:sz w:val="28"/>
          <w:szCs w:val="28"/>
          <w14:textFill>
            <w14:solidFill>
              <w14:schemeClr w14:val="tx1"/>
            </w14:solidFill>
          </w14:textFill>
        </w:rPr>
        <w:t>岸边集装箱起重机</w:t>
      </w:r>
      <w:r>
        <w:rPr>
          <w:rFonts w:hint="eastAsia" w:ascii="Times New Roman" w:hAnsi="Times New Roman" w:cs="Times New Roman"/>
          <w:color w:val="000000" w:themeColor="text1"/>
          <w:sz w:val="28"/>
          <w:szCs w:val="28"/>
          <w:lang w:val="en-US" w:eastAsia="zh-CN"/>
          <w14:textFill>
            <w14:solidFill>
              <w14:schemeClr w14:val="tx1"/>
            </w14:solidFill>
          </w14:textFill>
        </w:rPr>
        <w:t>防风</w:t>
      </w:r>
      <w:r>
        <w:rPr>
          <w:rFonts w:hint="eastAsia" w:ascii="Times New Roman" w:hAnsi="Times New Roman" w:cs="Times New Roman"/>
          <w:color w:val="000000" w:themeColor="text1"/>
          <w:sz w:val="28"/>
          <w:szCs w:val="28"/>
          <w14:textFill>
            <w14:solidFill>
              <w14:schemeClr w14:val="tx1"/>
            </w14:solidFill>
          </w14:textFill>
        </w:rPr>
        <w:t>装置技术</w:t>
      </w:r>
      <w:r>
        <w:rPr>
          <w:rFonts w:ascii="Times New Roman" w:hAnsi="Times New Roman" w:cs="Times New Roman"/>
          <w:color w:val="000000" w:themeColor="text1"/>
          <w:sz w:val="28"/>
          <w:szCs w:val="28"/>
          <w14:textFill>
            <w14:solidFill>
              <w14:schemeClr w14:val="tx1"/>
            </w14:solidFill>
          </w14:textFill>
        </w:rPr>
        <w:t>水平，保证标准内容科学、合理，标准起草组主要开展了以下工作：</w:t>
      </w:r>
    </w:p>
    <w:p w14:paraId="011951B9">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（1）成立标准起草组</w:t>
      </w:r>
    </w:p>
    <w:p w14:paraId="4360CA66">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202</w:t>
      </w:r>
      <w:r>
        <w:rPr>
          <w:rFonts w:hint="eastAsia" w:ascii="Times New Roman" w:hAnsi="Times New Roman" w:cs="Times New Roman"/>
          <w:color w:val="000000" w:themeColor="text1"/>
          <w:sz w:val="28"/>
          <w:szCs w:val="28"/>
          <w:lang w:val="en-US" w:eastAsia="zh-CN"/>
          <w14:textFill>
            <w14:solidFill>
              <w14:schemeClr w14:val="tx1"/>
            </w14:solidFill>
          </w14:textFill>
        </w:rPr>
        <w:t>5</w:t>
      </w:r>
      <w:r>
        <w:rPr>
          <w:rFonts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w:t>
      </w:r>
      <w:r>
        <w:rPr>
          <w:rFonts w:ascii="Times New Roman" w:hAnsi="Times New Roman" w:cs="Times New Roman"/>
          <w:color w:val="000000" w:themeColor="text1"/>
          <w:sz w:val="28"/>
          <w:szCs w:val="28"/>
          <w14:textFill>
            <w14:solidFill>
              <w14:schemeClr w14:val="tx1"/>
            </w14:solidFill>
          </w14:textFill>
        </w:rPr>
        <w:t>月，成立标准起草组，明确责任分工，着手编制</w:t>
      </w:r>
      <w:r>
        <w:rPr>
          <w:rFonts w:hint="eastAsia" w:ascii="Times New Roman" w:hAnsi="Times New Roman" w:cs="Times New Roman"/>
          <w:color w:val="000000" w:themeColor="text1"/>
          <w:sz w:val="28"/>
          <w:szCs w:val="28"/>
          <w14:textFill>
            <w14:solidFill>
              <w14:schemeClr w14:val="tx1"/>
            </w14:solidFill>
          </w14:textFill>
        </w:rPr>
        <w:t>标准大纲</w:t>
      </w:r>
      <w:r>
        <w:rPr>
          <w:rFonts w:ascii="Times New Roman" w:hAnsi="Times New Roman" w:cs="Times New Roman"/>
          <w:color w:val="000000" w:themeColor="text1"/>
          <w:sz w:val="28"/>
          <w:szCs w:val="28"/>
          <w14:textFill>
            <w14:solidFill>
              <w14:schemeClr w14:val="tx1"/>
            </w14:solidFill>
          </w14:textFill>
        </w:rPr>
        <w:t>，明确研究思路和标准编制框架。</w:t>
      </w:r>
    </w:p>
    <w:p w14:paraId="73417AA0">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（2）标准调研</w:t>
      </w:r>
    </w:p>
    <w:p w14:paraId="320A540C">
      <w:pPr>
        <w:spacing w:line="360" w:lineRule="auto"/>
        <w:ind w:firstLine="560" w:firstLineChars="200"/>
        <w:rPr>
          <w:rFonts w:ascii="Times New Roman" w:hAnsi="Times New Roman" w:eastAsiaTheme="majorEastAsia"/>
          <w:sz w:val="28"/>
          <w:szCs w:val="28"/>
        </w:rPr>
      </w:pPr>
      <w:r>
        <w:rPr>
          <w:rFonts w:ascii="Times New Roman" w:hAnsi="Times New Roman" w:cs="Times New Roman"/>
          <w:color w:val="000000" w:themeColor="text1"/>
          <w:sz w:val="28"/>
          <w:szCs w:val="28"/>
          <w14:textFill>
            <w14:solidFill>
              <w14:schemeClr w14:val="tx1"/>
            </w14:solidFill>
          </w14:textFill>
        </w:rPr>
        <w:t>202</w:t>
      </w:r>
      <w:r>
        <w:rPr>
          <w:rFonts w:hint="eastAsia" w:ascii="Times New Roman" w:hAnsi="Times New Roman" w:cs="Times New Roman"/>
          <w:color w:val="000000" w:themeColor="text1"/>
          <w:sz w:val="28"/>
          <w:szCs w:val="28"/>
          <w14:textFill>
            <w14:solidFill>
              <w14:schemeClr w14:val="tx1"/>
            </w14:solidFill>
          </w14:textFill>
        </w:rPr>
        <w:t>5</w:t>
      </w:r>
      <w:r>
        <w:rPr>
          <w:rFonts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w:t>
      </w:r>
      <w:r>
        <w:rPr>
          <w:rFonts w:ascii="Times New Roman" w:hAnsi="Times New Roman" w:cs="Times New Roman"/>
          <w:color w:val="000000" w:themeColor="text1"/>
          <w:sz w:val="28"/>
          <w:szCs w:val="28"/>
          <w14:textFill>
            <w14:solidFill>
              <w14:schemeClr w14:val="tx1"/>
            </w14:solidFill>
          </w14:textFill>
        </w:rPr>
        <w:t>月-202</w:t>
      </w:r>
      <w:r>
        <w:rPr>
          <w:rFonts w:hint="eastAsia" w:ascii="Times New Roman" w:hAnsi="Times New Roman" w:cs="Times New Roman"/>
          <w:color w:val="000000" w:themeColor="text1"/>
          <w:sz w:val="28"/>
          <w:szCs w:val="28"/>
          <w14:textFill>
            <w14:solidFill>
              <w14:schemeClr w14:val="tx1"/>
            </w14:solidFill>
          </w14:textFill>
        </w:rPr>
        <w:t>5</w:t>
      </w:r>
      <w:r>
        <w:rPr>
          <w:rFonts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12</w:t>
      </w:r>
      <w:r>
        <w:rPr>
          <w:rFonts w:ascii="Times New Roman" w:hAnsi="Times New Roman" w:cs="Times New Roman"/>
          <w:color w:val="000000" w:themeColor="text1"/>
          <w:sz w:val="28"/>
          <w:szCs w:val="28"/>
          <w14:textFill>
            <w14:solidFill>
              <w14:schemeClr w14:val="tx1"/>
            </w14:solidFill>
          </w14:textFill>
        </w:rPr>
        <w:t>月，标准起草组通过</w:t>
      </w:r>
      <w:r>
        <w:rPr>
          <w:rFonts w:hint="eastAsia" w:ascii="Times New Roman" w:hAnsi="Times New Roman" w:cs="Times New Roman"/>
          <w:color w:val="000000" w:themeColor="text1"/>
          <w:sz w:val="28"/>
          <w:szCs w:val="28"/>
          <w:lang w:val="en-US" w:eastAsia="zh-CN"/>
          <w14:textFill>
            <w14:solidFill>
              <w14:schemeClr w14:val="tx1"/>
            </w14:solidFill>
          </w14:textFill>
        </w:rPr>
        <w:t>实地调研、</w:t>
      </w:r>
      <w:r>
        <w:rPr>
          <w:rFonts w:ascii="Times New Roman" w:hAnsi="Times New Roman" w:cs="Times New Roman"/>
          <w:color w:val="000000" w:themeColor="text1"/>
          <w:sz w:val="28"/>
          <w:szCs w:val="28"/>
          <w14:textFill>
            <w14:solidFill>
              <w14:schemeClr w14:val="tx1"/>
            </w14:solidFill>
          </w14:textFill>
        </w:rPr>
        <w:t>电话</w:t>
      </w:r>
      <w:r>
        <w:rPr>
          <w:rFonts w:hint="eastAsia" w:ascii="Times New Roman" w:hAnsi="Times New Roman" w:cs="Times New Roman"/>
          <w:color w:val="000000" w:themeColor="text1"/>
          <w:sz w:val="28"/>
          <w:szCs w:val="28"/>
          <w:lang w:val="en-US" w:eastAsia="zh-CN"/>
          <w14:textFill>
            <w14:solidFill>
              <w14:schemeClr w14:val="tx1"/>
            </w14:solidFill>
          </w14:textFill>
        </w:rPr>
        <w:t>访问</w:t>
      </w:r>
      <w:r>
        <w:rPr>
          <w:rFonts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资料查询</w:t>
      </w:r>
      <w:r>
        <w:rPr>
          <w:rFonts w:ascii="Times New Roman" w:hAnsi="Times New Roman" w:cs="Times New Roman"/>
          <w:color w:val="000000" w:themeColor="text1"/>
          <w:sz w:val="28"/>
          <w:szCs w:val="28"/>
          <w14:textFill>
            <w14:solidFill>
              <w14:schemeClr w14:val="tx1"/>
            </w14:solidFill>
          </w14:textFill>
        </w:rPr>
        <w:t>等方式对</w:t>
      </w:r>
      <w:r>
        <w:rPr>
          <w:rFonts w:hint="eastAsia" w:ascii="Times New Roman" w:eastAsiaTheme="majorEastAsia"/>
          <w:sz w:val="28"/>
          <w:szCs w:val="28"/>
        </w:rPr>
        <w:t>天津、辽宁、江苏、浙江</w:t>
      </w:r>
      <w:r>
        <w:rPr>
          <w:rFonts w:hint="eastAsia" w:ascii="Times New Roman" w:eastAsiaTheme="majorEastAsia"/>
          <w:sz w:val="28"/>
          <w:szCs w:val="28"/>
          <w:lang w:eastAsia="zh-CN"/>
        </w:rPr>
        <w:t>、</w:t>
      </w:r>
      <w:r>
        <w:rPr>
          <w:rFonts w:hint="eastAsia" w:ascii="Times New Roman" w:eastAsiaTheme="majorEastAsia"/>
          <w:sz w:val="28"/>
          <w:szCs w:val="28"/>
          <w:lang w:val="en-US" w:eastAsia="zh-CN"/>
        </w:rPr>
        <w:t>广东、广西</w:t>
      </w:r>
      <w:r>
        <w:rPr>
          <w:rFonts w:hint="eastAsia" w:ascii="Times New Roman" w:eastAsiaTheme="majorEastAsia"/>
          <w:sz w:val="28"/>
          <w:szCs w:val="28"/>
        </w:rPr>
        <w:t>等</w:t>
      </w:r>
      <w:r>
        <w:rPr>
          <w:rFonts w:hint="eastAsia" w:ascii="Times New Roman" w:eastAsiaTheme="majorEastAsia"/>
          <w:sz w:val="28"/>
          <w:szCs w:val="28"/>
          <w:lang w:val="en-US" w:eastAsia="zh-CN"/>
        </w:rPr>
        <w:t>省市的</w:t>
      </w:r>
      <w:r>
        <w:rPr>
          <w:rFonts w:hint="eastAsia" w:ascii="Times New Roman" w:eastAsiaTheme="majorEastAsia"/>
          <w:sz w:val="28"/>
          <w:szCs w:val="28"/>
        </w:rPr>
        <w:t>港口企业</w:t>
      </w:r>
      <w:r>
        <w:rPr>
          <w:rFonts w:hint="eastAsia" w:ascii="Times New Roman" w:eastAsiaTheme="majorEastAsia"/>
          <w:sz w:val="28"/>
          <w:szCs w:val="28"/>
          <w:lang w:val="en-US" w:eastAsia="zh-CN"/>
        </w:rPr>
        <w:t>岸边集装箱起重机防风装置的设置和运行</w:t>
      </w:r>
      <w:r>
        <w:rPr>
          <w:rFonts w:hint="eastAsia" w:ascii="Times New Roman" w:eastAsiaTheme="majorEastAsia"/>
          <w:sz w:val="28"/>
          <w:szCs w:val="28"/>
        </w:rPr>
        <w:t>实际情况进行了调研，与各港口企业就</w:t>
      </w:r>
      <w:r>
        <w:rPr>
          <w:rFonts w:hint="eastAsia" w:ascii="Times New Roman" w:eastAsiaTheme="majorEastAsia"/>
          <w:sz w:val="28"/>
          <w:szCs w:val="28"/>
          <w:lang w:val="en-US" w:eastAsia="zh-CN"/>
        </w:rPr>
        <w:t>岸边集装箱起重机防风装置设置及管理经验</w:t>
      </w:r>
      <w:r>
        <w:rPr>
          <w:rFonts w:hint="eastAsia" w:ascii="Times New Roman" w:eastAsiaTheme="majorEastAsia"/>
          <w:sz w:val="28"/>
          <w:szCs w:val="28"/>
        </w:rPr>
        <w:t>进行了充分交流。</w:t>
      </w:r>
    </w:p>
    <w:p w14:paraId="51471704">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3</w:t>
      </w:r>
      <w:r>
        <w:rPr>
          <w:rFonts w:ascii="Times New Roman" w:hAnsi="Times New Roman" w:cs="Times New Roman"/>
          <w:color w:val="000000" w:themeColor="text1"/>
          <w:sz w:val="28"/>
          <w:szCs w:val="28"/>
          <w14:textFill>
            <w14:solidFill>
              <w14:schemeClr w14:val="tx1"/>
            </w14:solidFill>
          </w14:textFill>
        </w:rPr>
        <w:t>）标准草案</w:t>
      </w:r>
    </w:p>
    <w:p w14:paraId="2F4AD94F">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根据调研掌握的资料，本着科学性和可操作性的原则，于202</w:t>
      </w:r>
      <w:r>
        <w:rPr>
          <w:rFonts w:hint="eastAsia" w:ascii="Times New Roman" w:hAnsi="Times New Roman" w:cs="Times New Roman"/>
          <w:color w:val="000000" w:themeColor="text1"/>
          <w:sz w:val="28"/>
          <w:szCs w:val="28"/>
          <w14:textFill>
            <w14:solidFill>
              <w14:schemeClr w14:val="tx1"/>
            </w14:solidFill>
          </w14:textFill>
        </w:rPr>
        <w:t>5</w:t>
      </w:r>
      <w:r>
        <w:rPr>
          <w:rFonts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14:textFill>
            <w14:solidFill>
              <w14:schemeClr w14:val="tx1"/>
            </w14:solidFill>
          </w14:textFill>
        </w:rPr>
        <w:t>1</w:t>
      </w:r>
      <w:r>
        <w:rPr>
          <w:rFonts w:hint="eastAsia" w:ascii="Times New Roman" w:hAnsi="Times New Roman" w:cs="Times New Roman"/>
          <w:color w:val="000000" w:themeColor="text1"/>
          <w:sz w:val="28"/>
          <w:szCs w:val="28"/>
          <w:lang w:val="en-US" w:eastAsia="zh-CN"/>
          <w14:textFill>
            <w14:solidFill>
              <w14:schemeClr w14:val="tx1"/>
            </w14:solidFill>
          </w14:textFill>
        </w:rPr>
        <w:t>2</w:t>
      </w:r>
      <w:r>
        <w:rPr>
          <w:rFonts w:ascii="Times New Roman" w:hAnsi="Times New Roman" w:cs="Times New Roman"/>
          <w:color w:val="000000" w:themeColor="text1"/>
          <w:sz w:val="28"/>
          <w:szCs w:val="28"/>
          <w14:textFill>
            <w14:solidFill>
              <w14:schemeClr w14:val="tx1"/>
            </w14:solidFill>
          </w14:textFill>
        </w:rPr>
        <w:t>月底，</w:t>
      </w:r>
      <w:r>
        <w:rPr>
          <w:rFonts w:hint="eastAsia" w:ascii="Times New Roman" w:hAnsi="Times New Roman" w:cs="Times New Roman"/>
          <w:color w:val="000000" w:themeColor="text1"/>
          <w:sz w:val="28"/>
          <w:szCs w:val="28"/>
          <w14:textFill>
            <w14:solidFill>
              <w14:schemeClr w14:val="tx1"/>
            </w14:solidFill>
          </w14:textFill>
        </w:rPr>
        <w:t>完成了本标准草案的起草工作</w:t>
      </w:r>
      <w:r>
        <w:rPr>
          <w:rFonts w:ascii="Times New Roman" w:hAnsi="Times New Roman" w:cs="Times New Roman"/>
          <w:color w:val="000000" w:themeColor="text1"/>
          <w:sz w:val="28"/>
          <w:szCs w:val="28"/>
          <w14:textFill>
            <w14:solidFill>
              <w14:schemeClr w14:val="tx1"/>
            </w14:solidFill>
          </w14:textFill>
        </w:rPr>
        <w:t>。</w:t>
      </w:r>
    </w:p>
    <w:p w14:paraId="3117DC57">
      <w:pPr>
        <w:spacing w:line="360" w:lineRule="auto"/>
        <w:ind w:firstLine="562" w:firstLineChars="200"/>
        <w:rPr>
          <w:rFonts w:hint="default" w:ascii="Times New Roman" w:hAnsi="Times New Roman" w:eastAsia="宋体" w:cs="Times New Roman"/>
          <w:b/>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b/>
          <w:color w:val="000000" w:themeColor="text1"/>
          <w:sz w:val="28"/>
          <w:szCs w:val="28"/>
          <w:lang w:val="en-US" w:eastAsia="zh-CN"/>
          <w14:textFill>
            <w14:solidFill>
              <w14:schemeClr w14:val="tx1"/>
            </w14:solidFill>
          </w14:textFill>
        </w:rPr>
        <w:t>4</w:t>
      </w:r>
      <w:r>
        <w:rPr>
          <w:rFonts w:ascii="Times New Roman" w:hAnsi="Times New Roman" w:eastAsia="宋体" w:cs="Times New Roman"/>
          <w:b/>
          <w:color w:val="000000" w:themeColor="text1"/>
          <w:sz w:val="28"/>
          <w:szCs w:val="28"/>
          <w14:textFill>
            <w14:solidFill>
              <w14:schemeClr w14:val="tx1"/>
            </w14:solidFill>
          </w14:textFill>
        </w:rPr>
        <w:t>、</w:t>
      </w:r>
      <w:r>
        <w:rPr>
          <w:rFonts w:hint="eastAsia" w:ascii="Times New Roman" w:hAnsi="Times New Roman" w:eastAsia="宋体" w:cs="Times New Roman"/>
          <w:b/>
          <w:color w:val="000000" w:themeColor="text1"/>
          <w:sz w:val="28"/>
          <w:szCs w:val="28"/>
          <w:lang w:val="en-US" w:eastAsia="zh-CN"/>
          <w14:textFill>
            <w14:solidFill>
              <w14:schemeClr w14:val="tx1"/>
            </w14:solidFill>
          </w14:textFill>
        </w:rPr>
        <w:t>相关单位的编制能力</w:t>
      </w:r>
    </w:p>
    <w:p w14:paraId="4503BD01">
      <w:pPr>
        <w:spacing w:line="360" w:lineRule="auto"/>
        <w:ind w:firstLine="560" w:firstLineChars="200"/>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val="en-US" w:eastAsia="zh-CN"/>
          <w14:textFill>
            <w14:solidFill>
              <w14:schemeClr w14:val="tx1"/>
            </w14:solidFill>
          </w14:textFill>
        </w:rPr>
        <w:t>本标准的第一起草单位</w:t>
      </w:r>
      <w:r>
        <w:rPr>
          <w:rFonts w:hint="eastAsia" w:ascii="Times New Roman" w:hAnsi="Times New Roman" w:cs="Times New Roman"/>
          <w:color w:val="000000" w:themeColor="text1"/>
          <w:sz w:val="28"/>
          <w:szCs w:val="28"/>
          <w14:textFill>
            <w14:solidFill>
              <w14:schemeClr w14:val="tx1"/>
            </w14:solidFill>
          </w14:textFill>
        </w:rPr>
        <w:t>交通运输部天津水运工程科学研究所、天津港股份有限公司、辽港控股（营口）有限公司集装箱码头分公司、天津港第二集装箱码头有限公司、宁波舟山港股份有限公司、上海振华重工（集团）股份有限公司、盐田国际集装箱码头有限公司</w:t>
      </w:r>
      <w:r>
        <w:rPr>
          <w:rFonts w:hint="eastAsia" w:ascii="Times New Roman" w:hAnsi="Times New Roman" w:cs="Times New Roman"/>
          <w:color w:val="000000" w:themeColor="text1"/>
          <w:sz w:val="28"/>
          <w:szCs w:val="28"/>
          <w:lang w:eastAsia="zh-CN"/>
          <w14:textFill>
            <w14:solidFill>
              <w14:schemeClr w14:val="tx1"/>
            </w14:solidFill>
          </w14:textFill>
        </w:rPr>
        <w:t>，各单位在各自领域具备突出的编制能力。</w:t>
      </w:r>
    </w:p>
    <w:p w14:paraId="19EBFFDD">
      <w:pPr>
        <w:spacing w:line="360" w:lineRule="auto"/>
        <w:ind w:firstLine="560" w:firstLineChars="200"/>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交通运输部天津水运工程科学研究所作为交通运输部直属的综合性科研机构，长期深耕港口水运工程与装备安全领域，在行业内具有广泛的学术影响力和权威地位。近年来，该所承担了多项国家级、省部级港口安全与标准化研究课题，积累了深厚的科研基础和技术储备。在标准编制方面，参与了GB</w:t>
      </w:r>
      <w:r>
        <w:rPr>
          <w:rFonts w:hint="eastAsia" w:ascii="Times New Roman" w:hAnsi="Times New Roman" w:cs="Times New Roman"/>
          <w:color w:val="000000" w:themeColor="text1"/>
          <w:sz w:val="28"/>
          <w:szCs w:val="28"/>
          <w:lang w:val="en-US" w:eastAsia="zh-CN"/>
          <w14:textFill>
            <w14:solidFill>
              <w14:schemeClr w14:val="tx1"/>
            </w14:solidFill>
          </w14:textFill>
        </w:rPr>
        <w:t>/</w:t>
      </w:r>
      <w:r>
        <w:rPr>
          <w:rFonts w:hint="eastAsia" w:ascii="Times New Roman" w:hAnsi="Times New Roman" w:cs="Times New Roman"/>
          <w:color w:val="000000" w:themeColor="text1"/>
          <w:sz w:val="28"/>
          <w:szCs w:val="28"/>
          <w:lang w:eastAsia="zh-CN"/>
          <w14:textFill>
            <w14:solidFill>
              <w14:schemeClr w14:val="tx1"/>
            </w14:solidFill>
          </w14:textFill>
        </w:rPr>
        <w:t>T 39652.3-2021《危险货物运输应急救援指南 第3部分：救援距离系》国家标准的</w:t>
      </w:r>
      <w:r>
        <w:rPr>
          <w:rFonts w:hint="eastAsia" w:ascii="Times New Roman" w:hAnsi="Times New Roman" w:cs="Times New Roman"/>
          <w:color w:val="000000" w:themeColor="text1"/>
          <w:sz w:val="28"/>
          <w:szCs w:val="28"/>
          <w:lang w:val="en-US" w:eastAsia="zh-CN"/>
          <w14:textFill>
            <w14:solidFill>
              <w14:schemeClr w14:val="tx1"/>
            </w14:solidFill>
          </w14:textFill>
        </w:rPr>
        <w:t>编制，牵头</w:t>
      </w:r>
      <w:r>
        <w:rPr>
          <w:rFonts w:hint="eastAsia" w:ascii="Times New Roman" w:hAnsi="Times New Roman" w:cs="Times New Roman"/>
          <w:color w:val="000000" w:themeColor="text1"/>
          <w:sz w:val="28"/>
          <w:szCs w:val="28"/>
          <w:lang w:eastAsia="zh-CN"/>
          <w14:textFill>
            <w14:solidFill>
              <w14:schemeClr w14:val="tx1"/>
            </w14:solidFill>
          </w14:textFill>
        </w:rPr>
        <w:t>《港口装卸机械防风预警监测技术要求》《港口常压储罐重大危险源在线监测技术要求》等</w:t>
      </w:r>
      <w:r>
        <w:rPr>
          <w:rFonts w:hint="eastAsia" w:ascii="Times New Roman" w:hAnsi="Times New Roman" w:cs="Times New Roman"/>
          <w:color w:val="000000" w:themeColor="text1"/>
          <w:sz w:val="28"/>
          <w:szCs w:val="28"/>
          <w:lang w:val="en-US" w:eastAsia="zh-CN"/>
          <w14:textFill>
            <w14:solidFill>
              <w14:schemeClr w14:val="tx1"/>
            </w14:solidFill>
          </w14:textFill>
        </w:rPr>
        <w:t>中国港口协会团体</w:t>
      </w:r>
      <w:r>
        <w:rPr>
          <w:rFonts w:hint="eastAsia" w:ascii="Times New Roman" w:hAnsi="Times New Roman" w:cs="Times New Roman"/>
          <w:color w:val="000000" w:themeColor="text1"/>
          <w:sz w:val="28"/>
          <w:szCs w:val="28"/>
          <w:lang w:eastAsia="zh-CN"/>
          <w14:textFill>
            <w14:solidFill>
              <w14:schemeClr w14:val="tx1"/>
            </w14:solidFill>
          </w14:textFill>
        </w:rPr>
        <w:t>标准的起草工作，熟悉标准化文件的编制规则与流程，具备从技术研究到标准转化的成熟经验，为本标准的技术把关和质量提升提供了坚实保障。</w:t>
      </w:r>
    </w:p>
    <w:p w14:paraId="1D18A60A">
      <w:pPr>
        <w:spacing w:line="360" w:lineRule="auto"/>
        <w:ind w:firstLine="560" w:firstLineChars="200"/>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天津港股份有限公司作为我国北方最大的综合性港口运营主体，拥有丰富的</w:t>
      </w:r>
      <w:r>
        <w:rPr>
          <w:rFonts w:hint="eastAsia" w:ascii="Times New Roman" w:eastAsiaTheme="majorEastAsia"/>
          <w:sz w:val="28"/>
          <w:szCs w:val="28"/>
          <w:lang w:val="en-US" w:eastAsia="zh-CN"/>
        </w:rPr>
        <w:t>岸边集装箱起重机</w:t>
      </w:r>
      <w:r>
        <w:rPr>
          <w:rFonts w:hint="eastAsia" w:ascii="Times New Roman" w:hAnsi="Times New Roman" w:cs="Times New Roman"/>
          <w:color w:val="000000" w:themeColor="text1"/>
          <w:sz w:val="28"/>
          <w:szCs w:val="28"/>
          <w:lang w:eastAsia="zh-CN"/>
          <w14:textFill>
            <w14:solidFill>
              <w14:schemeClr w14:val="tx1"/>
            </w14:solidFill>
          </w14:textFill>
        </w:rPr>
        <w:t>设备管理与安全运行经验。其下辖多个集装箱码头，长期开展</w:t>
      </w:r>
      <w:r>
        <w:rPr>
          <w:rFonts w:hint="eastAsia" w:ascii="Times New Roman" w:eastAsiaTheme="majorEastAsia"/>
          <w:sz w:val="28"/>
          <w:szCs w:val="28"/>
          <w:lang w:val="en-US" w:eastAsia="zh-CN"/>
        </w:rPr>
        <w:t>岸边集装箱起重机防风</w:t>
      </w:r>
      <w:r>
        <w:rPr>
          <w:rFonts w:hint="eastAsia" w:ascii="Times New Roman" w:hAnsi="Times New Roman" w:cs="Times New Roman"/>
          <w:color w:val="000000" w:themeColor="text1"/>
          <w:sz w:val="28"/>
          <w:szCs w:val="28"/>
          <w:lang w:eastAsia="zh-CN"/>
          <w14:textFill>
            <w14:solidFill>
              <w14:schemeClr w14:val="tx1"/>
            </w14:solidFill>
          </w14:textFill>
        </w:rPr>
        <w:t>装置的选型、安装、调试与运维工作，积累了大量的现场应用数据和实践案例，能够准确提炼出符合实际作业需求的技术指标。</w:t>
      </w:r>
    </w:p>
    <w:p w14:paraId="0839B962">
      <w:pPr>
        <w:spacing w:line="360" w:lineRule="auto"/>
        <w:ind w:firstLine="560" w:firstLineChars="200"/>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天津港第二集装箱码头有限公司是全球首个“智慧零碳”码头的运营单位，在自动化、智慧化港口建设方面走在前列。该公司在自动化岸桥的远程操控、传感器融合、系统集成等方面拥有前沿实践，为本标准中</w:t>
      </w:r>
      <w:r>
        <w:rPr>
          <w:rFonts w:hint="eastAsia" w:ascii="Times New Roman" w:hAnsi="Times New Roman" w:cs="Times New Roman"/>
          <w:color w:val="000000" w:themeColor="text1"/>
          <w:sz w:val="28"/>
          <w:szCs w:val="28"/>
          <w:lang w:val="en-US" w:eastAsia="zh-CN"/>
          <w14:textFill>
            <w14:solidFill>
              <w14:schemeClr w14:val="tx1"/>
            </w14:solidFill>
          </w14:textFill>
        </w:rPr>
        <w:t>防倾覆装置</w:t>
      </w:r>
      <w:r>
        <w:rPr>
          <w:rFonts w:hint="eastAsia" w:ascii="Times New Roman" w:hAnsi="Times New Roman" w:cs="Times New Roman"/>
          <w:color w:val="000000" w:themeColor="text1"/>
          <w:sz w:val="28"/>
          <w:szCs w:val="28"/>
          <w:lang w:eastAsia="zh-CN"/>
          <w14:textFill>
            <w14:solidFill>
              <w14:schemeClr w14:val="tx1"/>
            </w14:solidFill>
          </w14:textFill>
        </w:rPr>
        <w:t>的冗余配置、</w:t>
      </w:r>
      <w:r>
        <w:rPr>
          <w:rFonts w:hint="eastAsia" w:ascii="Times New Roman" w:hAnsi="Times New Roman" w:cs="Times New Roman"/>
          <w:color w:val="000000" w:themeColor="text1"/>
          <w:sz w:val="28"/>
          <w:szCs w:val="28"/>
          <w:lang w:val="en-US" w:eastAsia="zh-CN"/>
          <w14:textFill>
            <w14:solidFill>
              <w14:schemeClr w14:val="tx1"/>
            </w14:solidFill>
          </w14:textFill>
        </w:rPr>
        <w:t>一键操作</w:t>
      </w:r>
      <w:r>
        <w:rPr>
          <w:rFonts w:hint="eastAsia" w:ascii="Times New Roman" w:hAnsi="Times New Roman" w:cs="Times New Roman"/>
          <w:color w:val="000000" w:themeColor="text1"/>
          <w:sz w:val="28"/>
          <w:szCs w:val="28"/>
          <w:lang w:eastAsia="zh-CN"/>
          <w14:textFill>
            <w14:solidFill>
              <w14:schemeClr w14:val="tx1"/>
            </w14:solidFill>
          </w14:textFill>
        </w:rPr>
        <w:t>等先进条款的制定提供了宝贵的创新经验。</w:t>
      </w:r>
    </w:p>
    <w:p w14:paraId="001E6A62">
      <w:pPr>
        <w:spacing w:line="360" w:lineRule="auto"/>
        <w:ind w:firstLine="560" w:firstLineChars="200"/>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辽港控股（营口）有限公司集装箱码头分公司位于我国北方重要沿海港口，其作业环境具有冬季低温、盐雾腐蚀等典型特征。该公司在极端工况下保障设备稳定运行、</w:t>
      </w:r>
      <w:r>
        <w:rPr>
          <w:rFonts w:hint="eastAsia" w:ascii="Times New Roman" w:hAnsi="Times New Roman" w:cs="Times New Roman"/>
          <w:color w:val="000000" w:themeColor="text1"/>
          <w:sz w:val="28"/>
          <w:szCs w:val="28"/>
          <w:lang w:val="en-US" w:eastAsia="zh-CN"/>
          <w14:textFill>
            <w14:solidFill>
              <w14:schemeClr w14:val="tx1"/>
            </w14:solidFill>
          </w14:textFill>
        </w:rPr>
        <w:t>防风</w:t>
      </w:r>
      <w:r>
        <w:rPr>
          <w:rFonts w:hint="eastAsia" w:ascii="Times New Roman" w:hAnsi="Times New Roman" w:cs="Times New Roman"/>
          <w:color w:val="000000" w:themeColor="text1"/>
          <w:sz w:val="28"/>
          <w:szCs w:val="28"/>
          <w:lang w:eastAsia="zh-CN"/>
          <w14:textFill>
            <w14:solidFill>
              <w14:schemeClr w14:val="tx1"/>
            </w14:solidFill>
          </w14:textFill>
        </w:rPr>
        <w:t>装置的环境适应性改造等方面积累了成熟经验，为本标准中关于适用温度、防护等级、防腐措施等条款的设定提供了重要依据。</w:t>
      </w:r>
    </w:p>
    <w:p w14:paraId="7629F5A8">
      <w:pPr>
        <w:spacing w:line="360" w:lineRule="auto"/>
        <w:ind w:firstLine="560" w:firstLineChars="200"/>
        <w:rPr>
          <w:rFonts w:hint="default" w:ascii="Times New Roman" w:hAnsi="Times New Roman" w:cs="Times New Roman" w:eastAsiaTheme="minorEastAsia"/>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宁波舟山港股份有限公司、盐田国际集装箱码头有限公司</w:t>
      </w:r>
      <w:r>
        <w:rPr>
          <w:rFonts w:hint="eastAsia" w:ascii="Times New Roman" w:hAnsi="Times New Roman" w:cs="Times New Roman"/>
          <w:color w:val="000000" w:themeColor="text1"/>
          <w:sz w:val="28"/>
          <w:szCs w:val="28"/>
          <w:lang w:val="en-US" w:eastAsia="zh-CN"/>
          <w14:textFill>
            <w14:solidFill>
              <w14:schemeClr w14:val="tx1"/>
            </w14:solidFill>
          </w14:textFill>
        </w:rPr>
        <w:t>位于我国南方重要沿海港口，其地理位置会受到台风等极端天气影响。公司在极端天气影响下，防风装置的选型、环境适应性改造等方面积累了成熟经验，为本标准中关于防风装置的配置等条款设定提供了重要依据。</w:t>
      </w:r>
    </w:p>
    <w:p w14:paraId="1E378DB9">
      <w:pPr>
        <w:spacing w:line="360" w:lineRule="auto"/>
        <w:ind w:firstLine="560" w:firstLineChars="200"/>
        <w:rPr>
          <w:rFonts w:hint="default" w:ascii="Times New Roman" w:hAnsi="Times New Roman" w:cs="Times New Roman" w:eastAsiaTheme="minorEastAsia"/>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上海振华重工（集团）股份有限公司</w:t>
      </w:r>
      <w:r>
        <w:rPr>
          <w:rFonts w:hint="eastAsia" w:ascii="Times New Roman" w:hAnsi="Times New Roman" w:cs="Times New Roman"/>
          <w:color w:val="000000" w:themeColor="text1"/>
          <w:sz w:val="28"/>
          <w:szCs w:val="28"/>
          <w:lang w:val="en-US" w:eastAsia="zh-CN"/>
          <w14:textFill>
            <w14:solidFill>
              <w14:schemeClr w14:val="tx1"/>
            </w14:solidFill>
          </w14:textFill>
        </w:rPr>
        <w:t>是岸边集装箱起重机重要生产商，其在防风装置的设置上具有丰富的经验，为本标准中关于防风装置的配置、技术要求等条款设定提供了重要依据。</w:t>
      </w:r>
    </w:p>
    <w:p w14:paraId="00D1B586">
      <w:pPr>
        <w:spacing w:line="360" w:lineRule="auto"/>
        <w:ind w:firstLine="560" w:firstLineChars="200"/>
        <w:rPr>
          <w:rFonts w:hint="default"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综上，</w:t>
      </w:r>
      <w:r>
        <w:rPr>
          <w:rFonts w:hint="eastAsia" w:ascii="Times New Roman" w:hAnsi="Times New Roman" w:cs="Times New Roman"/>
          <w:color w:val="000000" w:themeColor="text1"/>
          <w:sz w:val="28"/>
          <w:szCs w:val="28"/>
          <w:lang w:val="en-US" w:eastAsia="zh-CN"/>
          <w14:textFill>
            <w14:solidFill>
              <w14:schemeClr w14:val="tx1"/>
            </w14:solidFill>
          </w14:textFill>
        </w:rPr>
        <w:t>七</w:t>
      </w:r>
      <w:r>
        <w:rPr>
          <w:rFonts w:hint="eastAsia" w:ascii="Times New Roman" w:hAnsi="Times New Roman" w:cs="Times New Roman"/>
          <w:color w:val="000000" w:themeColor="text1"/>
          <w:sz w:val="28"/>
          <w:szCs w:val="28"/>
          <w:lang w:eastAsia="zh-CN"/>
          <w14:textFill>
            <w14:solidFill>
              <w14:schemeClr w14:val="tx1"/>
            </w14:solidFill>
          </w14:textFill>
        </w:rPr>
        <w:t>家单位分别从科研引领、规模化运营、智慧化创新、环境适应性保障等维度形成了优势互补，共同为本标准的科学性、先进性与实用性提供了全方位支撑。</w:t>
      </w:r>
    </w:p>
    <w:p w14:paraId="657F71E8">
      <w:pPr>
        <w:jc w:val="left"/>
        <w:outlineLvl w:val="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二</w:t>
      </w:r>
      <w:r>
        <w:rPr>
          <w:rFonts w:ascii="Times New Roman" w:hAnsi="Times New Roman" w:eastAsia="宋体" w:cs="Times New Roman"/>
          <w:b/>
          <w:color w:val="000000" w:themeColor="text1"/>
          <w:sz w:val="28"/>
          <w:szCs w:val="28"/>
          <w14:textFill>
            <w14:solidFill>
              <w14:schemeClr w14:val="tx1"/>
            </w14:solidFill>
          </w14:textFill>
        </w:rPr>
        <w:t>、标准编制原则和主要内容</w:t>
      </w:r>
    </w:p>
    <w:p w14:paraId="6541B2B0">
      <w:pPr>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（一）标准编制原则</w:t>
      </w:r>
    </w:p>
    <w:p w14:paraId="2470E8E0">
      <w:pPr>
        <w:ind w:firstLine="562" w:firstLineChars="200"/>
        <w:rPr>
          <w:rFonts w:ascii="Times New Roman" w:hAnsi="Times New Roman" w:eastAsia="宋体" w:cs="Times New Roman"/>
          <w:b/>
          <w:bCs/>
          <w:color w:val="000000" w:themeColor="text1"/>
          <w:sz w:val="28"/>
          <w:szCs w:val="28"/>
          <w14:textFill>
            <w14:solidFill>
              <w14:schemeClr w14:val="tx1"/>
            </w14:solidFill>
          </w14:textFill>
        </w:rPr>
      </w:pPr>
      <w:r>
        <w:rPr>
          <w:rFonts w:ascii="Times New Roman" w:hAnsi="Times New Roman" w:eastAsia="宋体" w:cs="Times New Roman"/>
          <w:b/>
          <w:bCs/>
          <w:color w:val="000000" w:themeColor="text1"/>
          <w:sz w:val="28"/>
          <w:szCs w:val="28"/>
          <w14:textFill>
            <w14:solidFill>
              <w14:schemeClr w14:val="tx1"/>
            </w14:solidFill>
          </w14:textFill>
        </w:rPr>
        <w:t>1、规范性原则</w:t>
      </w:r>
    </w:p>
    <w:p w14:paraId="1AA2922C">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标准编制按照GB/T1.1-2020《标准化工作导则第1部分：标准化文件的结构和起草规则》，使该标准更加规范。</w:t>
      </w:r>
    </w:p>
    <w:p w14:paraId="69CE6FAF">
      <w:pPr>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2</w:t>
      </w:r>
      <w:r>
        <w:rPr>
          <w:rFonts w:ascii="Times New Roman" w:hAnsi="Times New Roman" w:eastAsia="宋体" w:cs="Times New Roman"/>
          <w:b/>
          <w:color w:val="000000" w:themeColor="text1"/>
          <w:sz w:val="28"/>
          <w:szCs w:val="28"/>
          <w14:textFill>
            <w14:solidFill>
              <w14:schemeClr w14:val="tx1"/>
            </w14:solidFill>
          </w14:textFill>
        </w:rPr>
        <w:t>、一致性原则</w:t>
      </w:r>
    </w:p>
    <w:p w14:paraId="6682F3F4">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本标准与《中华人民共和国标准化法》、《中华人民共和国安全生产法》、</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中华人民共和国</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特种设备安全法</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3811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起重机设计规范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4208</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外壳防护等级</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IP代码</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15361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岸边集装箱起重机</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21920</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岸边集装箱起重机安全规程</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25070</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信息系统等级保护安全设计技术要求</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JT/T 90</w:t>
      </w:r>
      <w:bookmarkStart w:id="2" w:name="OLE_LINK2"/>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港口装卸机械风载荷计算及防风安全要求</w:t>
      </w:r>
      <w:bookmarkEnd w:id="2"/>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JT/T 1485.1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自动化集装箱起重机远程操控安全作业规程 第1部分：岸边集装箱起重机</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等标准规范的要求保持一致。</w:t>
      </w:r>
    </w:p>
    <w:p w14:paraId="133C8A42">
      <w:pPr>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3</w:t>
      </w:r>
      <w:r>
        <w:rPr>
          <w:rFonts w:ascii="Times New Roman" w:hAnsi="Times New Roman" w:eastAsia="宋体" w:cs="Times New Roman"/>
          <w:b/>
          <w:color w:val="000000" w:themeColor="text1"/>
          <w:sz w:val="28"/>
          <w:szCs w:val="28"/>
          <w14:textFill>
            <w14:solidFill>
              <w14:schemeClr w14:val="tx1"/>
            </w14:solidFill>
          </w14:textFill>
        </w:rPr>
        <w:t>、适用性原则</w:t>
      </w:r>
    </w:p>
    <w:p w14:paraId="1490BDE0">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本标准在广泛调研的基础上，遵循</w:t>
      </w:r>
      <w:r>
        <w:rPr>
          <w:rFonts w:hint="eastAsia" w:ascii="Times New Roman" w:eastAsiaTheme="majorEastAsia"/>
          <w:sz w:val="28"/>
          <w:szCs w:val="28"/>
          <w:lang w:val="en-US" w:eastAsia="zh-CN"/>
        </w:rPr>
        <w:t>岸边集装箱起重机防风装置</w:t>
      </w:r>
      <w:r>
        <w:rPr>
          <w:rFonts w:hint="eastAsia" w:ascii="Times New Roman" w:hAnsi="Times New Roman" w:eastAsia="宋体" w:cs="Times New Roman"/>
          <w:color w:val="000000" w:themeColor="text1"/>
          <w:sz w:val="28"/>
          <w:szCs w:val="28"/>
          <w14:textFill>
            <w14:solidFill>
              <w14:schemeClr w14:val="tx1"/>
            </w14:solidFill>
          </w14:textFill>
        </w:rPr>
        <w:t>技术</w:t>
      </w:r>
      <w:r>
        <w:rPr>
          <w:rFonts w:ascii="Times New Roman" w:hAnsi="Times New Roman" w:eastAsia="宋体" w:cs="Times New Roman"/>
          <w:color w:val="000000" w:themeColor="text1"/>
          <w:sz w:val="28"/>
          <w:szCs w:val="28"/>
          <w14:textFill>
            <w14:solidFill>
              <w14:schemeClr w14:val="tx1"/>
            </w14:solidFill>
          </w14:textFill>
        </w:rPr>
        <w:t>实践</w:t>
      </w:r>
      <w:r>
        <w:rPr>
          <w:rFonts w:hint="eastAsia" w:ascii="Times New Roman" w:hAnsi="Times New Roman" w:eastAsia="宋体" w:cs="Times New Roman"/>
          <w:color w:val="000000" w:themeColor="text1"/>
          <w:sz w:val="28"/>
          <w:szCs w:val="28"/>
          <w14:textFill>
            <w14:solidFill>
              <w14:schemeClr w14:val="tx1"/>
            </w14:solidFill>
          </w14:textFill>
        </w:rPr>
        <w:t>要求</w:t>
      </w:r>
      <w:r>
        <w:rPr>
          <w:rFonts w:ascii="Times New Roman" w:hAnsi="Times New Roman" w:eastAsia="宋体" w:cs="Times New Roman"/>
          <w:color w:val="000000" w:themeColor="text1"/>
          <w:sz w:val="28"/>
          <w:szCs w:val="28"/>
          <w14:textFill>
            <w14:solidFill>
              <w14:schemeClr w14:val="tx1"/>
            </w14:solidFill>
          </w14:textFill>
        </w:rPr>
        <w:t>，强化、规范</w:t>
      </w:r>
      <w:bookmarkStart w:id="3" w:name="_Hlk209633984"/>
      <w:r>
        <w:rPr>
          <w:rFonts w:hint="eastAsia" w:ascii="Times New Roman" w:eastAsiaTheme="majorEastAsia"/>
          <w:sz w:val="28"/>
          <w:szCs w:val="28"/>
          <w:lang w:val="en-US" w:eastAsia="zh-CN"/>
        </w:rPr>
        <w:t>岸边集装箱起重机防风装置</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分类</w:t>
      </w:r>
      <w:r>
        <w:rPr>
          <w:rFonts w:hint="eastAsia" w:ascii="Times New Roman" w:hAnsi="Times New Roman" w:eastAsia="宋体" w:cs="Times New Roman"/>
          <w:color w:val="000000" w:themeColor="text1"/>
          <w:sz w:val="28"/>
          <w:szCs w:val="28"/>
          <w14:textFill>
            <w14:solidFill>
              <w14:schemeClr w14:val="tx1"/>
            </w14:solidFill>
          </w14:textFill>
        </w:rPr>
        <w:t>、</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一般要求、技术要求等</w:t>
      </w:r>
      <w:bookmarkEnd w:id="3"/>
      <w:r>
        <w:rPr>
          <w:rFonts w:hint="eastAsia" w:ascii="Times New Roman" w:hAnsi="Times New Roman" w:eastAsia="宋体" w:cs="Times New Roman"/>
          <w:color w:val="000000" w:themeColor="text1"/>
          <w:sz w:val="28"/>
          <w:szCs w:val="28"/>
          <w14:textFill>
            <w14:solidFill>
              <w14:schemeClr w14:val="tx1"/>
            </w14:solidFill>
          </w14:textFill>
        </w:rPr>
        <w:t>，有</w:t>
      </w:r>
      <w:r>
        <w:rPr>
          <w:rFonts w:ascii="Times New Roman" w:hAnsi="Times New Roman" w:eastAsia="宋体" w:cs="Times New Roman"/>
          <w:color w:val="000000" w:themeColor="text1"/>
          <w:sz w:val="28"/>
          <w:szCs w:val="28"/>
          <w14:textFill>
            <w14:solidFill>
              <w14:schemeClr w14:val="tx1"/>
            </w14:solidFill>
          </w14:textFill>
        </w:rPr>
        <w:t>助于</w:t>
      </w:r>
      <w:r>
        <w:rPr>
          <w:rFonts w:hint="eastAsia" w:ascii="Times New Roman" w:hAnsi="Times New Roman" w:eastAsia="宋体" w:cs="Times New Roman"/>
          <w:color w:val="000000" w:themeColor="text1"/>
          <w:sz w:val="28"/>
          <w:szCs w:val="28"/>
          <w14:textFill>
            <w14:solidFill>
              <w14:schemeClr w14:val="tx1"/>
            </w14:solidFill>
          </w14:textFill>
        </w:rPr>
        <w:t>保障港口企业</w:t>
      </w:r>
      <w:r>
        <w:rPr>
          <w:rFonts w:hint="eastAsia" w:ascii="Times New Roman" w:eastAsiaTheme="majorEastAsia"/>
          <w:sz w:val="28"/>
          <w:szCs w:val="28"/>
          <w:lang w:val="en-US" w:eastAsia="zh-CN"/>
        </w:rPr>
        <w:t>岸边集装箱起重机</w:t>
      </w:r>
      <w:r>
        <w:rPr>
          <w:rFonts w:hint="eastAsia" w:ascii="Times New Roman" w:hAnsi="Times New Roman" w:eastAsia="宋体" w:cs="Times New Roman"/>
          <w:color w:val="000000" w:themeColor="text1"/>
          <w:sz w:val="28"/>
          <w:szCs w:val="28"/>
          <w14:textFill>
            <w14:solidFill>
              <w14:schemeClr w14:val="tx1"/>
            </w14:solidFill>
          </w14:textFill>
        </w:rPr>
        <w:t>安全运行</w:t>
      </w:r>
      <w:r>
        <w:rPr>
          <w:rFonts w:ascii="Times New Roman" w:hAnsi="Times New Roman" w:eastAsia="宋体" w:cs="Times New Roman"/>
          <w:color w:val="000000" w:themeColor="text1"/>
          <w:sz w:val="28"/>
          <w:szCs w:val="28"/>
          <w14:textFill>
            <w14:solidFill>
              <w14:schemeClr w14:val="tx1"/>
            </w14:solidFill>
          </w14:textFill>
        </w:rPr>
        <w:t>。</w:t>
      </w:r>
    </w:p>
    <w:p w14:paraId="0FD1012F">
      <w:pPr>
        <w:ind w:firstLine="551" w:firstLineChars="196"/>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（二）主要内容</w:t>
      </w:r>
    </w:p>
    <w:p w14:paraId="60273480">
      <w:pPr>
        <w:ind w:firstLine="560" w:firstLineChars="200"/>
        <w:jc w:val="left"/>
        <w:rPr>
          <w:rFonts w:ascii="Times New Roman" w:hAnsi="Times New Roman"/>
          <w:bCs/>
          <w:sz w:val="28"/>
        </w:rPr>
      </w:pPr>
      <w:r>
        <w:rPr>
          <w:rFonts w:ascii="Times New Roman" w:hAnsi="Times New Roman" w:eastAsia="宋体" w:cs="Times New Roman"/>
          <w:color w:val="000000" w:themeColor="text1"/>
          <w:sz w:val="28"/>
          <w:szCs w:val="28"/>
          <w14:textFill>
            <w14:solidFill>
              <w14:schemeClr w14:val="tx1"/>
            </w14:solidFill>
          </w14:textFill>
        </w:rPr>
        <w:t>本标准</w:t>
      </w:r>
      <w:r>
        <w:rPr>
          <w:rFonts w:hint="eastAsia" w:ascii="Times New Roman" w:hAnsi="Times New Roman" w:eastAsia="宋体" w:cs="Times New Roman"/>
          <w:color w:val="000000" w:themeColor="text1"/>
          <w:sz w:val="28"/>
          <w:szCs w:val="28"/>
          <w14:textFill>
            <w14:solidFill>
              <w14:schemeClr w14:val="tx1"/>
            </w14:solidFill>
          </w14:textFill>
        </w:rPr>
        <w:t>主要内容包括</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三</w:t>
      </w:r>
      <w:r>
        <w:rPr>
          <w:rFonts w:hint="eastAsia" w:ascii="Times New Roman" w:hAnsi="Times New Roman" w:eastAsia="宋体" w:cs="Times New Roman"/>
          <w:color w:val="000000" w:themeColor="text1"/>
          <w:sz w:val="28"/>
          <w:szCs w:val="28"/>
          <w14:textFill>
            <w14:solidFill>
              <w14:schemeClr w14:val="tx1"/>
            </w14:solidFill>
          </w14:textFill>
        </w:rPr>
        <w:t>个方面：</w:t>
      </w:r>
      <w:r>
        <w:rPr>
          <w:rFonts w:hint="eastAsia" w:ascii="Times New Roman" w:hAnsi="Times New Roman" w:eastAsia="宋体" w:cs="Times New Roman"/>
          <w:b/>
          <w:color w:val="000000" w:themeColor="text1"/>
          <w:sz w:val="28"/>
          <w:szCs w:val="28"/>
          <w14:textFill>
            <w14:solidFill>
              <w14:schemeClr w14:val="tx1"/>
            </w14:solidFill>
          </w14:textFill>
        </w:rPr>
        <w:t>一是</w:t>
      </w:r>
      <w:r>
        <w:rPr>
          <w:rFonts w:hint="eastAsia" w:ascii="Times New Roman" w:eastAsiaTheme="majorEastAsia"/>
          <w:sz w:val="28"/>
          <w:szCs w:val="28"/>
          <w:lang w:val="en-US" w:eastAsia="zh-CN"/>
        </w:rPr>
        <w:t>岸边集装箱起重机防风装置分类</w:t>
      </w:r>
      <w:r>
        <w:rPr>
          <w:rFonts w:hint="eastAsia" w:ascii="Times New Roman"/>
          <w:bCs/>
          <w:sz w:val="28"/>
        </w:rPr>
        <w:t>；</w:t>
      </w:r>
      <w:r>
        <w:rPr>
          <w:rFonts w:hint="eastAsia" w:ascii="Times New Roman" w:hAnsi="Times New Roman" w:eastAsia="宋体" w:cs="Times New Roman"/>
          <w:b/>
          <w:color w:val="000000" w:themeColor="text1"/>
          <w:sz w:val="28"/>
          <w:szCs w:val="28"/>
          <w14:textFill>
            <w14:solidFill>
              <w14:schemeClr w14:val="tx1"/>
            </w14:solidFill>
          </w14:textFill>
        </w:rPr>
        <w:t>二是</w:t>
      </w:r>
      <w:r>
        <w:rPr>
          <w:rFonts w:hint="eastAsia" w:ascii="Times New Roman" w:eastAsiaTheme="majorEastAsia"/>
          <w:sz w:val="28"/>
          <w:szCs w:val="28"/>
          <w:lang w:val="en-US" w:eastAsia="zh-CN"/>
        </w:rPr>
        <w:t>岸边集装箱起重机</w:t>
      </w:r>
      <w:bookmarkStart w:id="4" w:name="_GoBack"/>
      <w:bookmarkEnd w:id="4"/>
      <w:r>
        <w:rPr>
          <w:rFonts w:hint="eastAsia" w:ascii="Times New Roman" w:eastAsiaTheme="majorEastAsia"/>
          <w:sz w:val="28"/>
          <w:szCs w:val="28"/>
          <w:lang w:val="en-US" w:eastAsia="zh-CN"/>
        </w:rPr>
        <w:t>防风装置一般</w:t>
      </w:r>
      <w:r>
        <w:rPr>
          <w:rFonts w:hint="eastAsia" w:ascii="Times New Roman"/>
          <w:bCs/>
          <w:sz w:val="28"/>
        </w:rPr>
        <w:t>要求；</w:t>
      </w:r>
      <w:r>
        <w:rPr>
          <w:rFonts w:hint="eastAsia" w:ascii="Times New Roman"/>
          <w:b/>
          <w:bCs w:val="0"/>
          <w:sz w:val="28"/>
        </w:rPr>
        <w:t>三是</w:t>
      </w:r>
      <w:r>
        <w:rPr>
          <w:rFonts w:hint="eastAsia" w:ascii="Times New Roman" w:eastAsiaTheme="majorEastAsia"/>
          <w:sz w:val="28"/>
          <w:szCs w:val="28"/>
          <w:lang w:val="en-US" w:eastAsia="zh-CN"/>
        </w:rPr>
        <w:t>岸边集装箱起重机防风装置技术要求</w:t>
      </w:r>
      <w:r>
        <w:rPr>
          <w:rFonts w:hint="eastAsia" w:ascii="Times New Roman"/>
          <w:bCs/>
          <w:sz w:val="28"/>
        </w:rPr>
        <w:t>。</w:t>
      </w:r>
    </w:p>
    <w:p w14:paraId="5B15F6D4">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1、标准的适用范围</w:t>
      </w:r>
    </w:p>
    <w:p w14:paraId="7991D984">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本文件规定了</w:t>
      </w:r>
      <w:r>
        <w:rPr>
          <w:rFonts w:hint="eastAsia" w:ascii="Times New Roman" w:eastAsiaTheme="majorEastAsia"/>
          <w:sz w:val="28"/>
          <w:szCs w:val="28"/>
          <w:lang w:val="en-US" w:eastAsia="zh-CN"/>
        </w:rPr>
        <w:t>岸边集装箱起重机防风装置的分类、一般要求和技术要求</w:t>
      </w:r>
      <w:r>
        <w:rPr>
          <w:rFonts w:hint="eastAsia" w:ascii="Times New Roman" w:hAnsi="Times New Roman" w:eastAsia="宋体" w:cs="Times New Roman"/>
          <w:color w:val="000000" w:themeColor="text1"/>
          <w:sz w:val="28"/>
          <w:szCs w:val="28"/>
          <w14:textFill>
            <w14:solidFill>
              <w14:schemeClr w14:val="tx1"/>
            </w14:solidFill>
          </w14:textFill>
        </w:rPr>
        <w:t>。</w:t>
      </w:r>
    </w:p>
    <w:p w14:paraId="1D420587">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本文件适用于</w:t>
      </w:r>
      <w:r>
        <w:rPr>
          <w:rFonts w:hint="eastAsia" w:ascii="Times New Roman" w:eastAsiaTheme="majorEastAsia"/>
          <w:sz w:val="28"/>
          <w:szCs w:val="28"/>
          <w:lang w:val="en-US" w:eastAsia="zh-CN"/>
        </w:rPr>
        <w:t>岸边集装箱起重机防风装置的选择和使用</w:t>
      </w:r>
      <w:r>
        <w:rPr>
          <w:rFonts w:hint="eastAsia" w:ascii="Times New Roman" w:hAnsi="Times New Roman" w:eastAsia="宋体" w:cs="Times New Roman"/>
          <w:color w:val="000000" w:themeColor="text1"/>
          <w:sz w:val="28"/>
          <w:szCs w:val="28"/>
          <w14:textFill>
            <w14:solidFill>
              <w14:schemeClr w14:val="tx1"/>
            </w14:solidFill>
          </w14:textFill>
        </w:rPr>
        <w:t>。</w:t>
      </w:r>
    </w:p>
    <w:p w14:paraId="6BAFADC2">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2、规范性引用文件</w:t>
      </w:r>
    </w:p>
    <w:p w14:paraId="4DA9EA41">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本部分基于本标准中所阐述和规范的内容，对所引用的标准、规范等内容和引用原则进行了描述。</w:t>
      </w:r>
    </w:p>
    <w:p w14:paraId="0A8CA658">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3、术语和定义</w:t>
      </w:r>
    </w:p>
    <w:p w14:paraId="3CBDCD80">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本标准界定了</w:t>
      </w:r>
      <w:r>
        <w:rPr>
          <w:rFonts w:hint="eastAsia" w:ascii="Times New Roman" w:eastAsiaTheme="majorEastAsia"/>
          <w:sz w:val="28"/>
          <w:szCs w:val="28"/>
          <w:lang w:val="en-US" w:eastAsia="zh-CN"/>
        </w:rPr>
        <w:t>岸边集装箱起重机防风装置的</w:t>
      </w:r>
      <w:r>
        <w:rPr>
          <w:rFonts w:hint="eastAsia" w:ascii="Times New Roman" w:hAnsi="Times New Roman" w:eastAsia="宋体" w:cs="Times New Roman"/>
          <w:color w:val="000000" w:themeColor="text1"/>
          <w:sz w:val="28"/>
          <w:szCs w:val="28"/>
          <w14:textFill>
            <w14:solidFill>
              <w14:schemeClr w14:val="tx1"/>
            </w14:solidFill>
          </w14:textFill>
        </w:rPr>
        <w:t>术语和定义。通过明确相关名词术语减少歧义，使标准更容易理解和执行。</w:t>
      </w:r>
    </w:p>
    <w:p w14:paraId="04B0BDBF">
      <w:pPr>
        <w:ind w:firstLine="560" w:firstLineChars="200"/>
        <w:jc w:val="left"/>
        <w:rPr>
          <w:rFonts w:hint="default" w:ascii="Times New Roman" w:hAnsi="Times New Roman" w:eastAsia="宋体" w:cs="Times New Roman"/>
          <w:color w:val="000000" w:themeColor="text1"/>
          <w:sz w:val="28"/>
          <w:szCs w:val="28"/>
          <w:lang w:val="en-US"/>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4、</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装置分类</w:t>
      </w:r>
    </w:p>
    <w:p w14:paraId="6C9E27C8">
      <w:pPr>
        <w:ind w:firstLine="560" w:firstLineChars="200"/>
        <w:jc w:val="left"/>
        <w:rPr>
          <w:rFonts w:hint="eastAsia"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本部分解释了</w:t>
      </w:r>
      <w:r>
        <w:rPr>
          <w:rFonts w:hint="eastAsia" w:ascii="Times New Roman" w:eastAsiaTheme="majorEastAsia"/>
          <w:sz w:val="28"/>
          <w:szCs w:val="28"/>
          <w:lang w:val="en-US" w:eastAsia="zh-CN"/>
        </w:rPr>
        <w:t>岸边集装箱起重机（在标准中简称“岸桥”）</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防风</w:t>
      </w:r>
      <w:r>
        <w:rPr>
          <w:rFonts w:hint="eastAsia" w:ascii="Times New Roman" w:hAnsi="Times New Roman" w:eastAsia="宋体" w:cs="Times New Roman"/>
          <w:color w:val="000000" w:themeColor="text1"/>
          <w:sz w:val="28"/>
          <w:szCs w:val="28"/>
          <w14:textFill>
            <w14:solidFill>
              <w14:schemeClr w14:val="tx1"/>
            </w14:solidFill>
          </w14:textFill>
        </w:rPr>
        <w:t>装置</w:t>
      </w:r>
      <w:r>
        <w:rPr>
          <w:rFonts w:hint="eastAsia" w:ascii="Times New Roman" w:hAnsi="Times New Roman" w:eastAsia="宋体" w:cs="Times New Roman"/>
          <w:color w:val="000000" w:themeColor="text1"/>
          <w:sz w:val="28"/>
          <w:szCs w:val="28"/>
          <w:lang w:eastAsia="zh-CN"/>
          <w14:textFill>
            <w14:solidFill>
              <w14:schemeClr w14:val="tx1"/>
            </w14:solidFill>
          </w14:textFill>
        </w:rPr>
        <w:t>的</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类型，主要是</w:t>
      </w:r>
      <w:r>
        <w:rPr>
          <w:rFonts w:hint="eastAsia" w:ascii="Times New Roman" w:hAnsi="Times New Roman" w:eastAsia="宋体" w:cs="Times New Roman"/>
          <w:color w:val="000000" w:themeColor="text1"/>
          <w:sz w:val="28"/>
          <w:szCs w:val="28"/>
          <w14:textFill>
            <w14:solidFill>
              <w14:schemeClr w14:val="tx1"/>
            </w14:solidFill>
          </w14:textFill>
        </w:rPr>
        <w:t>防滑移和防倾覆的防风装置</w:t>
      </w:r>
      <w:r>
        <w:rPr>
          <w:rFonts w:hint="eastAsia" w:ascii="Times New Roman" w:hAnsi="Times New Roman" w:eastAsia="宋体" w:cs="Times New Roman"/>
          <w:color w:val="000000" w:themeColor="text1"/>
          <w:sz w:val="28"/>
          <w:szCs w:val="28"/>
          <w:lang w:eastAsia="zh-CN"/>
          <w14:textFill>
            <w14:solidFill>
              <w14:schemeClr w14:val="tx1"/>
            </w14:solidFill>
          </w14:textFill>
        </w:rPr>
        <w:t>、防风预（警）报装置</w:t>
      </w:r>
      <w:r>
        <w:rPr>
          <w:rFonts w:hint="eastAsia" w:ascii="Times New Roman" w:hAnsi="Times New Roman" w:eastAsia="宋体" w:cs="Times New Roman"/>
          <w:color w:val="000000" w:themeColor="text1"/>
          <w:sz w:val="28"/>
          <w:szCs w:val="28"/>
          <w14:textFill>
            <w14:solidFill>
              <w14:schemeClr w14:val="tx1"/>
            </w14:solidFill>
          </w14:textFill>
        </w:rPr>
        <w:t>。</w:t>
      </w:r>
    </w:p>
    <w:p w14:paraId="0B6BF5DF">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5、</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一般</w:t>
      </w:r>
      <w:r>
        <w:rPr>
          <w:rFonts w:hint="eastAsia" w:ascii="Times New Roman" w:hAnsi="Times New Roman" w:eastAsia="宋体" w:cs="Times New Roman"/>
          <w:color w:val="000000" w:themeColor="text1"/>
          <w:sz w:val="28"/>
          <w:szCs w:val="28"/>
          <w14:textFill>
            <w14:solidFill>
              <w14:schemeClr w14:val="tx1"/>
            </w14:solidFill>
          </w14:textFill>
        </w:rPr>
        <w:t>要求</w:t>
      </w:r>
    </w:p>
    <w:p w14:paraId="47C4294E">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本部分从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安装要求、装置配备、装置功能等方面提出要求</w:t>
      </w:r>
      <w:r>
        <w:rPr>
          <w:rFonts w:hint="eastAsia" w:ascii="Times New Roman" w:hAnsi="Times New Roman" w:eastAsia="宋体" w:cs="Times New Roman"/>
          <w:color w:val="000000" w:themeColor="text1"/>
          <w:sz w:val="28"/>
          <w:szCs w:val="28"/>
          <w14:textFill>
            <w14:solidFill>
              <w14:schemeClr w14:val="tx1"/>
            </w14:solidFill>
          </w14:textFill>
        </w:rPr>
        <w:t>。</w:t>
      </w:r>
    </w:p>
    <w:p w14:paraId="5F034C32">
      <w:pPr>
        <w:ind w:firstLine="560" w:firstLineChars="200"/>
        <w:rPr>
          <w:rFonts w:hint="default"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关于5.</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3</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根据调研结果，目前各港口为保障防滑移装置满足要求，每年至少开展一次拉力测试。</w:t>
      </w:r>
    </w:p>
    <w:p w14:paraId="6A08506C">
      <w:pPr>
        <w:ind w:firstLine="560" w:firstLineChars="200"/>
        <w:rPr>
          <w:rFonts w:hint="eastAsia"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关于5.</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4</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需要通过信号传输操作的防风装置，在信号中断时，应该具备自锁功能，保障安全。</w:t>
      </w:r>
    </w:p>
    <w:p w14:paraId="0497D409">
      <w:pPr>
        <w:ind w:firstLine="560" w:firstLineChars="200"/>
        <w:rPr>
          <w:rFonts w:hint="eastAsia"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关于5.</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5</w:t>
      </w:r>
      <w:r>
        <w:rPr>
          <w:rFonts w:hint="eastAsia" w:ascii="Times New Roman" w:hAnsi="Times New Roman" w:eastAsia="宋体" w:cs="Times New Roman"/>
          <w:color w:val="000000" w:themeColor="text1"/>
          <w:sz w:val="28"/>
          <w:szCs w:val="28"/>
          <w14:textFill>
            <w14:solidFill>
              <w14:schemeClr w14:val="tx1"/>
            </w14:solidFill>
          </w14:textFill>
        </w:rPr>
        <w:t>条</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至5.6条</w:t>
      </w:r>
      <w:r>
        <w:rPr>
          <w:rFonts w:hint="eastAsia" w:ascii="Times New Roman" w:hAnsi="Times New Roman" w:eastAsia="宋体" w:cs="Times New Roman"/>
          <w:color w:val="000000" w:themeColor="text1"/>
          <w:sz w:val="28"/>
          <w:szCs w:val="28"/>
          <w14:textFill>
            <w14:solidFill>
              <w14:schemeClr w14:val="tx1"/>
            </w14:solidFill>
          </w14:textFill>
        </w:rPr>
        <w:t>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对于防风装置的安装、连接明确了具体要求。</w:t>
      </w:r>
    </w:p>
    <w:p w14:paraId="1DC56C74">
      <w:pPr>
        <w:ind w:firstLine="560" w:firstLineChars="200"/>
        <w:rPr>
          <w:rFonts w:hint="default"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关于5.</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7</w:t>
      </w:r>
      <w:r>
        <w:rPr>
          <w:rFonts w:hint="eastAsia" w:ascii="Times New Roman" w:hAnsi="Times New Roman" w:eastAsia="宋体" w:cs="Times New Roman"/>
          <w:color w:val="000000" w:themeColor="text1"/>
          <w:sz w:val="28"/>
          <w:szCs w:val="28"/>
          <w14:textFill>
            <w14:solidFill>
              <w14:schemeClr w14:val="tx1"/>
            </w14:solidFill>
          </w14:textFill>
        </w:rPr>
        <w:t>条</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至5.9条</w:t>
      </w:r>
      <w:r>
        <w:rPr>
          <w:rFonts w:hint="eastAsia" w:ascii="Times New Roman" w:hAnsi="Times New Roman" w:eastAsia="宋体" w:cs="Times New Roman"/>
          <w:color w:val="000000" w:themeColor="text1"/>
          <w:sz w:val="28"/>
          <w:szCs w:val="28"/>
          <w14:textFill>
            <w14:solidFill>
              <w14:schemeClr w14:val="tx1"/>
            </w14:solidFill>
          </w14:textFill>
        </w:rPr>
        <w:t>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对于防风预（警）报装置，明确了其功能要求、信号传输要求和储存要求等。</w:t>
      </w:r>
    </w:p>
    <w:p w14:paraId="4B715F24">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6、</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技术</w:t>
      </w:r>
      <w:r>
        <w:rPr>
          <w:rFonts w:hint="eastAsia" w:ascii="Times New Roman" w:hAnsi="Times New Roman" w:eastAsia="宋体" w:cs="Times New Roman"/>
          <w:color w:val="000000" w:themeColor="text1"/>
          <w:sz w:val="28"/>
          <w:szCs w:val="28"/>
          <w14:textFill>
            <w14:solidFill>
              <w14:schemeClr w14:val="tx1"/>
            </w14:solidFill>
          </w14:textFill>
        </w:rPr>
        <w:t>要求</w:t>
      </w:r>
    </w:p>
    <w:p w14:paraId="575BBEB2">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本部分</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对防滑移装置、防倾覆装置、防风预（警）报装置分别明确了相关的技术</w:t>
      </w:r>
      <w:r>
        <w:rPr>
          <w:rFonts w:hint="eastAsia" w:ascii="Times New Roman" w:hAnsi="Times New Roman" w:eastAsia="宋体" w:cs="Times New Roman"/>
          <w:color w:val="000000" w:themeColor="text1"/>
          <w:sz w:val="28"/>
          <w:szCs w:val="28"/>
          <w14:textFill>
            <w14:solidFill>
              <w14:schemeClr w14:val="tx1"/>
            </w14:solidFill>
          </w14:textFill>
        </w:rPr>
        <w:t>要求。</w:t>
      </w:r>
    </w:p>
    <w:p w14:paraId="3740E4F0">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6.3</w:t>
      </w:r>
      <w:r>
        <w:rPr>
          <w:rFonts w:hint="eastAsia" w:ascii="Times New Roman" w:hAnsi="Times New Roman" w:eastAsia="宋体" w:cs="Times New Roman"/>
          <w:color w:val="000000" w:themeColor="text1"/>
          <w:sz w:val="28"/>
          <w:szCs w:val="28"/>
          <w14:textFill>
            <w14:solidFill>
              <w14:schemeClr w14:val="tx1"/>
            </w14:solidFill>
          </w14:textFill>
        </w:rPr>
        <w:t>条</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至6.4条</w:t>
      </w:r>
      <w:r>
        <w:rPr>
          <w:rFonts w:hint="eastAsia" w:ascii="Times New Roman" w:hAnsi="Times New Roman" w:eastAsia="宋体" w:cs="Times New Roman"/>
          <w:color w:val="000000" w:themeColor="text1"/>
          <w:sz w:val="28"/>
          <w:szCs w:val="28"/>
          <w14:textFill>
            <w14:solidFill>
              <w14:schemeClr w14:val="tx1"/>
            </w14:solidFill>
          </w14:textFill>
        </w:rPr>
        <w:t>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对自动化岸桥防风装置的使用环境条件、外壳防护要求明确了要求。</w:t>
      </w:r>
    </w:p>
    <w:p w14:paraId="6FC85CF1">
      <w:pPr>
        <w:ind w:firstLine="560" w:firstLineChars="200"/>
        <w:rPr>
          <w:rFonts w:hint="eastAsia"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6.6.2</w:t>
      </w:r>
      <w:r>
        <w:rPr>
          <w:rFonts w:hint="eastAsia" w:ascii="Times New Roman" w:hAnsi="Times New Roman" w:eastAsia="宋体" w:cs="Times New Roman"/>
          <w:color w:val="000000" w:themeColor="text1"/>
          <w:sz w:val="28"/>
          <w:szCs w:val="28"/>
          <w14:textFill>
            <w14:solidFill>
              <w14:schemeClr w14:val="tx1"/>
            </w14:solidFill>
          </w14:textFill>
        </w:rPr>
        <w:t>条</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至6.6.3条</w:t>
      </w:r>
      <w:r>
        <w:rPr>
          <w:rFonts w:hint="eastAsia" w:ascii="Times New Roman" w:hAnsi="Times New Roman" w:eastAsia="宋体" w:cs="Times New Roman"/>
          <w:color w:val="000000" w:themeColor="text1"/>
          <w:sz w:val="28"/>
          <w:szCs w:val="28"/>
          <w14:textFill>
            <w14:solidFill>
              <w14:schemeClr w14:val="tx1"/>
            </w14:solidFill>
          </w14:textFill>
        </w:rPr>
        <w:t>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根据调研结果，配备电动锚碇装置的港口，操作完成时间不大于180s，且具备一键锚碇功能。</w:t>
      </w:r>
    </w:p>
    <w:p w14:paraId="2DE726FA">
      <w:pPr>
        <w:ind w:firstLine="560" w:firstLineChars="200"/>
        <w:rPr>
          <w:rFonts w:hint="default"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6.7</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根据调研结果，目前配备电动拉杆的港口，其操作完成时间不大于180s，且具备一键锚碇功能。</w:t>
      </w:r>
    </w:p>
    <w:p w14:paraId="37F366FD">
      <w:pPr>
        <w:ind w:firstLine="560" w:firstLineChars="200"/>
        <w:rPr>
          <w:rFonts w:hint="eastAsia"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6.8.2</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根据调研结果，目前各个港口的风速仪识别精度不低于0.1m/s</w:t>
      </w:r>
      <w:r>
        <w:rPr>
          <w:rFonts w:hint="eastAsia" w:ascii="Times New Roman" w:hAnsi="Times New Roman" w:eastAsia="宋体" w:cs="Times New Roman"/>
          <w:color w:val="000000" w:themeColor="text1"/>
          <w:sz w:val="28"/>
          <w:szCs w:val="28"/>
          <w14:textFill>
            <w14:solidFill>
              <w14:schemeClr w14:val="tx1"/>
            </w14:solidFill>
          </w14:textFill>
        </w:rPr>
        <w:t>。</w:t>
      </w:r>
    </w:p>
    <w:p w14:paraId="0A52412E">
      <w:pPr>
        <w:outlineLvl w:val="0"/>
        <w:rPr>
          <w:rFonts w:ascii="Times New Roman" w:hAnsi="Times New Roman" w:cs="Times New Roman"/>
          <w:b/>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三</w:t>
      </w:r>
      <w:r>
        <w:rPr>
          <w:rFonts w:ascii="Times New Roman" w:hAnsi="Times New Roman" w:cs="Times New Roman"/>
          <w:b/>
          <w:color w:val="000000" w:themeColor="text1"/>
          <w:sz w:val="28"/>
          <w:szCs w:val="28"/>
          <w14:textFill>
            <w14:solidFill>
              <w14:schemeClr w14:val="tx1"/>
            </w14:solidFill>
          </w14:textFill>
        </w:rPr>
        <w:t>、主要试验（或验证）的分析、综述报告，技术经济论证，预期的经济效果</w:t>
      </w:r>
    </w:p>
    <w:p w14:paraId="206210D5">
      <w:pPr>
        <w:widowControl w:val="0"/>
        <w:ind w:leftChars="0" w:firstLine="560" w:firstLineChars="200"/>
        <w:jc w:val="both"/>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t>港口是连接国内外市场的重要枢纽，也是国家经济的重要支撑。我国约95%的对外贸易通过海运完成，港口承担着能源、原材料、集装箱等各类物资的转运任务。随着“一带一路”倡议深入推进和国内国际双循环格局加快形成，港口的战略地位更加突出。在我国集装箱码头规模不断扩大的同时，集装箱码头正加速向自动化、智能化转型。目前，全国已建成和在建的自动化集装箱码头超过50个，自动化码头数量和技术水平均居世界前列。自动化作业对设备可靠性和安全性提出更高要求，任何设备故障或安全事故都可能导致作业中断，造成巨大经济损失。</w:t>
      </w:r>
    </w:p>
    <w:p w14:paraId="1B162BBD">
      <w:pPr>
        <w:widowControl w:val="0"/>
        <w:ind w:leftChars="0" w:firstLine="560" w:firstLineChars="200"/>
        <w:jc w:val="both"/>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t>岸边集装箱起重机是集装箱码头的核心装备，其整机高度普遍超过70米，前伸距达60米以上，自重超千吨，受风面积大、重心高、轮压大，对风载荷极为敏感。因此岸边集装箱起重机的防风安全是码头安全管理的重中之重。一旦发生风灾事故，不仅设备本身损毁，还可能砸坏船舶、损坏码头设施、造成人员伤亡，导致港口长时间瘫痪。</w:t>
      </w:r>
    </w:p>
    <w:p w14:paraId="2D563151">
      <w:pPr>
        <w:widowControl w:val="0"/>
        <w:ind w:leftChars="0" w:firstLine="560" w:firstLineChars="200"/>
        <w:jc w:val="both"/>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t>目前，岸边集装箱起重机防风装置的配置、安装和维护缺乏统一的技术标准，各港口做法不一，存在装置配置不完善、技术参数不统一等问题，制约防风安全保障水平的提升。</w:t>
      </w:r>
    </w:p>
    <w:p w14:paraId="3FF60117">
      <w:pPr>
        <w:widowControl w:val="0"/>
        <w:ind w:leftChars="0" w:firstLine="560" w:firstLineChars="200"/>
        <w:jc w:val="both"/>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t>《岸边集装箱起重机防风装置技术要求》团体标准明确防风装置的分类、响应时间、冗余设计、环境适应性等核心技术指标，为产品的设计、使用提供科学依据，引导行业从“有无”向“优劣”跨越。通过标准化手段强制提升装置的安全冗余和可靠性，系统规范岸边集装箱起重机防风装置的配置和技术要求对于提升码头作业本质安全水平、保障人员与设备安全、确保港口高效平稳运行具有至关重要的意义。</w:t>
      </w:r>
    </w:p>
    <w:p w14:paraId="77AD0268">
      <w:pPr>
        <w:widowControl w:val="0"/>
        <w:ind w:leftChars="0" w:firstLine="560" w:firstLineChars="200"/>
        <w:jc w:val="both"/>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t>综上所述，本标准的制定是应对港口大型装备智能化、安全化发展需求的必要举措，它将通过技术标准化手段，提升大型装备的防风安全能力，对于提升我国港口装备的国际竞争力、护航国民经济大动脉具有显著的经济效益和社会效益。</w:t>
      </w:r>
    </w:p>
    <w:p w14:paraId="7377B19E">
      <w:pPr>
        <w:outlineLvl w:val="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四</w:t>
      </w:r>
      <w:r>
        <w:rPr>
          <w:rFonts w:ascii="Times New Roman" w:hAnsi="Times New Roman" w:eastAsia="宋体" w:cs="Times New Roman"/>
          <w:b/>
          <w:color w:val="000000" w:themeColor="text1"/>
          <w:sz w:val="28"/>
          <w:szCs w:val="28"/>
          <w14:textFill>
            <w14:solidFill>
              <w14:schemeClr w14:val="tx1"/>
            </w14:solidFill>
          </w14:textFill>
        </w:rPr>
        <w:t>、与现行有关法律法规和强制性标准的关系</w:t>
      </w:r>
    </w:p>
    <w:p w14:paraId="4761A5B1">
      <w:pPr>
        <w:ind w:firstLine="560" w:firstLineChars="200"/>
        <w:rPr>
          <w:rFonts w:hint="eastAsia"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本标准</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符合</w:t>
      </w:r>
      <w:r>
        <w:rPr>
          <w:rFonts w:hint="eastAsia" w:ascii="Times New Roman" w:hAnsi="Times New Roman" w:eastAsia="宋体" w:cs="Times New Roman"/>
          <w:color w:val="000000" w:themeColor="text1"/>
          <w:sz w:val="28"/>
          <w:szCs w:val="28"/>
          <w14:textFill>
            <w14:solidFill>
              <w14:schemeClr w14:val="tx1"/>
            </w14:solidFill>
          </w14:textFill>
        </w:rPr>
        <w:t>《中华人民共和国标准化法》、《中华人民共和国安全生产法》、</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中华人民共和国</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特种设备安全法</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等法律法规的要求，与</w:t>
      </w:r>
      <w:r>
        <w:rPr>
          <w:rFonts w:hint="eastAsia" w:ascii="Times New Roman" w:hAnsi="Times New Roman" w:eastAsia="宋体" w:cs="Times New Roman"/>
          <w:color w:val="000000" w:themeColor="text1"/>
          <w:sz w:val="28"/>
          <w:szCs w:val="28"/>
          <w14:textFill>
            <w14:solidFill>
              <w14:schemeClr w14:val="tx1"/>
            </w14:solidFill>
          </w14:textFill>
        </w:rPr>
        <w:t>GB/T 3811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起重机设计规范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15361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岸边集装箱起重机</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p>
    <w:p w14:paraId="4FCF04E7">
      <w:pPr>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GB/T 21920</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岸边集装箱起重机安全规程</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6067.1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起重机械安全规程 第1部分：总则</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4208</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外壳防护等级</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IP代码</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6587</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电子测量仪器通用规范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20118</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钢丝绳通用技术条件</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JT/T 90</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港口装卸机械风载荷计算及防风安全要求</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JT/T 1485.1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自动化集装箱起重机远程操控安全作业规程 第1部分：岸边集装箱起重机</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JTS 310</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港口设施维护技术规范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JGJ82</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钢结构高强度螺栓连接技术规程</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等标准规范的要求保持一致。</w:t>
      </w:r>
    </w:p>
    <w:p w14:paraId="7DA3A4EF">
      <w:pPr>
        <w:jc w:val="left"/>
        <w:outlineLvl w:val="0"/>
        <w:rPr>
          <w:rFonts w:ascii="Times New Roman" w:hAnsi="Times New Roman" w:cs="Times New Roman"/>
          <w:b/>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五</w:t>
      </w:r>
      <w:r>
        <w:rPr>
          <w:rFonts w:ascii="Times New Roman" w:hAnsi="Times New Roman" w:cs="Times New Roman"/>
          <w:b/>
          <w:color w:val="000000" w:themeColor="text1"/>
          <w:sz w:val="28"/>
          <w:szCs w:val="28"/>
          <w14:textFill>
            <w14:solidFill>
              <w14:schemeClr w14:val="tx1"/>
            </w14:solidFill>
          </w14:textFill>
        </w:rPr>
        <w:t>、重大意见分歧的处理结果和依据</w:t>
      </w:r>
    </w:p>
    <w:p w14:paraId="09FB670E">
      <w:pPr>
        <w:ind w:firstLine="560" w:firstLineChars="200"/>
        <w:jc w:val="left"/>
        <w:rPr>
          <w:rFonts w:ascii="Times New Roman" w:hAnsi="Times New Roman" w:eastAsia="仿宋" w:cs="Times New Roman"/>
          <w:color w:val="000000" w:themeColor="text1"/>
          <w:sz w:val="28"/>
          <w:szCs w:val="28"/>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无。</w:t>
      </w:r>
    </w:p>
    <w:p w14:paraId="0CAD2BE0">
      <w:pPr>
        <w:outlineLvl w:val="0"/>
        <w:rPr>
          <w:rFonts w:ascii="Times New Roman" w:hAnsi="Times New Roman" w:cs="Times New Roman"/>
          <w:b/>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六</w:t>
      </w:r>
      <w:r>
        <w:rPr>
          <w:rFonts w:ascii="Times New Roman" w:hAnsi="Times New Roman" w:cs="Times New Roman"/>
          <w:b/>
          <w:color w:val="000000" w:themeColor="text1"/>
          <w:sz w:val="28"/>
          <w:szCs w:val="28"/>
          <w14:textFill>
            <w14:solidFill>
              <w14:schemeClr w14:val="tx1"/>
            </w14:solidFill>
          </w14:textFill>
        </w:rPr>
        <w:t>、标准性质（强制性、推荐性）的建议</w:t>
      </w:r>
    </w:p>
    <w:p w14:paraId="18DD6CD0">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sdt>
        <w:sdtPr>
          <w:rPr>
            <w:rFonts w:ascii="Times New Roman" w:hAnsi="Times New Roman" w:cs="Times New Roman"/>
            <w:color w:val="000000" w:themeColor="text1"/>
            <w:sz w:val="28"/>
            <w:szCs w:val="28"/>
            <w14:textFill>
              <w14:solidFill>
                <w14:schemeClr w14:val="tx1"/>
              </w14:solidFill>
            </w14:textFill>
          </w:rPr>
          <w:tag w:val="NEW_STAND_NAME"/>
          <w:id w:val="595910757"/>
          <w:lock w:val="sdtLocked"/>
          <w:placeholder>
            <w:docPart w:val="{3da9498d-d3b3-4032-9ba0-db52d2383929}"/>
          </w:placeholder>
        </w:sdtPr>
        <w:sdtEndPr>
          <w:rPr>
            <w:rFonts w:ascii="Times New Roman" w:hAnsi="Times New Roman" w:cs="Times New Roman"/>
            <w:color w:val="000000" w:themeColor="text1"/>
            <w:sz w:val="28"/>
            <w:szCs w:val="28"/>
            <w14:textFill>
              <w14:solidFill>
                <w14:schemeClr w14:val="tx1"/>
              </w14:solidFill>
            </w14:textFill>
          </w:rPr>
        </w:sdtEndPr>
        <w:sdtContent>
          <w:sdt>
            <w:sdtPr>
              <w:rPr>
                <w:rFonts w:ascii="Times New Roman" w:hAnsi="Times New Roman" w:cs="Times New Roman"/>
                <w:color w:val="000000" w:themeColor="text1"/>
                <w:sz w:val="28"/>
                <w:szCs w:val="28"/>
                <w14:textFill>
                  <w14:solidFill>
                    <w14:schemeClr w14:val="tx1"/>
                  </w14:solidFill>
                </w14:textFill>
              </w:rPr>
              <w:tag w:val="NEW_STAND_NAME"/>
              <w:id w:val="147458610"/>
              <w:lock w:val="sdtLocked"/>
              <w:placeholder>
                <w:docPart w:val="{03e293bc-91fa-470c-b9e8-ff17c1fe697f}"/>
              </w:placeholder>
            </w:sdtPr>
            <w:sdtEndPr>
              <w:rPr>
                <w:rFonts w:ascii="Times New Roman" w:hAnsi="Times New Roman" w:cs="Times New Roman"/>
                <w:color w:val="000000" w:themeColor="text1"/>
                <w:sz w:val="28"/>
                <w:szCs w:val="28"/>
                <w14:textFill>
                  <w14:solidFill>
                    <w14:schemeClr w14:val="tx1"/>
                  </w14:solidFill>
                </w14:textFill>
              </w:rPr>
            </w:sdtEndPr>
            <w:sdtContent>
              <w:r>
                <w:rPr>
                  <w:rFonts w:hint="eastAsia" w:ascii="Times New Roman" w:hAnsi="Times New Roman" w:cs="Times New Roman"/>
                  <w:color w:val="000000" w:themeColor="text1"/>
                  <w:sz w:val="28"/>
                  <w:szCs w:val="28"/>
                  <w14:textFill>
                    <w14:solidFill>
                      <w14:schemeClr w14:val="tx1"/>
                    </w14:solidFill>
                  </w14:textFill>
                </w:rPr>
                <w:t>岸边集装箱起重机</w:t>
              </w:r>
              <w:r>
                <w:rPr>
                  <w:rFonts w:hint="eastAsia" w:ascii="Times New Roman" w:hAnsi="Times New Roman" w:cs="Times New Roman"/>
                  <w:color w:val="000000" w:themeColor="text1"/>
                  <w:sz w:val="28"/>
                  <w:szCs w:val="28"/>
                  <w:lang w:val="en-US" w:eastAsia="zh-CN"/>
                  <w14:textFill>
                    <w14:solidFill>
                      <w14:schemeClr w14:val="tx1"/>
                    </w14:solidFill>
                  </w14:textFill>
                </w:rPr>
                <w:t>防风</w:t>
              </w:r>
              <w:r>
                <w:rPr>
                  <w:rFonts w:hint="eastAsia" w:ascii="Times New Roman" w:hAnsi="Times New Roman" w:cs="Times New Roman"/>
                  <w:color w:val="000000" w:themeColor="text1"/>
                  <w:sz w:val="28"/>
                  <w:szCs w:val="28"/>
                  <w14:textFill>
                    <w14:solidFill>
                      <w14:schemeClr w14:val="tx1"/>
                    </w14:solidFill>
                  </w14:textFill>
                </w:rPr>
                <w:t>装置技术要求</w:t>
              </w:r>
            </w:sdtContent>
          </w:sdt>
        </w:sdtContent>
      </w:sdt>
      <w:r>
        <w:rPr>
          <w:rFonts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的制定目的是</w:t>
      </w:r>
      <w:r>
        <w:rPr>
          <w:rFonts w:hint="eastAsia" w:ascii="Times New Roman" w:hAnsi="Times New Roman" w:cs="Times New Roman"/>
          <w:color w:val="000000" w:themeColor="text1"/>
          <w:sz w:val="28"/>
          <w:szCs w:val="28"/>
          <w:lang w:val="en-US" w:eastAsia="zh-CN"/>
          <w14:textFill>
            <w14:solidFill>
              <w14:schemeClr w14:val="tx1"/>
            </w14:solidFill>
          </w14:textFill>
        </w:rPr>
        <w:t>为岸边集装箱起重机防风装置的分类和使用提供技术指导，</w:t>
      </w:r>
      <w:r>
        <w:rPr>
          <w:rFonts w:hint="eastAsia" w:ascii="Times New Roman" w:hAnsi="Times New Roman" w:cs="Times New Roman"/>
          <w:color w:val="000000" w:themeColor="text1"/>
          <w:sz w:val="28"/>
          <w:szCs w:val="28"/>
          <w14:textFill>
            <w14:solidFill>
              <w14:schemeClr w14:val="tx1"/>
            </w14:solidFill>
          </w14:textFill>
        </w:rPr>
        <w:t>保障港口企业</w:t>
      </w:r>
      <w:r>
        <w:rPr>
          <w:rFonts w:hint="eastAsia" w:ascii="Times New Roman" w:hAnsi="Times New Roman" w:cs="Times New Roman"/>
          <w:color w:val="000000" w:themeColor="text1"/>
          <w:sz w:val="28"/>
          <w:szCs w:val="28"/>
          <w:lang w:val="en-US" w:eastAsia="zh-CN"/>
          <w14:textFill>
            <w14:solidFill>
              <w14:schemeClr w14:val="tx1"/>
            </w14:solidFill>
          </w14:textFill>
        </w:rPr>
        <w:t>岸边集装箱起重机防风</w:t>
      </w:r>
      <w:r>
        <w:rPr>
          <w:rFonts w:hint="eastAsia" w:ascii="Times New Roman" w:hAnsi="Times New Roman" w:cs="Times New Roman"/>
          <w:color w:val="000000" w:themeColor="text1"/>
          <w:sz w:val="28"/>
          <w:szCs w:val="28"/>
          <w14:textFill>
            <w14:solidFill>
              <w14:schemeClr w14:val="tx1"/>
            </w14:solidFill>
          </w14:textFill>
        </w:rPr>
        <w:t>安全。考虑到各港口</w:t>
      </w:r>
      <w:r>
        <w:rPr>
          <w:rFonts w:hint="eastAsia" w:ascii="Times New Roman" w:hAnsi="Times New Roman" w:cs="Times New Roman"/>
          <w:color w:val="000000" w:themeColor="text1"/>
          <w:sz w:val="28"/>
          <w:szCs w:val="28"/>
          <w:lang w:val="en-US" w:eastAsia="zh-CN"/>
          <w14:textFill>
            <w14:solidFill>
              <w14:schemeClr w14:val="tx1"/>
            </w14:solidFill>
          </w14:textFill>
        </w:rPr>
        <w:t>设备</w:t>
      </w:r>
      <w:r>
        <w:rPr>
          <w:rFonts w:hint="eastAsia" w:ascii="Times New Roman" w:hAnsi="Times New Roman" w:cs="Times New Roman"/>
          <w:color w:val="000000" w:themeColor="text1"/>
          <w:sz w:val="28"/>
          <w:szCs w:val="28"/>
          <w14:textFill>
            <w14:solidFill>
              <w14:schemeClr w14:val="tx1"/>
            </w14:solidFill>
          </w14:textFill>
        </w:rPr>
        <w:t>条件差异和现有系统升级改造的渐进性，建议本标准定义为推荐性标准。</w:t>
      </w:r>
    </w:p>
    <w:p w14:paraId="7226F1C7">
      <w:pPr>
        <w:outlineLvl w:val="0"/>
        <w:rPr>
          <w:rFonts w:ascii="Times New Roman" w:hAnsi="Times New Roman" w:cs="Times New Roman"/>
          <w:b/>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七</w:t>
      </w:r>
      <w:r>
        <w:rPr>
          <w:rFonts w:ascii="Times New Roman" w:hAnsi="Times New Roman" w:cs="Times New Roman"/>
          <w:b/>
          <w:color w:val="000000" w:themeColor="text1"/>
          <w:sz w:val="28"/>
          <w:szCs w:val="28"/>
          <w14:textFill>
            <w14:solidFill>
              <w14:schemeClr w14:val="tx1"/>
            </w14:solidFill>
          </w14:textFill>
        </w:rPr>
        <w:t>、贯彻标准的要求和措施建议</w:t>
      </w:r>
    </w:p>
    <w:p w14:paraId="5B165DB2">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本标准主要规定了</w:t>
      </w:r>
      <w:r>
        <w:rPr>
          <w:rFonts w:hint="eastAsia" w:ascii="Times New Roman" w:hAnsi="Times New Roman" w:cs="Times New Roman"/>
          <w:color w:val="000000" w:themeColor="text1"/>
          <w:sz w:val="28"/>
          <w:szCs w:val="28"/>
          <w:lang w:val="en-US" w:eastAsia="zh-CN"/>
          <w14:textFill>
            <w14:solidFill>
              <w14:schemeClr w14:val="tx1"/>
            </w14:solidFill>
          </w14:textFill>
        </w:rPr>
        <w:t>岸边集装箱起重机防风</w:t>
      </w:r>
      <w:r>
        <w:rPr>
          <w:rFonts w:hint="eastAsia" w:ascii="Times New Roman" w:hAnsi="Times New Roman" w:cs="Times New Roman"/>
          <w:color w:val="000000" w:themeColor="text1"/>
          <w:sz w:val="28"/>
          <w:szCs w:val="28"/>
          <w14:textFill>
            <w14:solidFill>
              <w14:schemeClr w14:val="tx1"/>
            </w14:solidFill>
          </w14:textFill>
        </w:rPr>
        <w:t>装置的技术</w:t>
      </w:r>
      <w:r>
        <w:rPr>
          <w:rFonts w:ascii="Times New Roman" w:hAnsi="Times New Roman" w:cs="Times New Roman"/>
          <w:color w:val="000000" w:themeColor="text1"/>
          <w:sz w:val="28"/>
          <w:szCs w:val="28"/>
          <w14:textFill>
            <w14:solidFill>
              <w14:schemeClr w14:val="tx1"/>
            </w14:solidFill>
          </w14:textFill>
        </w:rPr>
        <w:t>要求。标准发布后，需要进行广泛的宣贯和培训，使</w:t>
      </w:r>
      <w:r>
        <w:rPr>
          <w:rFonts w:hint="eastAsia" w:ascii="Times New Roman" w:hAnsi="Times New Roman" w:cs="Times New Roman"/>
          <w:color w:val="000000" w:themeColor="text1"/>
          <w:sz w:val="28"/>
          <w:szCs w:val="28"/>
          <w14:textFill>
            <w14:solidFill>
              <w14:schemeClr w14:val="tx1"/>
            </w14:solidFill>
          </w14:textFill>
        </w:rPr>
        <w:t>港口企业</w:t>
      </w:r>
      <w:r>
        <w:rPr>
          <w:rFonts w:ascii="Times New Roman" w:hAnsi="Times New Roman" w:cs="Times New Roman"/>
          <w:color w:val="000000" w:themeColor="text1"/>
          <w:sz w:val="28"/>
          <w:szCs w:val="28"/>
          <w14:textFill>
            <w14:solidFill>
              <w14:schemeClr w14:val="tx1"/>
            </w14:solidFill>
          </w14:textFill>
        </w:rPr>
        <w:t>及时掌握新标准，对本标准有正确的、统一的理解，便于本标准的操作、实施，</w:t>
      </w:r>
      <w:r>
        <w:rPr>
          <w:rFonts w:hint="eastAsia" w:ascii="Times New Roman" w:hAnsi="Times New Roman" w:cs="Times New Roman"/>
          <w:color w:val="000000" w:themeColor="text1"/>
          <w:sz w:val="28"/>
          <w:szCs w:val="28"/>
          <w14:textFill>
            <w14:solidFill>
              <w14:schemeClr w14:val="tx1"/>
            </w14:solidFill>
          </w14:textFill>
        </w:rPr>
        <w:t>以</w:t>
      </w:r>
      <w:r>
        <w:rPr>
          <w:rFonts w:ascii="Times New Roman" w:hAnsi="Times New Roman" w:cs="Times New Roman"/>
          <w:color w:val="000000" w:themeColor="text1"/>
          <w:sz w:val="28"/>
          <w:szCs w:val="28"/>
          <w14:textFill>
            <w14:solidFill>
              <w14:schemeClr w14:val="tx1"/>
            </w14:solidFill>
          </w14:textFill>
        </w:rPr>
        <w:t>进一步规范</w:t>
      </w:r>
      <w:r>
        <w:rPr>
          <w:rFonts w:hint="eastAsia" w:ascii="Times New Roman" w:hAnsi="Times New Roman" w:cs="Times New Roman"/>
          <w:color w:val="000000" w:themeColor="text1"/>
          <w:sz w:val="28"/>
          <w:szCs w:val="28"/>
          <w:lang w:val="en-US" w:eastAsia="zh-CN"/>
          <w14:textFill>
            <w14:solidFill>
              <w14:schemeClr w14:val="tx1"/>
            </w14:solidFill>
          </w14:textFill>
        </w:rPr>
        <w:t>岸边集装箱起重机防风</w:t>
      </w:r>
      <w:r>
        <w:rPr>
          <w:rFonts w:hint="eastAsia" w:ascii="Times New Roman" w:hAnsi="Times New Roman" w:cs="Times New Roman"/>
          <w:color w:val="000000" w:themeColor="text1"/>
          <w:sz w:val="28"/>
          <w:szCs w:val="28"/>
          <w14:textFill>
            <w14:solidFill>
              <w14:schemeClr w14:val="tx1"/>
            </w14:solidFill>
          </w14:textFill>
        </w:rPr>
        <w:t>装置的</w:t>
      </w:r>
      <w:r>
        <w:rPr>
          <w:rFonts w:hint="eastAsia" w:ascii="Times New Roman" w:hAnsi="Times New Roman" w:cs="Times New Roman"/>
          <w:color w:val="000000" w:themeColor="text1"/>
          <w:sz w:val="28"/>
          <w:szCs w:val="28"/>
          <w:lang w:val="en-US" w:eastAsia="zh-CN"/>
          <w14:textFill>
            <w14:solidFill>
              <w14:schemeClr w14:val="tx1"/>
            </w14:solidFill>
          </w14:textFill>
        </w:rPr>
        <w:t>使用</w:t>
      </w:r>
      <w:r>
        <w:rPr>
          <w:rFonts w:hint="eastAsia" w:ascii="Times New Roman" w:hAnsi="Times New Roman" w:cs="Times New Roman"/>
          <w:color w:val="000000" w:themeColor="text1"/>
          <w:sz w:val="28"/>
          <w:szCs w:val="28"/>
          <w14:textFill>
            <w14:solidFill>
              <w14:schemeClr w14:val="tx1"/>
            </w14:solidFill>
          </w14:textFill>
        </w:rPr>
        <w:t>要求。</w:t>
      </w:r>
    </w:p>
    <w:p w14:paraId="04155FFE">
      <w:pPr>
        <w:outlineLvl w:val="0"/>
        <w:rPr>
          <w:rFonts w:ascii="Times New Roman" w:hAnsi="Times New Roman" w:cs="Times New Roman"/>
          <w:b/>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八</w:t>
      </w:r>
      <w:r>
        <w:rPr>
          <w:rFonts w:ascii="Times New Roman" w:hAnsi="Times New Roman" w:cs="Times New Roman"/>
          <w:b/>
          <w:color w:val="000000" w:themeColor="text1"/>
          <w:sz w:val="28"/>
          <w:szCs w:val="28"/>
          <w14:textFill>
            <w14:solidFill>
              <w14:schemeClr w14:val="tx1"/>
            </w14:solidFill>
          </w14:textFill>
        </w:rPr>
        <w:t>、其他应予说明的事项</w:t>
      </w:r>
    </w:p>
    <w:p w14:paraId="43103D15">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无。</w:t>
      </w:r>
    </w:p>
    <w:p w14:paraId="04209D65">
      <w:pPr>
        <w:ind w:firstLine="560" w:firstLineChars="200"/>
        <w:rPr>
          <w:rFonts w:ascii="Times New Roman" w:hAnsi="Times New Roman" w:cs="Times New Roman"/>
          <w:color w:val="000000" w:themeColor="text1"/>
          <w:sz w:val="28"/>
          <w:szCs w:val="28"/>
          <w14:textFill>
            <w14:solidFill>
              <w14:schemeClr w14:val="tx1"/>
            </w14:solidFill>
          </w14:textFill>
        </w:rPr>
      </w:pPr>
    </w:p>
    <w:p w14:paraId="0DE794CA">
      <w:pPr>
        <w:ind w:firstLine="560" w:firstLineChars="200"/>
        <w:jc w:val="left"/>
        <w:rPr>
          <w:rFonts w:ascii="Times New Roman" w:hAnsi="Times New Roman" w:eastAsia="仿宋" w:cs="Times New Roman"/>
          <w:color w:val="000000" w:themeColor="text1"/>
          <w:sz w:val="28"/>
          <w:szCs w:val="28"/>
          <w14:textFill>
            <w14:solidFill>
              <w14:schemeClr w14:val="tx1"/>
            </w14:solidFill>
          </w14:textFill>
        </w:rPr>
      </w:pPr>
    </w:p>
    <w:p w14:paraId="6104361A">
      <w:pPr>
        <w:ind w:firstLine="560" w:firstLineChars="200"/>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标准起草小组</w:t>
      </w:r>
    </w:p>
    <w:p w14:paraId="799C7DBA">
      <w:pPr>
        <w:ind w:firstLine="560" w:firstLineChars="200"/>
        <w:jc w:val="right"/>
        <w:rPr>
          <w:rFonts w:ascii="Times New Roman" w:hAnsi="Times New Roman" w:cs="Times New Roman"/>
          <w:sz w:val="28"/>
          <w:szCs w:val="28"/>
        </w:rPr>
      </w:pPr>
      <w:r>
        <w:rPr>
          <w:rFonts w:hint="eastAsia" w:ascii="Times New Roman" w:hAnsi="Times New Roman" w:cs="Times New Roman"/>
          <w:sz w:val="28"/>
          <w:szCs w:val="28"/>
        </w:rPr>
        <w:t>202</w:t>
      </w:r>
      <w:r>
        <w:rPr>
          <w:rFonts w:hint="eastAsia" w:ascii="Times New Roman" w:hAnsi="Times New Roman" w:cs="Times New Roman"/>
          <w:sz w:val="28"/>
          <w:szCs w:val="28"/>
          <w:lang w:val="en-US" w:eastAsia="zh-CN"/>
        </w:rPr>
        <w:t>6</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2</w:t>
      </w:r>
      <w:r>
        <w:rPr>
          <w:rFonts w:hint="eastAsia" w:ascii="Times New Roman" w:hAnsi="Times New Roman" w:cs="Times New Roman"/>
          <w:sz w:val="28"/>
          <w:szCs w:val="28"/>
        </w:rPr>
        <w:t>月</w:t>
      </w:r>
    </w:p>
    <w:bookmarkEnd w:id="0"/>
    <w:bookmarkEnd w:id="1"/>
    <w:p w14:paraId="03903333">
      <w:pPr>
        <w:jc w:val="center"/>
        <w:rPr>
          <w:rFonts w:ascii="Times New Roman" w:hAnsi="Times New Roman" w:cs="Times New Roman"/>
          <w:color w:val="FF000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9350700"/>
      <w:docPartObj>
        <w:docPartGallery w:val="autotext"/>
      </w:docPartObj>
    </w:sdtPr>
    <w:sdtContent>
      <w:p w14:paraId="1825612A">
        <w:pPr>
          <w:pStyle w:val="8"/>
          <w:jc w:val="center"/>
        </w:pPr>
        <w:r>
          <w:fldChar w:fldCharType="begin"/>
        </w:r>
        <w:r>
          <w:instrText xml:space="preserve">PAGE   \* MERGEFORMAT</w:instrText>
        </w:r>
        <w:r>
          <w:fldChar w:fldCharType="separate"/>
        </w:r>
        <w:r>
          <w:rPr>
            <w:lang w:val="zh-CN"/>
          </w:rPr>
          <w:t>8</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9"/>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0"/>
      <w:suff w:val="nothing"/>
      <w:lvlText w:val="%1.%2.%3　"/>
      <w:lvlJc w:val="left"/>
      <w:pPr>
        <w:ind w:left="709"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42"/>
      <w:suff w:val="nothing"/>
      <w:lvlText w:val="%1.%2.%3.%4.%5　"/>
      <w:lvlJc w:val="left"/>
      <w:pPr>
        <w:ind w:left="0" w:firstLine="0"/>
      </w:pPr>
      <w:rPr>
        <w:rFonts w:hint="eastAsia" w:ascii="黑体" w:hAnsi="Times New Roman" w:eastAsia="黑体"/>
        <w:b w:val="0"/>
        <w:i w:val="0"/>
        <w:sz w:val="21"/>
      </w:rPr>
    </w:lvl>
    <w:lvl w:ilvl="5" w:tentative="0">
      <w:start w:val="1"/>
      <w:numFmt w:val="decimal"/>
      <w:pStyle w:val="4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0E50CCB"/>
    <w:multiLevelType w:val="multilevel"/>
    <w:tmpl w:val="30E50CCB"/>
    <w:lvl w:ilvl="0" w:tentative="0">
      <w:start w:val="1"/>
      <w:numFmt w:val="decimal"/>
      <w:pStyle w:val="4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75E07666"/>
    <w:multiLevelType w:val="multilevel"/>
    <w:tmpl w:val="75E07666"/>
    <w:lvl w:ilvl="0" w:tentative="0">
      <w:start w:val="1"/>
      <w:numFmt w:val="decimal"/>
      <w:pStyle w:val="30"/>
      <w:lvlText w:val="%1"/>
      <w:lvlJc w:val="left"/>
      <w:pPr>
        <w:ind w:left="0" w:firstLine="0"/>
      </w:pPr>
      <w:rPr>
        <w:rFonts w:hint="default" w:ascii="Times New Roman" w:hAnsi="Times New Roman" w:eastAsia="黑体"/>
        <w:b w:val="0"/>
        <w:i w:val="0"/>
        <w:sz w:val="24"/>
      </w:rPr>
    </w:lvl>
    <w:lvl w:ilvl="1" w:tentative="0">
      <w:start w:val="1"/>
      <w:numFmt w:val="decimal"/>
      <w:pStyle w:val="33"/>
      <w:lvlText w:val="%1.%2"/>
      <w:lvlJc w:val="left"/>
      <w:pPr>
        <w:ind w:left="284" w:firstLine="0"/>
      </w:pPr>
      <w:rPr>
        <w:rFonts w:hint="default" w:ascii="Times New Roman" w:hAnsi="Times New Roman" w:eastAsia="黑体"/>
        <w:b w:val="0"/>
        <w:i w:val="0"/>
        <w:sz w:val="24"/>
      </w:rPr>
    </w:lvl>
    <w:lvl w:ilvl="2" w:tentative="0">
      <w:start w:val="1"/>
      <w:numFmt w:val="decimal"/>
      <w:lvlText w:val="%1.%2.%3"/>
      <w:lvlJc w:val="left"/>
      <w:pPr>
        <w:ind w:left="0" w:firstLine="0"/>
      </w:pPr>
      <w:rPr>
        <w:rFonts w:hint="default" w:ascii="Times New Roman" w:hAnsi="Times New Roman" w:eastAsia="黑体"/>
        <w:b w:val="0"/>
        <w:i w:val="0"/>
        <w:sz w:val="24"/>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026"/>
    <w:rsid w:val="00003891"/>
    <w:rsid w:val="00004C97"/>
    <w:rsid w:val="00004FFB"/>
    <w:rsid w:val="000050EA"/>
    <w:rsid w:val="0000663D"/>
    <w:rsid w:val="0001391A"/>
    <w:rsid w:val="00016264"/>
    <w:rsid w:val="00016B66"/>
    <w:rsid w:val="00024ADC"/>
    <w:rsid w:val="00030669"/>
    <w:rsid w:val="00030FDA"/>
    <w:rsid w:val="000354B9"/>
    <w:rsid w:val="0003759B"/>
    <w:rsid w:val="00037B27"/>
    <w:rsid w:val="000429C4"/>
    <w:rsid w:val="00044AF2"/>
    <w:rsid w:val="00044F29"/>
    <w:rsid w:val="000519A0"/>
    <w:rsid w:val="00053F15"/>
    <w:rsid w:val="000609F7"/>
    <w:rsid w:val="00061CD4"/>
    <w:rsid w:val="0006735B"/>
    <w:rsid w:val="00073A8E"/>
    <w:rsid w:val="0007514D"/>
    <w:rsid w:val="00077C5C"/>
    <w:rsid w:val="00077E41"/>
    <w:rsid w:val="00090183"/>
    <w:rsid w:val="00090870"/>
    <w:rsid w:val="00092A83"/>
    <w:rsid w:val="0009429A"/>
    <w:rsid w:val="00094871"/>
    <w:rsid w:val="0009693D"/>
    <w:rsid w:val="000A109C"/>
    <w:rsid w:val="000A1B83"/>
    <w:rsid w:val="000A2106"/>
    <w:rsid w:val="000B1822"/>
    <w:rsid w:val="000D112F"/>
    <w:rsid w:val="000D19D6"/>
    <w:rsid w:val="000D533A"/>
    <w:rsid w:val="000D5564"/>
    <w:rsid w:val="000E0E49"/>
    <w:rsid w:val="000E2788"/>
    <w:rsid w:val="000E474F"/>
    <w:rsid w:val="000E5995"/>
    <w:rsid w:val="000F32A2"/>
    <w:rsid w:val="000F3AC8"/>
    <w:rsid w:val="000F3E82"/>
    <w:rsid w:val="000F7062"/>
    <w:rsid w:val="00100D91"/>
    <w:rsid w:val="0010397F"/>
    <w:rsid w:val="00103DE4"/>
    <w:rsid w:val="0010437B"/>
    <w:rsid w:val="00104F04"/>
    <w:rsid w:val="0011025A"/>
    <w:rsid w:val="00110CCB"/>
    <w:rsid w:val="001171F8"/>
    <w:rsid w:val="001179EB"/>
    <w:rsid w:val="00126F3F"/>
    <w:rsid w:val="00133BEF"/>
    <w:rsid w:val="00133F5D"/>
    <w:rsid w:val="00134033"/>
    <w:rsid w:val="00135189"/>
    <w:rsid w:val="00137E5D"/>
    <w:rsid w:val="00141F3F"/>
    <w:rsid w:val="00142530"/>
    <w:rsid w:val="00145B37"/>
    <w:rsid w:val="00145FB7"/>
    <w:rsid w:val="0014608F"/>
    <w:rsid w:val="00146C62"/>
    <w:rsid w:val="00156708"/>
    <w:rsid w:val="0016006B"/>
    <w:rsid w:val="001607FA"/>
    <w:rsid w:val="00171640"/>
    <w:rsid w:val="001745D8"/>
    <w:rsid w:val="0017757A"/>
    <w:rsid w:val="00180308"/>
    <w:rsid w:val="00181655"/>
    <w:rsid w:val="00187675"/>
    <w:rsid w:val="00193D58"/>
    <w:rsid w:val="00194D31"/>
    <w:rsid w:val="00195984"/>
    <w:rsid w:val="001971E6"/>
    <w:rsid w:val="001A1C62"/>
    <w:rsid w:val="001A1F6B"/>
    <w:rsid w:val="001A2E62"/>
    <w:rsid w:val="001A3DD0"/>
    <w:rsid w:val="001A6F8C"/>
    <w:rsid w:val="001B155A"/>
    <w:rsid w:val="001B4EFF"/>
    <w:rsid w:val="001C102F"/>
    <w:rsid w:val="001C184A"/>
    <w:rsid w:val="001C4C2F"/>
    <w:rsid w:val="001D1C39"/>
    <w:rsid w:val="001D1F4F"/>
    <w:rsid w:val="001D7994"/>
    <w:rsid w:val="001E2A7A"/>
    <w:rsid w:val="00200B2F"/>
    <w:rsid w:val="002014BD"/>
    <w:rsid w:val="00202EFC"/>
    <w:rsid w:val="002043D4"/>
    <w:rsid w:val="002220A6"/>
    <w:rsid w:val="0022465D"/>
    <w:rsid w:val="00224D8A"/>
    <w:rsid w:val="0023397F"/>
    <w:rsid w:val="002356FF"/>
    <w:rsid w:val="00235C14"/>
    <w:rsid w:val="002403A3"/>
    <w:rsid w:val="00243A7F"/>
    <w:rsid w:val="00245E55"/>
    <w:rsid w:val="00251DCE"/>
    <w:rsid w:val="00255E65"/>
    <w:rsid w:val="00267F7A"/>
    <w:rsid w:val="00270F45"/>
    <w:rsid w:val="00273D66"/>
    <w:rsid w:val="00285F6A"/>
    <w:rsid w:val="00291EF8"/>
    <w:rsid w:val="002A49F3"/>
    <w:rsid w:val="002B5F6A"/>
    <w:rsid w:val="002C1D80"/>
    <w:rsid w:val="002C3C21"/>
    <w:rsid w:val="002C3FDA"/>
    <w:rsid w:val="002C4F8B"/>
    <w:rsid w:val="002C5431"/>
    <w:rsid w:val="002D2EFA"/>
    <w:rsid w:val="002E224D"/>
    <w:rsid w:val="002E3B6D"/>
    <w:rsid w:val="002E7C86"/>
    <w:rsid w:val="00302FF8"/>
    <w:rsid w:val="00306849"/>
    <w:rsid w:val="00306857"/>
    <w:rsid w:val="0031458D"/>
    <w:rsid w:val="00317C5A"/>
    <w:rsid w:val="003215E2"/>
    <w:rsid w:val="00322E95"/>
    <w:rsid w:val="003253E9"/>
    <w:rsid w:val="00330A9A"/>
    <w:rsid w:val="00335493"/>
    <w:rsid w:val="0033785D"/>
    <w:rsid w:val="00341C7C"/>
    <w:rsid w:val="00341FF1"/>
    <w:rsid w:val="00347796"/>
    <w:rsid w:val="0035151E"/>
    <w:rsid w:val="00355BA2"/>
    <w:rsid w:val="003579EE"/>
    <w:rsid w:val="00357F20"/>
    <w:rsid w:val="00361452"/>
    <w:rsid w:val="00366996"/>
    <w:rsid w:val="00373FB0"/>
    <w:rsid w:val="00377D63"/>
    <w:rsid w:val="003806FD"/>
    <w:rsid w:val="00382F6B"/>
    <w:rsid w:val="00383738"/>
    <w:rsid w:val="00385EF5"/>
    <w:rsid w:val="00387B64"/>
    <w:rsid w:val="003907F8"/>
    <w:rsid w:val="003936E3"/>
    <w:rsid w:val="00397576"/>
    <w:rsid w:val="003A178D"/>
    <w:rsid w:val="003A4730"/>
    <w:rsid w:val="003A6BD0"/>
    <w:rsid w:val="003B7A6C"/>
    <w:rsid w:val="003C1D5C"/>
    <w:rsid w:val="003C4353"/>
    <w:rsid w:val="003C6FC2"/>
    <w:rsid w:val="003D0548"/>
    <w:rsid w:val="003D28A4"/>
    <w:rsid w:val="003D326D"/>
    <w:rsid w:val="003D4035"/>
    <w:rsid w:val="003D507B"/>
    <w:rsid w:val="003D536C"/>
    <w:rsid w:val="003D7D26"/>
    <w:rsid w:val="003E0D03"/>
    <w:rsid w:val="003E1F20"/>
    <w:rsid w:val="003E47C3"/>
    <w:rsid w:val="003E73F8"/>
    <w:rsid w:val="00401C66"/>
    <w:rsid w:val="00402C55"/>
    <w:rsid w:val="00405649"/>
    <w:rsid w:val="0041314F"/>
    <w:rsid w:val="004132BD"/>
    <w:rsid w:val="00415508"/>
    <w:rsid w:val="00417738"/>
    <w:rsid w:val="00425A9E"/>
    <w:rsid w:val="00430190"/>
    <w:rsid w:val="004357C6"/>
    <w:rsid w:val="00436A25"/>
    <w:rsid w:val="00436EC1"/>
    <w:rsid w:val="00437173"/>
    <w:rsid w:val="00444F62"/>
    <w:rsid w:val="00445721"/>
    <w:rsid w:val="00446605"/>
    <w:rsid w:val="00447CEA"/>
    <w:rsid w:val="00457E7E"/>
    <w:rsid w:val="0046262D"/>
    <w:rsid w:val="00462842"/>
    <w:rsid w:val="004662A4"/>
    <w:rsid w:val="00470C56"/>
    <w:rsid w:val="00472142"/>
    <w:rsid w:val="004724F7"/>
    <w:rsid w:val="0048234C"/>
    <w:rsid w:val="0048369D"/>
    <w:rsid w:val="004854E9"/>
    <w:rsid w:val="00485672"/>
    <w:rsid w:val="00491F93"/>
    <w:rsid w:val="00492B79"/>
    <w:rsid w:val="00496532"/>
    <w:rsid w:val="004967BD"/>
    <w:rsid w:val="004978CF"/>
    <w:rsid w:val="004A1E99"/>
    <w:rsid w:val="004A3054"/>
    <w:rsid w:val="004B119C"/>
    <w:rsid w:val="004C1D52"/>
    <w:rsid w:val="004C6413"/>
    <w:rsid w:val="004C7D69"/>
    <w:rsid w:val="004D26D7"/>
    <w:rsid w:val="004E0BE1"/>
    <w:rsid w:val="004E7663"/>
    <w:rsid w:val="004E7C12"/>
    <w:rsid w:val="004F34FC"/>
    <w:rsid w:val="004F57E5"/>
    <w:rsid w:val="004F651F"/>
    <w:rsid w:val="004F74A1"/>
    <w:rsid w:val="00504E3F"/>
    <w:rsid w:val="00506D53"/>
    <w:rsid w:val="00506D9C"/>
    <w:rsid w:val="00507358"/>
    <w:rsid w:val="00515376"/>
    <w:rsid w:val="00522224"/>
    <w:rsid w:val="00523EEA"/>
    <w:rsid w:val="00535091"/>
    <w:rsid w:val="005353B6"/>
    <w:rsid w:val="00545505"/>
    <w:rsid w:val="0055211D"/>
    <w:rsid w:val="00555AD5"/>
    <w:rsid w:val="005679CE"/>
    <w:rsid w:val="005735DC"/>
    <w:rsid w:val="005775EC"/>
    <w:rsid w:val="00580BE3"/>
    <w:rsid w:val="00582592"/>
    <w:rsid w:val="0058319A"/>
    <w:rsid w:val="00583A0B"/>
    <w:rsid w:val="005938D9"/>
    <w:rsid w:val="00593A33"/>
    <w:rsid w:val="005A20ED"/>
    <w:rsid w:val="005A45C5"/>
    <w:rsid w:val="005B1B46"/>
    <w:rsid w:val="005B69DD"/>
    <w:rsid w:val="005B7A7E"/>
    <w:rsid w:val="005C76FA"/>
    <w:rsid w:val="005D443D"/>
    <w:rsid w:val="005D4641"/>
    <w:rsid w:val="005E0051"/>
    <w:rsid w:val="005E6538"/>
    <w:rsid w:val="005F0196"/>
    <w:rsid w:val="005F19E8"/>
    <w:rsid w:val="005F24DE"/>
    <w:rsid w:val="005F2B51"/>
    <w:rsid w:val="0060714C"/>
    <w:rsid w:val="0061444A"/>
    <w:rsid w:val="0062741A"/>
    <w:rsid w:val="00636015"/>
    <w:rsid w:val="00640572"/>
    <w:rsid w:val="0064357E"/>
    <w:rsid w:val="006445E4"/>
    <w:rsid w:val="00645915"/>
    <w:rsid w:val="00656F61"/>
    <w:rsid w:val="0065738C"/>
    <w:rsid w:val="0066221B"/>
    <w:rsid w:val="00665E5D"/>
    <w:rsid w:val="00670AF5"/>
    <w:rsid w:val="00671F65"/>
    <w:rsid w:val="00672EBF"/>
    <w:rsid w:val="00673B8E"/>
    <w:rsid w:val="00676EB8"/>
    <w:rsid w:val="006770DD"/>
    <w:rsid w:val="0068313E"/>
    <w:rsid w:val="00684222"/>
    <w:rsid w:val="00685A2B"/>
    <w:rsid w:val="006904FC"/>
    <w:rsid w:val="00690BAB"/>
    <w:rsid w:val="00695935"/>
    <w:rsid w:val="006A5927"/>
    <w:rsid w:val="006A7C2C"/>
    <w:rsid w:val="006B1EFA"/>
    <w:rsid w:val="006B32B7"/>
    <w:rsid w:val="006B7953"/>
    <w:rsid w:val="006C1121"/>
    <w:rsid w:val="006C53C3"/>
    <w:rsid w:val="006C5AF9"/>
    <w:rsid w:val="006C7926"/>
    <w:rsid w:val="006D5C52"/>
    <w:rsid w:val="006D6317"/>
    <w:rsid w:val="006D666F"/>
    <w:rsid w:val="006F04B3"/>
    <w:rsid w:val="006F2BA8"/>
    <w:rsid w:val="006F303D"/>
    <w:rsid w:val="006F5D4D"/>
    <w:rsid w:val="006F6037"/>
    <w:rsid w:val="00701DA1"/>
    <w:rsid w:val="00702335"/>
    <w:rsid w:val="0070359B"/>
    <w:rsid w:val="00704173"/>
    <w:rsid w:val="00704254"/>
    <w:rsid w:val="00705995"/>
    <w:rsid w:val="00712D58"/>
    <w:rsid w:val="007177E5"/>
    <w:rsid w:val="00720D62"/>
    <w:rsid w:val="007252D9"/>
    <w:rsid w:val="0073144E"/>
    <w:rsid w:val="00732071"/>
    <w:rsid w:val="007351AC"/>
    <w:rsid w:val="00741192"/>
    <w:rsid w:val="0074191E"/>
    <w:rsid w:val="007420C0"/>
    <w:rsid w:val="007440C0"/>
    <w:rsid w:val="00746258"/>
    <w:rsid w:val="007506B6"/>
    <w:rsid w:val="00751F71"/>
    <w:rsid w:val="007552EC"/>
    <w:rsid w:val="00763B03"/>
    <w:rsid w:val="00764A5F"/>
    <w:rsid w:val="007667A9"/>
    <w:rsid w:val="007742CB"/>
    <w:rsid w:val="00774AFD"/>
    <w:rsid w:val="0078143C"/>
    <w:rsid w:val="00785C76"/>
    <w:rsid w:val="00786BD4"/>
    <w:rsid w:val="00787FCF"/>
    <w:rsid w:val="00792358"/>
    <w:rsid w:val="007A12AF"/>
    <w:rsid w:val="007A4DA1"/>
    <w:rsid w:val="007A653D"/>
    <w:rsid w:val="007B028F"/>
    <w:rsid w:val="007B096A"/>
    <w:rsid w:val="007B09C0"/>
    <w:rsid w:val="007B3C44"/>
    <w:rsid w:val="007B550A"/>
    <w:rsid w:val="007B5D09"/>
    <w:rsid w:val="007B71B1"/>
    <w:rsid w:val="007C16F6"/>
    <w:rsid w:val="007C35EE"/>
    <w:rsid w:val="007C4745"/>
    <w:rsid w:val="007C4BDA"/>
    <w:rsid w:val="007C593C"/>
    <w:rsid w:val="007D53BC"/>
    <w:rsid w:val="007E2441"/>
    <w:rsid w:val="007E3BA9"/>
    <w:rsid w:val="007E6082"/>
    <w:rsid w:val="007F10C2"/>
    <w:rsid w:val="007F4CD0"/>
    <w:rsid w:val="0080091F"/>
    <w:rsid w:val="00801637"/>
    <w:rsid w:val="00802704"/>
    <w:rsid w:val="00810BBC"/>
    <w:rsid w:val="008155FB"/>
    <w:rsid w:val="00817A85"/>
    <w:rsid w:val="00823C31"/>
    <w:rsid w:val="00834071"/>
    <w:rsid w:val="00835FE9"/>
    <w:rsid w:val="0084141A"/>
    <w:rsid w:val="0085180D"/>
    <w:rsid w:val="0085260E"/>
    <w:rsid w:val="00853165"/>
    <w:rsid w:val="00854A91"/>
    <w:rsid w:val="0085744C"/>
    <w:rsid w:val="00865AAD"/>
    <w:rsid w:val="00866280"/>
    <w:rsid w:val="0087337B"/>
    <w:rsid w:val="00875CE9"/>
    <w:rsid w:val="008777A0"/>
    <w:rsid w:val="00880904"/>
    <w:rsid w:val="008822C7"/>
    <w:rsid w:val="008858B7"/>
    <w:rsid w:val="00887F20"/>
    <w:rsid w:val="008904BA"/>
    <w:rsid w:val="00896087"/>
    <w:rsid w:val="008A1088"/>
    <w:rsid w:val="008A55FD"/>
    <w:rsid w:val="008A5894"/>
    <w:rsid w:val="008A7848"/>
    <w:rsid w:val="008A7FFC"/>
    <w:rsid w:val="008B0315"/>
    <w:rsid w:val="008B15F2"/>
    <w:rsid w:val="008B285F"/>
    <w:rsid w:val="008D2CCD"/>
    <w:rsid w:val="008E277A"/>
    <w:rsid w:val="008E5F34"/>
    <w:rsid w:val="008F02E7"/>
    <w:rsid w:val="008F3C1B"/>
    <w:rsid w:val="008F47D7"/>
    <w:rsid w:val="008F514D"/>
    <w:rsid w:val="0090249A"/>
    <w:rsid w:val="0090287B"/>
    <w:rsid w:val="0090458D"/>
    <w:rsid w:val="00906270"/>
    <w:rsid w:val="00906F10"/>
    <w:rsid w:val="00910FFD"/>
    <w:rsid w:val="009118C3"/>
    <w:rsid w:val="00911F41"/>
    <w:rsid w:val="00914B11"/>
    <w:rsid w:val="00917BD0"/>
    <w:rsid w:val="00917E9E"/>
    <w:rsid w:val="00920834"/>
    <w:rsid w:val="00922213"/>
    <w:rsid w:val="009344E2"/>
    <w:rsid w:val="0094061C"/>
    <w:rsid w:val="0094509E"/>
    <w:rsid w:val="0094532D"/>
    <w:rsid w:val="00945787"/>
    <w:rsid w:val="00952FCB"/>
    <w:rsid w:val="00957272"/>
    <w:rsid w:val="00962ED1"/>
    <w:rsid w:val="009641AD"/>
    <w:rsid w:val="00965B7A"/>
    <w:rsid w:val="00974205"/>
    <w:rsid w:val="00976F4A"/>
    <w:rsid w:val="00977F45"/>
    <w:rsid w:val="00986A8C"/>
    <w:rsid w:val="009A15E9"/>
    <w:rsid w:val="009A1F76"/>
    <w:rsid w:val="009A207F"/>
    <w:rsid w:val="009A42E2"/>
    <w:rsid w:val="009B11C5"/>
    <w:rsid w:val="009B3550"/>
    <w:rsid w:val="009C0F50"/>
    <w:rsid w:val="009C47DE"/>
    <w:rsid w:val="009C725A"/>
    <w:rsid w:val="009D16FE"/>
    <w:rsid w:val="009D4489"/>
    <w:rsid w:val="009D7048"/>
    <w:rsid w:val="009D7D92"/>
    <w:rsid w:val="009E65AD"/>
    <w:rsid w:val="009F6AA1"/>
    <w:rsid w:val="00A01B63"/>
    <w:rsid w:val="00A03319"/>
    <w:rsid w:val="00A07340"/>
    <w:rsid w:val="00A10889"/>
    <w:rsid w:val="00A11E03"/>
    <w:rsid w:val="00A127C9"/>
    <w:rsid w:val="00A20ABB"/>
    <w:rsid w:val="00A23B58"/>
    <w:rsid w:val="00A25053"/>
    <w:rsid w:val="00A27020"/>
    <w:rsid w:val="00A354B3"/>
    <w:rsid w:val="00A37936"/>
    <w:rsid w:val="00A400B5"/>
    <w:rsid w:val="00A4065B"/>
    <w:rsid w:val="00A43293"/>
    <w:rsid w:val="00A43ECE"/>
    <w:rsid w:val="00A45600"/>
    <w:rsid w:val="00A46F4F"/>
    <w:rsid w:val="00A6211C"/>
    <w:rsid w:val="00A64BEA"/>
    <w:rsid w:val="00A6546D"/>
    <w:rsid w:val="00A709E6"/>
    <w:rsid w:val="00A7330D"/>
    <w:rsid w:val="00A81E93"/>
    <w:rsid w:val="00A86EC6"/>
    <w:rsid w:val="00A8700F"/>
    <w:rsid w:val="00A91017"/>
    <w:rsid w:val="00A91C95"/>
    <w:rsid w:val="00A9340F"/>
    <w:rsid w:val="00A96998"/>
    <w:rsid w:val="00A96F00"/>
    <w:rsid w:val="00AA1F29"/>
    <w:rsid w:val="00AA2AA0"/>
    <w:rsid w:val="00AA3026"/>
    <w:rsid w:val="00AA4423"/>
    <w:rsid w:val="00AA754B"/>
    <w:rsid w:val="00AC45D5"/>
    <w:rsid w:val="00AC71D1"/>
    <w:rsid w:val="00AD3D5F"/>
    <w:rsid w:val="00AD45EE"/>
    <w:rsid w:val="00AD61FC"/>
    <w:rsid w:val="00AD6737"/>
    <w:rsid w:val="00AD7DC1"/>
    <w:rsid w:val="00AE7C9B"/>
    <w:rsid w:val="00AE7E35"/>
    <w:rsid w:val="00AF050D"/>
    <w:rsid w:val="00AF61D2"/>
    <w:rsid w:val="00B01B76"/>
    <w:rsid w:val="00B03F27"/>
    <w:rsid w:val="00B05B0E"/>
    <w:rsid w:val="00B05E17"/>
    <w:rsid w:val="00B1025F"/>
    <w:rsid w:val="00B1034E"/>
    <w:rsid w:val="00B11AA1"/>
    <w:rsid w:val="00B13164"/>
    <w:rsid w:val="00B165C4"/>
    <w:rsid w:val="00B171D6"/>
    <w:rsid w:val="00B25A61"/>
    <w:rsid w:val="00B27457"/>
    <w:rsid w:val="00B30D6C"/>
    <w:rsid w:val="00B33E3D"/>
    <w:rsid w:val="00B37467"/>
    <w:rsid w:val="00B45E4E"/>
    <w:rsid w:val="00B45E64"/>
    <w:rsid w:val="00B47D3B"/>
    <w:rsid w:val="00B47E98"/>
    <w:rsid w:val="00B51E4D"/>
    <w:rsid w:val="00B55234"/>
    <w:rsid w:val="00B64A40"/>
    <w:rsid w:val="00B66A19"/>
    <w:rsid w:val="00B75F30"/>
    <w:rsid w:val="00B777CD"/>
    <w:rsid w:val="00B80215"/>
    <w:rsid w:val="00B806F6"/>
    <w:rsid w:val="00B83325"/>
    <w:rsid w:val="00B85525"/>
    <w:rsid w:val="00BA4775"/>
    <w:rsid w:val="00BA6EA6"/>
    <w:rsid w:val="00BA7BE7"/>
    <w:rsid w:val="00BB4F09"/>
    <w:rsid w:val="00BB56A1"/>
    <w:rsid w:val="00BB6A3F"/>
    <w:rsid w:val="00BC59C7"/>
    <w:rsid w:val="00BE6D61"/>
    <w:rsid w:val="00BE7E5E"/>
    <w:rsid w:val="00BF1513"/>
    <w:rsid w:val="00BF23DA"/>
    <w:rsid w:val="00BF28D0"/>
    <w:rsid w:val="00C0166F"/>
    <w:rsid w:val="00C0416F"/>
    <w:rsid w:val="00C04980"/>
    <w:rsid w:val="00C073F2"/>
    <w:rsid w:val="00C16C3A"/>
    <w:rsid w:val="00C3041C"/>
    <w:rsid w:val="00C320CE"/>
    <w:rsid w:val="00C37411"/>
    <w:rsid w:val="00C46A0A"/>
    <w:rsid w:val="00C47799"/>
    <w:rsid w:val="00C532FC"/>
    <w:rsid w:val="00C56B59"/>
    <w:rsid w:val="00C56E71"/>
    <w:rsid w:val="00C60A17"/>
    <w:rsid w:val="00C63619"/>
    <w:rsid w:val="00C6396F"/>
    <w:rsid w:val="00C70E6F"/>
    <w:rsid w:val="00C718C8"/>
    <w:rsid w:val="00C71DE7"/>
    <w:rsid w:val="00C746D4"/>
    <w:rsid w:val="00C74BF7"/>
    <w:rsid w:val="00C76F70"/>
    <w:rsid w:val="00C76F72"/>
    <w:rsid w:val="00C811A9"/>
    <w:rsid w:val="00C81328"/>
    <w:rsid w:val="00C81733"/>
    <w:rsid w:val="00C840FC"/>
    <w:rsid w:val="00C84961"/>
    <w:rsid w:val="00C85991"/>
    <w:rsid w:val="00C859E9"/>
    <w:rsid w:val="00C91705"/>
    <w:rsid w:val="00C92B4C"/>
    <w:rsid w:val="00C95D54"/>
    <w:rsid w:val="00CA00AA"/>
    <w:rsid w:val="00CA41D5"/>
    <w:rsid w:val="00CB2867"/>
    <w:rsid w:val="00CB7041"/>
    <w:rsid w:val="00CC09B5"/>
    <w:rsid w:val="00CC181D"/>
    <w:rsid w:val="00CC2D85"/>
    <w:rsid w:val="00CC56DF"/>
    <w:rsid w:val="00CD2A01"/>
    <w:rsid w:val="00CD2A68"/>
    <w:rsid w:val="00CD4B6C"/>
    <w:rsid w:val="00CE28E9"/>
    <w:rsid w:val="00CE367E"/>
    <w:rsid w:val="00CE3C02"/>
    <w:rsid w:val="00CE4CB2"/>
    <w:rsid w:val="00CE7228"/>
    <w:rsid w:val="00CE7EFD"/>
    <w:rsid w:val="00CF4950"/>
    <w:rsid w:val="00CF4E7D"/>
    <w:rsid w:val="00D014F7"/>
    <w:rsid w:val="00D03312"/>
    <w:rsid w:val="00D04382"/>
    <w:rsid w:val="00D0600B"/>
    <w:rsid w:val="00D11146"/>
    <w:rsid w:val="00D16022"/>
    <w:rsid w:val="00D16827"/>
    <w:rsid w:val="00D174A4"/>
    <w:rsid w:val="00D2052E"/>
    <w:rsid w:val="00D2151C"/>
    <w:rsid w:val="00D22496"/>
    <w:rsid w:val="00D250D5"/>
    <w:rsid w:val="00D25D32"/>
    <w:rsid w:val="00D30D2A"/>
    <w:rsid w:val="00D324EF"/>
    <w:rsid w:val="00D357F7"/>
    <w:rsid w:val="00D37727"/>
    <w:rsid w:val="00D403B5"/>
    <w:rsid w:val="00D43B95"/>
    <w:rsid w:val="00D44735"/>
    <w:rsid w:val="00D44FCF"/>
    <w:rsid w:val="00D50BB7"/>
    <w:rsid w:val="00D528B0"/>
    <w:rsid w:val="00D53C16"/>
    <w:rsid w:val="00D54C9F"/>
    <w:rsid w:val="00D74FC8"/>
    <w:rsid w:val="00D84A1B"/>
    <w:rsid w:val="00D91B25"/>
    <w:rsid w:val="00D92503"/>
    <w:rsid w:val="00D9305F"/>
    <w:rsid w:val="00D955BD"/>
    <w:rsid w:val="00DA0514"/>
    <w:rsid w:val="00DA161B"/>
    <w:rsid w:val="00DA1EDD"/>
    <w:rsid w:val="00DA383E"/>
    <w:rsid w:val="00DA4302"/>
    <w:rsid w:val="00DA478E"/>
    <w:rsid w:val="00DB1AD1"/>
    <w:rsid w:val="00DB6B15"/>
    <w:rsid w:val="00DC418B"/>
    <w:rsid w:val="00DC6BBE"/>
    <w:rsid w:val="00DD41B4"/>
    <w:rsid w:val="00DD6373"/>
    <w:rsid w:val="00DD79CD"/>
    <w:rsid w:val="00DE4D68"/>
    <w:rsid w:val="00DF0D1D"/>
    <w:rsid w:val="00E007F4"/>
    <w:rsid w:val="00E00BF4"/>
    <w:rsid w:val="00E059C0"/>
    <w:rsid w:val="00E105E5"/>
    <w:rsid w:val="00E21A1F"/>
    <w:rsid w:val="00E24338"/>
    <w:rsid w:val="00E2545F"/>
    <w:rsid w:val="00E2764B"/>
    <w:rsid w:val="00E32691"/>
    <w:rsid w:val="00E34D31"/>
    <w:rsid w:val="00E371FC"/>
    <w:rsid w:val="00E421AE"/>
    <w:rsid w:val="00E430AA"/>
    <w:rsid w:val="00E4342B"/>
    <w:rsid w:val="00E443BD"/>
    <w:rsid w:val="00E50756"/>
    <w:rsid w:val="00E57F18"/>
    <w:rsid w:val="00E6091D"/>
    <w:rsid w:val="00E60B70"/>
    <w:rsid w:val="00E62B96"/>
    <w:rsid w:val="00E7074F"/>
    <w:rsid w:val="00E70764"/>
    <w:rsid w:val="00E74246"/>
    <w:rsid w:val="00E751F4"/>
    <w:rsid w:val="00E76A6E"/>
    <w:rsid w:val="00E773D2"/>
    <w:rsid w:val="00E825E2"/>
    <w:rsid w:val="00E8689D"/>
    <w:rsid w:val="00E86BF8"/>
    <w:rsid w:val="00E9637A"/>
    <w:rsid w:val="00EA2922"/>
    <w:rsid w:val="00EA2F86"/>
    <w:rsid w:val="00EA3EDA"/>
    <w:rsid w:val="00EA7991"/>
    <w:rsid w:val="00EB0A20"/>
    <w:rsid w:val="00EB47B1"/>
    <w:rsid w:val="00EB6E97"/>
    <w:rsid w:val="00EC1585"/>
    <w:rsid w:val="00EC19B1"/>
    <w:rsid w:val="00EC7238"/>
    <w:rsid w:val="00EC78B0"/>
    <w:rsid w:val="00EC7A40"/>
    <w:rsid w:val="00ED0106"/>
    <w:rsid w:val="00ED0EE7"/>
    <w:rsid w:val="00ED65AD"/>
    <w:rsid w:val="00EE4CA3"/>
    <w:rsid w:val="00EE5F7D"/>
    <w:rsid w:val="00EE6312"/>
    <w:rsid w:val="00EE7E45"/>
    <w:rsid w:val="00EF2275"/>
    <w:rsid w:val="00EF3542"/>
    <w:rsid w:val="00EF4107"/>
    <w:rsid w:val="00EF5729"/>
    <w:rsid w:val="00EF778E"/>
    <w:rsid w:val="00F02B73"/>
    <w:rsid w:val="00F037B8"/>
    <w:rsid w:val="00F0561A"/>
    <w:rsid w:val="00F155CA"/>
    <w:rsid w:val="00F27A46"/>
    <w:rsid w:val="00F27E2F"/>
    <w:rsid w:val="00F31B88"/>
    <w:rsid w:val="00F3554E"/>
    <w:rsid w:val="00F363D6"/>
    <w:rsid w:val="00F406C8"/>
    <w:rsid w:val="00F42F2B"/>
    <w:rsid w:val="00F4334A"/>
    <w:rsid w:val="00F60ED8"/>
    <w:rsid w:val="00F637F5"/>
    <w:rsid w:val="00F65726"/>
    <w:rsid w:val="00F70153"/>
    <w:rsid w:val="00F70649"/>
    <w:rsid w:val="00F74950"/>
    <w:rsid w:val="00F74B9C"/>
    <w:rsid w:val="00F75BAF"/>
    <w:rsid w:val="00F76F3E"/>
    <w:rsid w:val="00F82A2F"/>
    <w:rsid w:val="00F841D1"/>
    <w:rsid w:val="00F91394"/>
    <w:rsid w:val="00F92007"/>
    <w:rsid w:val="00F931A5"/>
    <w:rsid w:val="00F947EC"/>
    <w:rsid w:val="00FA0D30"/>
    <w:rsid w:val="00FA19E4"/>
    <w:rsid w:val="00FA3941"/>
    <w:rsid w:val="00FA670C"/>
    <w:rsid w:val="00FB5A11"/>
    <w:rsid w:val="00FC3BF5"/>
    <w:rsid w:val="00FC5EB1"/>
    <w:rsid w:val="00FC5F86"/>
    <w:rsid w:val="00FD3F7C"/>
    <w:rsid w:val="00FD6DAD"/>
    <w:rsid w:val="00FE029F"/>
    <w:rsid w:val="00FE043A"/>
    <w:rsid w:val="00FE3491"/>
    <w:rsid w:val="00FE54A9"/>
    <w:rsid w:val="00FF1605"/>
    <w:rsid w:val="00FF2217"/>
    <w:rsid w:val="04AF6707"/>
    <w:rsid w:val="06472EB6"/>
    <w:rsid w:val="068943A3"/>
    <w:rsid w:val="09E365B4"/>
    <w:rsid w:val="0A773392"/>
    <w:rsid w:val="0ADC375E"/>
    <w:rsid w:val="10176C4B"/>
    <w:rsid w:val="102C333C"/>
    <w:rsid w:val="12253D6A"/>
    <w:rsid w:val="150F1EAB"/>
    <w:rsid w:val="1AE6371B"/>
    <w:rsid w:val="1B1B4AA6"/>
    <w:rsid w:val="1D4031D7"/>
    <w:rsid w:val="1D9A0191"/>
    <w:rsid w:val="2068419F"/>
    <w:rsid w:val="20E23CB7"/>
    <w:rsid w:val="20FF7332"/>
    <w:rsid w:val="287531CA"/>
    <w:rsid w:val="2BAC177E"/>
    <w:rsid w:val="2BCB3831"/>
    <w:rsid w:val="2C1B3C2F"/>
    <w:rsid w:val="2CC269E5"/>
    <w:rsid w:val="303015E7"/>
    <w:rsid w:val="314C7DEC"/>
    <w:rsid w:val="314F3970"/>
    <w:rsid w:val="340A6274"/>
    <w:rsid w:val="35024A6F"/>
    <w:rsid w:val="39AE31FE"/>
    <w:rsid w:val="42A13EBC"/>
    <w:rsid w:val="44CF7B2D"/>
    <w:rsid w:val="45EE7030"/>
    <w:rsid w:val="4C7739F9"/>
    <w:rsid w:val="4F650BB6"/>
    <w:rsid w:val="53973F8A"/>
    <w:rsid w:val="541A7EA4"/>
    <w:rsid w:val="57E97DCB"/>
    <w:rsid w:val="59A4399C"/>
    <w:rsid w:val="5FF067F2"/>
    <w:rsid w:val="625E22BE"/>
    <w:rsid w:val="62CA5431"/>
    <w:rsid w:val="66952ECC"/>
    <w:rsid w:val="67A23AF2"/>
    <w:rsid w:val="6D5D0729"/>
    <w:rsid w:val="6DBB3483"/>
    <w:rsid w:val="6E8674CA"/>
    <w:rsid w:val="705F07D2"/>
    <w:rsid w:val="72192C03"/>
    <w:rsid w:val="74D9465B"/>
    <w:rsid w:val="765869B8"/>
    <w:rsid w:val="78C66E39"/>
    <w:rsid w:val="78EA198E"/>
    <w:rsid w:val="7AEB49B2"/>
    <w:rsid w:val="7B056E22"/>
    <w:rsid w:val="7F1449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38"/>
    <w:semiHidden/>
    <w:unhideWhenUsed/>
    <w:qFormat/>
    <w:uiPriority w:val="9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5"/>
    <w:semiHidden/>
    <w:unhideWhenUsed/>
    <w:qFormat/>
    <w:uiPriority w:val="99"/>
    <w:rPr>
      <w:rFonts w:ascii="宋体" w:eastAsia="宋体"/>
      <w:sz w:val="18"/>
      <w:szCs w:val="18"/>
    </w:rPr>
  </w:style>
  <w:style w:type="paragraph" w:styleId="5">
    <w:name w:val="annotation text"/>
    <w:basedOn w:val="1"/>
    <w:link w:val="46"/>
    <w:unhideWhenUsed/>
    <w:qFormat/>
    <w:uiPriority w:val="0"/>
    <w:pPr>
      <w:jc w:val="left"/>
    </w:pPr>
  </w:style>
  <w:style w:type="paragraph" w:styleId="6">
    <w:name w:val="Body Text"/>
    <w:basedOn w:val="1"/>
    <w:link w:val="48"/>
    <w:qFormat/>
    <w:uiPriority w:val="1"/>
    <w:pPr>
      <w:ind w:left="120" w:firstLine="559"/>
      <w:jc w:val="left"/>
    </w:pPr>
    <w:rPr>
      <w:rFonts w:ascii="宋体" w:hAnsi="宋体" w:eastAsia="宋体" w:cs="黑体"/>
      <w:kern w:val="0"/>
      <w:sz w:val="28"/>
      <w:szCs w:val="28"/>
      <w:lang w:eastAsia="en-US"/>
    </w:rPr>
  </w:style>
  <w:style w:type="paragraph" w:styleId="7">
    <w:name w:val="Balloon Text"/>
    <w:basedOn w:val="1"/>
    <w:link w:val="37"/>
    <w:semiHidden/>
    <w:unhideWhenUsed/>
    <w:qFormat/>
    <w:uiPriority w:val="99"/>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unhideWhenUsed/>
    <w:qFormat/>
    <w:uiPriority w:val="39"/>
  </w:style>
  <w:style w:type="paragraph" w:styleId="11">
    <w:name w:val="toc 2"/>
    <w:basedOn w:val="1"/>
    <w:next w:val="1"/>
    <w:autoRedefine/>
    <w:unhideWhenUsed/>
    <w:qFormat/>
    <w:uiPriority w:val="39"/>
    <w:pPr>
      <w:ind w:left="420" w:leftChars="200"/>
    </w:pPr>
  </w:style>
  <w:style w:type="paragraph" w:styleId="12">
    <w:name w:val="Normal (Web)"/>
    <w:basedOn w:val="1"/>
    <w:semiHidden/>
    <w:unhideWhenUsed/>
    <w:qFormat/>
    <w:uiPriority w:val="99"/>
    <w:rPr>
      <w:sz w:val="24"/>
    </w:rPr>
  </w:style>
  <w:style w:type="paragraph" w:styleId="13">
    <w:name w:val="annotation subject"/>
    <w:basedOn w:val="5"/>
    <w:next w:val="5"/>
    <w:link w:val="47"/>
    <w:semiHidden/>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rPr>
  </w:style>
  <w:style w:type="character" w:styleId="18">
    <w:name w:val="Emphasis"/>
    <w:basedOn w:val="16"/>
    <w:qFormat/>
    <w:uiPriority w:val="20"/>
    <w:rPr>
      <w:i/>
      <w:iCs/>
    </w:rPr>
  </w:style>
  <w:style w:type="character" w:styleId="19">
    <w:name w:val="Hyperlink"/>
    <w:basedOn w:val="16"/>
    <w:unhideWhenUsed/>
    <w:qFormat/>
    <w:uiPriority w:val="99"/>
    <w:rPr>
      <w:color w:val="0000FF" w:themeColor="hyperlink"/>
      <w:u w:val="single"/>
      <w14:textFill>
        <w14:solidFill>
          <w14:schemeClr w14:val="hlink"/>
        </w14:solidFill>
      </w14:textFill>
    </w:rPr>
  </w:style>
  <w:style w:type="character" w:styleId="20">
    <w:name w:val="annotation reference"/>
    <w:basedOn w:val="16"/>
    <w:unhideWhenUsed/>
    <w:qFormat/>
    <w:uiPriority w:val="0"/>
    <w:rPr>
      <w:sz w:val="21"/>
      <w:szCs w:val="21"/>
    </w:rPr>
  </w:style>
  <w:style w:type="character" w:customStyle="1" w:styleId="21">
    <w:name w:val="页眉 字符"/>
    <w:basedOn w:val="16"/>
    <w:link w:val="9"/>
    <w:qFormat/>
    <w:uiPriority w:val="99"/>
    <w:rPr>
      <w:sz w:val="18"/>
      <w:szCs w:val="18"/>
    </w:rPr>
  </w:style>
  <w:style w:type="character" w:customStyle="1" w:styleId="22">
    <w:name w:val="页脚 字符"/>
    <w:basedOn w:val="16"/>
    <w:link w:val="8"/>
    <w:qFormat/>
    <w:uiPriority w:val="99"/>
    <w:rPr>
      <w:sz w:val="18"/>
      <w:szCs w:val="18"/>
    </w:rPr>
  </w:style>
  <w:style w:type="paragraph" w:customStyle="1" w:styleId="23">
    <w:name w:val="Char Char Char Char Char Char Char Char Char"/>
    <w:basedOn w:val="1"/>
    <w:autoRedefine/>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24">
    <w:name w:val="目次、标准名称标题"/>
    <w:basedOn w:val="1"/>
    <w:next w:val="1"/>
    <w:qFormat/>
    <w:uiPriority w:val="0"/>
    <w:pPr>
      <w:widowControl/>
      <w:shd w:val="clear" w:color="FFFFFF" w:fill="FFFFFF"/>
      <w:tabs>
        <w:tab w:val="left" w:pos="720"/>
      </w:tabs>
      <w:spacing w:before="640" w:after="560" w:line="460" w:lineRule="exact"/>
      <w:ind w:left="720" w:hanging="720"/>
      <w:jc w:val="center"/>
      <w:outlineLvl w:val="0"/>
    </w:pPr>
    <w:rPr>
      <w:rFonts w:ascii="黑体" w:hAnsi="Times New Roman" w:eastAsia="黑体" w:cs="Times New Roman"/>
      <w:kern w:val="0"/>
      <w:sz w:val="32"/>
      <w:szCs w:val="20"/>
    </w:rPr>
  </w:style>
  <w:style w:type="character" w:customStyle="1" w:styleId="25">
    <w:name w:val="文档结构图 字符"/>
    <w:basedOn w:val="16"/>
    <w:link w:val="4"/>
    <w:semiHidden/>
    <w:qFormat/>
    <w:uiPriority w:val="99"/>
    <w:rPr>
      <w:rFonts w:ascii="宋体" w:eastAsia="宋体"/>
      <w:sz w:val="18"/>
      <w:szCs w:val="18"/>
    </w:rPr>
  </w:style>
  <w:style w:type="paragraph" w:styleId="26">
    <w:name w:val="List Paragraph"/>
    <w:basedOn w:val="1"/>
    <w:qFormat/>
    <w:uiPriority w:val="34"/>
    <w:pPr>
      <w:ind w:firstLine="420" w:firstLineChars="200"/>
    </w:pPr>
  </w:style>
  <w:style w:type="character" w:customStyle="1" w:styleId="27">
    <w:name w:val="copied"/>
    <w:basedOn w:val="16"/>
    <w:qFormat/>
    <w:uiPriority w:val="0"/>
  </w:style>
  <w:style w:type="paragraph" w:customStyle="1" w:styleId="28">
    <w:name w:val="段"/>
    <w:link w:val="2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9">
    <w:name w:val="段 Char"/>
    <w:link w:val="28"/>
    <w:qFormat/>
    <w:uiPriority w:val="0"/>
    <w:rPr>
      <w:rFonts w:ascii="宋体" w:hAnsi="Times New Roman" w:eastAsia="宋体" w:cs="Times New Roman"/>
      <w:kern w:val="0"/>
      <w:szCs w:val="20"/>
    </w:rPr>
  </w:style>
  <w:style w:type="paragraph" w:customStyle="1" w:styleId="30">
    <w:name w:val="1级标题"/>
    <w:basedOn w:val="2"/>
    <w:next w:val="31"/>
    <w:link w:val="32"/>
    <w:qFormat/>
    <w:uiPriority w:val="0"/>
    <w:pPr>
      <w:keepNext w:val="0"/>
      <w:keepLines w:val="0"/>
      <w:numPr>
        <w:ilvl w:val="0"/>
        <w:numId w:val="1"/>
      </w:numPr>
      <w:tabs>
        <w:tab w:val="left" w:pos="240"/>
      </w:tabs>
      <w:adjustRightInd w:val="0"/>
      <w:snapToGrid w:val="0"/>
      <w:spacing w:before="260" w:after="260" w:line="240" w:lineRule="auto"/>
      <w:jc w:val="left"/>
    </w:pPr>
    <w:rPr>
      <w:rFonts w:ascii="Times New Roman" w:hAnsi="Times New Roman" w:eastAsia="黑体" w:cs="Times New Roman"/>
      <w:b w:val="0"/>
      <w:bCs w:val="0"/>
      <w:snapToGrid w:val="0"/>
      <w:sz w:val="24"/>
      <w:szCs w:val="24"/>
    </w:rPr>
  </w:style>
  <w:style w:type="paragraph" w:customStyle="1" w:styleId="31">
    <w:name w:val="报告正文"/>
    <w:link w:val="35"/>
    <w:qFormat/>
    <w:uiPriority w:val="0"/>
    <w:pPr>
      <w:adjustRightInd w:val="0"/>
      <w:snapToGrid w:val="0"/>
      <w:spacing w:line="360" w:lineRule="auto"/>
      <w:ind w:firstLine="480" w:firstLineChars="200"/>
    </w:pPr>
    <w:rPr>
      <w:rFonts w:ascii="Times New Roman" w:hAnsi="宋体" w:eastAsia="宋体" w:cs="宋体"/>
      <w:bCs/>
      <w:snapToGrid w:val="0"/>
      <w:sz w:val="24"/>
      <w:szCs w:val="24"/>
      <w:lang w:val="en-US" w:eastAsia="zh-CN" w:bidi="ar-SA"/>
    </w:rPr>
  </w:style>
  <w:style w:type="character" w:customStyle="1" w:styleId="32">
    <w:name w:val="1级标题 Char"/>
    <w:link w:val="30"/>
    <w:qFormat/>
    <w:uiPriority w:val="0"/>
    <w:rPr>
      <w:rFonts w:ascii="Times New Roman" w:hAnsi="Times New Roman" w:eastAsia="黑体" w:cs="Times New Roman"/>
      <w:snapToGrid w:val="0"/>
      <w:kern w:val="44"/>
      <w:sz w:val="24"/>
      <w:szCs w:val="24"/>
    </w:rPr>
  </w:style>
  <w:style w:type="paragraph" w:customStyle="1" w:styleId="33">
    <w:name w:val="2级标题"/>
    <w:basedOn w:val="2"/>
    <w:next w:val="31"/>
    <w:link w:val="34"/>
    <w:qFormat/>
    <w:uiPriority w:val="0"/>
    <w:pPr>
      <w:keepNext w:val="0"/>
      <w:keepLines w:val="0"/>
      <w:numPr>
        <w:ilvl w:val="1"/>
        <w:numId w:val="1"/>
      </w:numPr>
      <w:tabs>
        <w:tab w:val="left" w:pos="240"/>
      </w:tabs>
      <w:adjustRightInd w:val="0"/>
      <w:snapToGrid w:val="0"/>
      <w:spacing w:before="260" w:after="260" w:line="240" w:lineRule="auto"/>
      <w:jc w:val="left"/>
      <w:outlineLvl w:val="1"/>
    </w:pPr>
    <w:rPr>
      <w:rFonts w:ascii="Times New Roman" w:hAnsi="Times New Roman" w:eastAsia="黑体" w:cs="Times New Roman"/>
      <w:b w:val="0"/>
      <w:bCs w:val="0"/>
      <w:snapToGrid w:val="0"/>
      <w:sz w:val="24"/>
      <w:szCs w:val="24"/>
    </w:rPr>
  </w:style>
  <w:style w:type="character" w:customStyle="1" w:styleId="34">
    <w:name w:val="2级标题 Char"/>
    <w:link w:val="33"/>
    <w:qFormat/>
    <w:uiPriority w:val="0"/>
    <w:rPr>
      <w:rFonts w:ascii="Times New Roman" w:hAnsi="Times New Roman" w:eastAsia="黑体" w:cs="Times New Roman"/>
      <w:snapToGrid w:val="0"/>
      <w:kern w:val="44"/>
      <w:sz w:val="24"/>
      <w:szCs w:val="24"/>
    </w:rPr>
  </w:style>
  <w:style w:type="character" w:customStyle="1" w:styleId="35">
    <w:name w:val="报告正文 Char"/>
    <w:link w:val="31"/>
    <w:qFormat/>
    <w:uiPriority w:val="0"/>
    <w:rPr>
      <w:rFonts w:ascii="Times New Roman" w:hAnsi="宋体" w:eastAsia="宋体" w:cs="宋体"/>
      <w:bCs/>
      <w:snapToGrid w:val="0"/>
      <w:kern w:val="0"/>
      <w:sz w:val="24"/>
      <w:szCs w:val="24"/>
    </w:rPr>
  </w:style>
  <w:style w:type="character" w:customStyle="1" w:styleId="36">
    <w:name w:val="标题 1 字符"/>
    <w:basedOn w:val="16"/>
    <w:link w:val="2"/>
    <w:qFormat/>
    <w:uiPriority w:val="9"/>
    <w:rPr>
      <w:b/>
      <w:bCs/>
      <w:kern w:val="44"/>
      <w:sz w:val="44"/>
      <w:szCs w:val="44"/>
    </w:rPr>
  </w:style>
  <w:style w:type="character" w:customStyle="1" w:styleId="37">
    <w:name w:val="批注框文本 字符"/>
    <w:basedOn w:val="16"/>
    <w:link w:val="7"/>
    <w:semiHidden/>
    <w:qFormat/>
    <w:uiPriority w:val="99"/>
    <w:rPr>
      <w:sz w:val="18"/>
      <w:szCs w:val="18"/>
    </w:rPr>
  </w:style>
  <w:style w:type="character" w:customStyle="1" w:styleId="38">
    <w:name w:val="标题 3 字符"/>
    <w:basedOn w:val="16"/>
    <w:link w:val="3"/>
    <w:qFormat/>
    <w:uiPriority w:val="99"/>
    <w:rPr>
      <w:b/>
      <w:bCs/>
      <w:kern w:val="2"/>
      <w:sz w:val="32"/>
      <w:szCs w:val="32"/>
    </w:rPr>
  </w:style>
  <w:style w:type="paragraph" w:customStyle="1" w:styleId="39">
    <w:name w:val="一级条标题"/>
    <w:next w:val="28"/>
    <w:qFormat/>
    <w:uiPriority w:val="0"/>
    <w:pPr>
      <w:numPr>
        <w:ilvl w:val="0"/>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0">
    <w:name w:val="标准书脚_奇数页"/>
    <w:qFormat/>
    <w:uiPriority w:val="99"/>
    <w:pPr>
      <w:numPr>
        <w:ilvl w:val="2"/>
        <w:numId w:val="2"/>
      </w:numPr>
      <w:spacing w:before="120"/>
      <w:ind w:left="0" w:right="198"/>
      <w:jc w:val="right"/>
    </w:pPr>
    <w:rPr>
      <w:rFonts w:ascii="宋体" w:hAnsi="Times New Roman" w:eastAsia="宋体" w:cs="Times New Roman"/>
      <w:sz w:val="18"/>
      <w:szCs w:val="18"/>
      <w:lang w:val="en-US" w:eastAsia="zh-CN" w:bidi="ar-SA"/>
    </w:rPr>
  </w:style>
  <w:style w:type="paragraph" w:customStyle="1" w:styleId="41">
    <w:name w:val="章标题"/>
    <w:next w:val="28"/>
    <w:qFormat/>
    <w:uiPriority w:val="0"/>
    <w:pPr>
      <w:tabs>
        <w:tab w:val="left" w:pos="720"/>
      </w:tabs>
      <w:spacing w:beforeLines="100" w:afterLines="100"/>
      <w:ind w:left="720" w:hanging="720"/>
      <w:jc w:val="both"/>
      <w:outlineLvl w:val="1"/>
    </w:pPr>
    <w:rPr>
      <w:rFonts w:ascii="黑体" w:hAnsi="Times New Roman" w:eastAsia="黑体" w:cs="Times New Roman"/>
      <w:sz w:val="21"/>
      <w:lang w:val="en-US" w:eastAsia="zh-CN" w:bidi="ar-SA"/>
    </w:rPr>
  </w:style>
  <w:style w:type="paragraph" w:customStyle="1" w:styleId="42">
    <w:name w:val="三级条标题"/>
    <w:basedOn w:val="1"/>
    <w:next w:val="28"/>
    <w:qFormat/>
    <w:uiPriority w:val="0"/>
    <w:pPr>
      <w:widowControl/>
      <w:numPr>
        <w:ilvl w:val="4"/>
        <w:numId w:val="2"/>
      </w:numPr>
      <w:spacing w:beforeLines="50" w:afterLines="50"/>
      <w:jc w:val="left"/>
      <w:outlineLvl w:val="4"/>
    </w:pPr>
    <w:rPr>
      <w:rFonts w:ascii="黑体" w:hAnsi="Times New Roman" w:eastAsia="黑体" w:cs="Times New Roman"/>
      <w:kern w:val="0"/>
      <w:szCs w:val="21"/>
    </w:rPr>
  </w:style>
  <w:style w:type="paragraph" w:customStyle="1" w:styleId="43">
    <w:name w:val="示例"/>
    <w:next w:val="1"/>
    <w:qFormat/>
    <w:uiPriority w:val="0"/>
    <w:pPr>
      <w:widowControl w:val="0"/>
      <w:numPr>
        <w:ilvl w:val="5"/>
        <w:numId w:val="2"/>
      </w:numPr>
      <w:ind w:firstLine="363"/>
      <w:jc w:val="both"/>
    </w:pPr>
    <w:rPr>
      <w:rFonts w:ascii="宋体" w:hAnsi="Times New Roman" w:eastAsia="宋体" w:cs="Times New Roman"/>
      <w:sz w:val="18"/>
      <w:szCs w:val="18"/>
      <w:lang w:val="en-US" w:eastAsia="zh-CN" w:bidi="ar-SA"/>
    </w:rPr>
  </w:style>
  <w:style w:type="character" w:customStyle="1" w:styleId="44">
    <w:name w:val="标题 3 Char1"/>
    <w:basedOn w:val="16"/>
    <w:semiHidden/>
    <w:qFormat/>
    <w:uiPriority w:val="9"/>
    <w:rPr>
      <w:b/>
      <w:bCs/>
      <w:sz w:val="32"/>
      <w:szCs w:val="32"/>
    </w:rPr>
  </w:style>
  <w:style w:type="paragraph" w:customStyle="1" w:styleId="45">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character" w:customStyle="1" w:styleId="46">
    <w:name w:val="批注文字 字符"/>
    <w:basedOn w:val="16"/>
    <w:link w:val="5"/>
    <w:qFormat/>
    <w:uiPriority w:val="0"/>
  </w:style>
  <w:style w:type="character" w:customStyle="1" w:styleId="47">
    <w:name w:val="批注主题 字符"/>
    <w:basedOn w:val="46"/>
    <w:link w:val="13"/>
    <w:semiHidden/>
    <w:qFormat/>
    <w:uiPriority w:val="99"/>
    <w:rPr>
      <w:b/>
      <w:bCs/>
    </w:rPr>
  </w:style>
  <w:style w:type="character" w:customStyle="1" w:styleId="48">
    <w:name w:val="正文文本 字符"/>
    <w:basedOn w:val="16"/>
    <w:link w:val="6"/>
    <w:qFormat/>
    <w:uiPriority w:val="1"/>
    <w:rPr>
      <w:rFonts w:ascii="宋体" w:hAnsi="宋体" w:eastAsia="宋体" w:cs="黑体"/>
      <w:kern w:val="0"/>
      <w:sz w:val="28"/>
      <w:szCs w:val="28"/>
      <w:lang w:eastAsia="en-US"/>
    </w:rPr>
  </w:style>
  <w:style w:type="character" w:customStyle="1" w:styleId="49">
    <w:name w:val="批注文字 Char"/>
    <w:qFormat/>
    <w:uiPriority w:val="0"/>
    <w:rPr>
      <w:kern w:val="2"/>
      <w:sz w:val="21"/>
      <w:szCs w:val="24"/>
    </w:rPr>
  </w:style>
  <w:style w:type="paragraph" w:customStyle="1" w:styleId="50">
    <w:name w:val="二级条标题"/>
    <w:basedOn w:val="39"/>
    <w:next w:val="28"/>
    <w:qFormat/>
    <w:uiPriority w:val="0"/>
    <w:pPr>
      <w:numPr>
        <w:numId w:val="0"/>
      </w:numPr>
      <w:spacing w:before="50" w:after="50"/>
      <w:outlineLvl w:val="3"/>
    </w:pPr>
  </w:style>
  <w:style w:type="paragraph" w:customStyle="1" w:styleId="51">
    <w:name w:val="二级无"/>
    <w:basedOn w:val="50"/>
    <w:qFormat/>
    <w:uiPriority w:val="0"/>
    <w:pPr>
      <w:spacing w:beforeLines="0" w:afterLines="0"/>
    </w:pPr>
    <w:rPr>
      <w:rFonts w:ascii="宋体" w:eastAsia="宋体"/>
    </w:rPr>
  </w:style>
  <w:style w:type="paragraph" w:customStyle="1" w:styleId="52">
    <w:name w:val="标准文件_二级条标题"/>
    <w:next w:val="53"/>
    <w:qFormat/>
    <w:uiPriority w:val="0"/>
    <w:pPr>
      <w:widowControl w:val="0"/>
      <w:spacing w:beforeLines="50" w:afterLines="50"/>
      <w:jc w:val="both"/>
      <w:outlineLvl w:val="2"/>
    </w:pPr>
    <w:rPr>
      <w:rFonts w:ascii="黑体" w:hAnsi="Times New Roman" w:eastAsia="黑体" w:cs="Times New Roman"/>
      <w:sz w:val="21"/>
      <w:lang w:val="en-US" w:eastAsia="zh-CN" w:bidi="ar-SA"/>
    </w:rPr>
  </w:style>
  <w:style w:type="paragraph" w:customStyle="1" w:styleId="5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4">
    <w:name w:val="标准文件_三级条标题"/>
    <w:basedOn w:val="52"/>
    <w:next w:val="53"/>
    <w:qFormat/>
    <w:uiPriority w:val="0"/>
    <w:pPr>
      <w:widowControl/>
      <w:outlineLvl w:val="3"/>
    </w:pPr>
  </w:style>
  <w:style w:type="paragraph" w:customStyle="1" w:styleId="55">
    <w:name w:val="标准文件_四级条标题"/>
    <w:next w:val="1"/>
    <w:qFormat/>
    <w:uiPriority w:val="0"/>
    <w:pPr>
      <w:widowControl w:val="0"/>
      <w:spacing w:beforeLines="50" w:afterLines="50"/>
      <w:jc w:val="both"/>
      <w:outlineLvl w:val="4"/>
    </w:pPr>
    <w:rPr>
      <w:rFonts w:ascii="黑体" w:hAnsi="Times New Roman" w:eastAsia="黑体" w:cs="Times New Roman"/>
      <w:sz w:val="21"/>
      <w:lang w:val="en-US" w:eastAsia="zh-CN" w:bidi="ar-SA"/>
    </w:rPr>
  </w:style>
  <w:style w:type="paragraph" w:customStyle="1" w:styleId="56">
    <w:name w:val="标准文件_五级条标题"/>
    <w:next w:val="1"/>
    <w:qFormat/>
    <w:uiPriority w:val="0"/>
    <w:pPr>
      <w:widowControl w:val="0"/>
      <w:spacing w:beforeLines="50" w:afterLines="50"/>
      <w:jc w:val="both"/>
      <w:outlineLvl w:val="5"/>
    </w:pPr>
    <w:rPr>
      <w:rFonts w:ascii="黑体" w:hAnsi="Times New Roman" w:eastAsia="黑体" w:cs="Times New Roman"/>
      <w:sz w:val="21"/>
      <w:lang w:val="en-US" w:eastAsia="zh-CN" w:bidi="ar-SA"/>
    </w:rPr>
  </w:style>
  <w:style w:type="paragraph" w:customStyle="1" w:styleId="57">
    <w:name w:val="标准文件_章标题"/>
    <w:next w:val="53"/>
    <w:qFormat/>
    <w:uiPriority w:val="0"/>
    <w:pPr>
      <w:spacing w:beforeLines="100" w:afterLines="100"/>
      <w:jc w:val="both"/>
      <w:outlineLvl w:val="0"/>
    </w:pPr>
    <w:rPr>
      <w:rFonts w:ascii="黑体" w:hAnsi="Times New Roman" w:eastAsia="黑体" w:cs="Times New Roman"/>
      <w:sz w:val="21"/>
      <w:lang w:val="en-US" w:eastAsia="zh-CN" w:bidi="ar-SA"/>
    </w:rPr>
  </w:style>
  <w:style w:type="paragraph" w:customStyle="1" w:styleId="58">
    <w:name w:val="标准文件_一级条标题"/>
    <w:basedOn w:val="57"/>
    <w:next w:val="53"/>
    <w:qFormat/>
    <w:uiPriority w:val="0"/>
    <w:pPr>
      <w:spacing w:beforeLines="50" w:afterLines="50"/>
      <w:outlineLvl w:val="1"/>
    </w:pPr>
  </w:style>
  <w:style w:type="paragraph" w:customStyle="1" w:styleId="59">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60">
    <w:name w:val="标准文件_二级无标题"/>
    <w:basedOn w:val="52"/>
    <w:qFormat/>
    <w:uiPriority w:val="0"/>
    <w:pPr>
      <w:spacing w:beforeLines="0" w:afterLines="0"/>
      <w:outlineLvl w:val="9"/>
    </w:pPr>
    <w:rPr>
      <w:rFonts w:ascii="宋体" w:eastAsia="宋体"/>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da9498d-d3b3-4032-9ba0-db52d2383929}"/>
        <w:style w:val=""/>
        <w:category>
          <w:name w:val="常规"/>
          <w:gallery w:val="placeholder"/>
        </w:category>
        <w:types>
          <w:type w:val="bbPlcHdr"/>
        </w:types>
        <w:behaviors>
          <w:behavior w:val="content"/>
        </w:behaviors>
        <w:description w:val=""/>
        <w:guid w:val="{3da9498d-d3b3-4032-9ba0-db52d2383929}"/>
      </w:docPartPr>
      <w:docPartBody>
        <w:p w14:paraId="664B216A">
          <w:pPr>
            <w:pStyle w:val="2"/>
            <w:rPr>
              <w:rFonts w:hint="eastAsia"/>
            </w:rPr>
          </w:pPr>
          <w:r>
            <w:rPr>
              <w:rStyle w:val="3"/>
              <w:rFonts w:hint="eastAsia"/>
            </w:rPr>
            <w:t>单击或点击此处输入文字。</w:t>
          </w:r>
        </w:p>
      </w:docPartBody>
    </w:docPart>
    <w:docPart>
      <w:docPartPr>
        <w:name w:val="{03e293bc-91fa-470c-b9e8-ff17c1fe697f}"/>
        <w:style w:val=""/>
        <w:category>
          <w:name w:val="常规"/>
          <w:gallery w:val="placeholder"/>
        </w:category>
        <w:types>
          <w:type w:val="bbPlcHdr"/>
        </w:types>
        <w:behaviors>
          <w:behavior w:val="content"/>
        </w:behaviors>
        <w:description w:val=""/>
        <w:guid w:val="{03e293bc-91fa-470c-b9e8-ff17c1fe697f}"/>
      </w:docPartPr>
      <w:docPartBody>
        <w:p w14:paraId="7D64F791">
          <w:pPr>
            <w:pStyle w:val="2"/>
            <w:rPr>
              <w:rFonts w:hint="eastAsia"/>
            </w:rPr>
          </w:pPr>
          <w:r>
            <w:rPr>
              <w:rStyle w:val="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D7250F40563643DA9319304DAA81F33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EF8BC-98F1-4183-B21E-7E4EC242BAE2}">
  <ds:schemaRefs/>
</ds:datastoreItem>
</file>

<file path=docProps/app.xml><?xml version="1.0" encoding="utf-8"?>
<Properties xmlns="http://schemas.openxmlformats.org/officeDocument/2006/extended-properties" xmlns:vt="http://schemas.openxmlformats.org/officeDocument/2006/docPropsVTypes">
  <Template>Normal</Template>
  <Pages>10</Pages>
  <Words>4655</Words>
  <Characters>4871</Characters>
  <Lines>48</Lines>
  <Paragraphs>13</Paragraphs>
  <TotalTime>0</TotalTime>
  <ScaleCrop>false</ScaleCrop>
  <LinksUpToDate>false</LinksUpToDate>
  <CharactersWithSpaces>4893</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2025-01-08T01:17:00Z</dcterms:created>
  <dc:creator>wangyukun</dc:creator>
  <cp:lastModifiedBy>枫宇</cp:lastModifiedBy>
  <cp:lastPrinted>2024-03-01T00:11:00Z</cp:lastPrinted>
  <dcterms:modified xsi:type="dcterms:W3CDTF">2026-04-24T06:14:31Z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8F01960B305445609149735331964DFC_13</vt:lpwstr>
  </property>
  <property fmtid="{D5CDD505-2E9C-101B-9397-08002B2CF9AE}" pid="4" name="KSOTemplateDocerSaveRecord">
    <vt:lpwstr>eyJoZGlkIjoiYTBjYWUzOTczMmM1MWQ3NjRkNWMyODI0NmJlMmIxYjUiLCJ1c2VySWQiOiIxMTUwMDczMDMzIn0=</vt:lpwstr>
  </property>
</Properties>
</file>