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C5D5CA">
      <w:pPr>
        <w:jc w:val="center"/>
        <w:rPr>
          <w:rFonts w:ascii="Times New Roman" w:hAnsi="Times New Roman" w:eastAsia="黑体" w:cs="Times New Roman"/>
          <w:color w:val="000000" w:themeColor="text1"/>
          <w:sz w:val="48"/>
          <w:szCs w:val="48"/>
          <w14:textFill>
            <w14:solidFill>
              <w14:schemeClr w14:val="tx1"/>
            </w14:solidFill>
          </w14:textFill>
        </w:rPr>
      </w:pPr>
      <w:bookmarkStart w:id="0" w:name="_Toc530768808"/>
      <w:bookmarkStart w:id="1" w:name="_Toc533255722"/>
      <w:r>
        <w:rPr>
          <w:rFonts w:hint="eastAsia" w:ascii="Times New Roman" w:hAnsi="Times New Roman" w:eastAsia="黑体" w:cs="Times New Roman"/>
          <w:color w:val="000000" w:themeColor="text1"/>
          <w:sz w:val="48"/>
          <w:szCs w:val="48"/>
          <w14:textFill>
            <w14:solidFill>
              <w14:schemeClr w14:val="tx1"/>
            </w14:solidFill>
          </w14:textFill>
        </w:rPr>
        <w:t>港口协会团体标准</w:t>
      </w:r>
    </w:p>
    <w:p w14:paraId="58BB75BA">
      <w:pPr>
        <w:jc w:val="center"/>
        <w:rPr>
          <w:rFonts w:ascii="Times New Roman" w:hAnsi="Times New Roman" w:eastAsia="黑体" w:cs="Times New Roman"/>
          <w:color w:val="000000" w:themeColor="text1"/>
          <w:sz w:val="48"/>
          <w:szCs w:val="48"/>
          <w14:textFill>
            <w14:solidFill>
              <w14:schemeClr w14:val="tx1"/>
            </w14:solidFill>
          </w14:textFill>
        </w:rPr>
      </w:pPr>
      <w:r>
        <w:rPr>
          <w:rFonts w:ascii="Times New Roman" w:hAnsi="Times New Roman" w:eastAsia="黑体" w:cs="Times New Roman"/>
          <w:color w:val="000000" w:themeColor="text1"/>
          <w:sz w:val="48"/>
          <w:szCs w:val="48"/>
          <w14:textFill>
            <w14:solidFill>
              <w14:schemeClr w14:val="tx1"/>
            </w14:solidFill>
          </w14:textFill>
        </w:rPr>
        <w:t>《</w:t>
      </w:r>
      <w:r>
        <w:rPr>
          <w:rFonts w:hint="eastAsia" w:ascii="Times New Roman" w:hAnsi="Times New Roman" w:eastAsia="黑体" w:cs="Times New Roman"/>
          <w:color w:val="000000" w:themeColor="text1"/>
          <w:sz w:val="48"/>
          <w:szCs w:val="48"/>
          <w14:textFill>
            <w14:solidFill>
              <w14:schemeClr w14:val="tx1"/>
            </w14:solidFill>
          </w14:textFill>
        </w:rPr>
        <w:t>岸边集装箱起重机大车行走机构防碰撞装置技术要求</w:t>
      </w:r>
      <w:r>
        <w:rPr>
          <w:rFonts w:ascii="Times New Roman" w:hAnsi="Times New Roman" w:eastAsia="黑体" w:cs="Times New Roman"/>
          <w:color w:val="000000" w:themeColor="text1"/>
          <w:sz w:val="48"/>
          <w:szCs w:val="48"/>
          <w14:textFill>
            <w14:solidFill>
              <w14:schemeClr w14:val="tx1"/>
            </w14:solidFill>
          </w14:textFill>
        </w:rPr>
        <w:t>》编制说明</w:t>
      </w:r>
    </w:p>
    <w:p w14:paraId="2AA03C0F">
      <w:pPr>
        <w:outlineLvl w:val="0"/>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一、工作简况</w:t>
      </w:r>
    </w:p>
    <w:p w14:paraId="602CDCF8">
      <w:pPr>
        <w:ind w:firstLine="551" w:firstLineChars="196"/>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1、任务来源</w:t>
      </w:r>
    </w:p>
    <w:p w14:paraId="342607E9">
      <w:pPr>
        <w:spacing w:line="360" w:lineRule="auto"/>
        <w:ind w:firstLine="560"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20</w:t>
      </w:r>
      <w:r>
        <w:rPr>
          <w:rFonts w:hint="eastAsia" w:ascii="Times New Roman" w:hAnsi="Times New Roman" w:cs="Times New Roman"/>
          <w:color w:val="000000" w:themeColor="text1"/>
          <w:sz w:val="28"/>
          <w:szCs w:val="28"/>
          <w14:textFill>
            <w14:solidFill>
              <w14:schemeClr w14:val="tx1"/>
            </w14:solidFill>
          </w14:textFill>
        </w:rPr>
        <w:t>2</w:t>
      </w:r>
      <w:r>
        <w:rPr>
          <w:rFonts w:hint="eastAsia" w:ascii="Times New Roman" w:hAnsi="Times New Roman" w:cs="Times New Roman"/>
          <w:color w:val="000000" w:themeColor="text1"/>
          <w:sz w:val="28"/>
          <w:szCs w:val="28"/>
          <w:lang w:val="en-US" w:eastAsia="zh-CN"/>
          <w14:textFill>
            <w14:solidFill>
              <w14:schemeClr w14:val="tx1"/>
            </w14:solidFill>
          </w14:textFill>
        </w:rPr>
        <w:t>4</w:t>
      </w:r>
      <w:r>
        <w:rPr>
          <w:rFonts w:ascii="Times New Roman" w:hAnsi="Times New Roman" w:cs="Times New Roman"/>
          <w:color w:val="000000" w:themeColor="text1"/>
          <w:sz w:val="28"/>
          <w:szCs w:val="28"/>
          <w14:textFill>
            <w14:solidFill>
              <w14:schemeClr w14:val="tx1"/>
            </w14:solidFill>
          </w14:textFill>
        </w:rPr>
        <w:t>年</w:t>
      </w:r>
      <w:r>
        <w:rPr>
          <w:rFonts w:hint="eastAsia" w:ascii="Times New Roman" w:hAnsi="Times New Roman" w:cs="Times New Roman"/>
          <w:color w:val="000000" w:themeColor="text1"/>
          <w:sz w:val="28"/>
          <w:szCs w:val="28"/>
          <w14:textFill>
            <w14:solidFill>
              <w14:schemeClr w14:val="tx1"/>
            </w14:solidFill>
          </w14:textFill>
        </w:rPr>
        <w:t>11</w:t>
      </w:r>
      <w:r>
        <w:rPr>
          <w:rFonts w:ascii="Times New Roman" w:hAnsi="Times New Roman" w:cs="Times New Roman"/>
          <w:color w:val="000000" w:themeColor="text1"/>
          <w:sz w:val="28"/>
          <w:szCs w:val="28"/>
          <w14:textFill>
            <w14:solidFill>
              <w14:schemeClr w14:val="tx1"/>
            </w14:solidFill>
          </w14:textFill>
        </w:rPr>
        <w:t>月，</w:t>
      </w:r>
      <w:r>
        <w:rPr>
          <w:rFonts w:hint="eastAsia" w:ascii="Times New Roman" w:hAnsi="Times New Roman" w:cs="Times New Roman"/>
          <w:color w:val="000000" w:themeColor="text1"/>
          <w:sz w:val="28"/>
          <w:szCs w:val="28"/>
          <w14:textFill>
            <w14:solidFill>
              <w14:schemeClr w14:val="tx1"/>
            </w14:solidFill>
          </w14:textFill>
        </w:rPr>
        <w:t>中国港口协会下达了关于《202</w:t>
      </w:r>
      <w:r>
        <w:rPr>
          <w:rFonts w:hint="eastAsia" w:ascii="Times New Roman" w:hAnsi="Times New Roman" w:cs="Times New Roman"/>
          <w:color w:val="000000" w:themeColor="text1"/>
          <w:sz w:val="28"/>
          <w:szCs w:val="28"/>
          <w:lang w:val="en-US" w:eastAsia="zh-CN"/>
          <w14:textFill>
            <w14:solidFill>
              <w14:schemeClr w14:val="tx1"/>
            </w14:solidFill>
          </w14:textFill>
        </w:rPr>
        <w:t>4</w:t>
      </w:r>
      <w:r>
        <w:rPr>
          <w:rFonts w:hint="eastAsia" w:ascii="Times New Roman" w:hAnsi="Times New Roman" w:cs="Times New Roman"/>
          <w:color w:val="000000" w:themeColor="text1"/>
          <w:sz w:val="28"/>
          <w:szCs w:val="28"/>
          <w14:textFill>
            <w14:solidFill>
              <w14:schemeClr w14:val="tx1"/>
            </w14:solidFill>
          </w14:textFill>
        </w:rPr>
        <w:t>年度中国港口协会团体标准化计划</w:t>
      </w:r>
      <w:r>
        <w:rPr>
          <w:rFonts w:hint="eastAsia" w:ascii="Times New Roman" w:hAnsi="Times New Roman" w:cs="Times New Roman"/>
          <w:color w:val="000000" w:themeColor="text1"/>
          <w:sz w:val="28"/>
          <w:szCs w:val="28"/>
          <w:lang w:eastAsia="zh-CN"/>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第二批</w:t>
      </w:r>
      <w:r>
        <w:rPr>
          <w:rFonts w:hint="eastAsia" w:ascii="Times New Roman" w:hAnsi="Times New Roman" w:cs="Times New Roman"/>
          <w:color w:val="000000" w:themeColor="text1"/>
          <w:sz w:val="28"/>
          <w:szCs w:val="28"/>
          <w:lang w:eastAsia="zh-CN"/>
          <w14:textFill>
            <w14:solidFill>
              <w14:schemeClr w14:val="tx1"/>
            </w14:solidFill>
          </w14:textFill>
        </w:rPr>
        <w:t>）</w:t>
      </w:r>
      <w:r>
        <w:rPr>
          <w:rFonts w:hint="eastAsia" w:ascii="Times New Roman" w:hAnsi="Times New Roman" w:cs="Times New Roman"/>
          <w:color w:val="000000" w:themeColor="text1"/>
          <w:sz w:val="28"/>
          <w:szCs w:val="28"/>
          <w14:textFill>
            <w14:solidFill>
              <w14:schemeClr w14:val="tx1"/>
            </w14:solidFill>
          </w14:textFill>
        </w:rPr>
        <w:t>》的通知</w:t>
      </w:r>
      <w:r>
        <w:rPr>
          <w:rFonts w:ascii="Times New Roman" w:hAnsi="Times New Roman" w:cs="Times New Roman"/>
          <w:color w:val="000000" w:themeColor="text1"/>
          <w:sz w:val="28"/>
          <w:szCs w:val="28"/>
          <w14:textFill>
            <w14:solidFill>
              <w14:schemeClr w14:val="tx1"/>
            </w14:solidFill>
          </w14:textFill>
        </w:rPr>
        <w:t>，本标准《</w:t>
      </w:r>
      <w:r>
        <w:rPr>
          <w:rFonts w:hint="eastAsia" w:ascii="Times New Roman" w:hAnsi="Times New Roman" w:cs="Times New Roman"/>
          <w:color w:val="000000" w:themeColor="text1"/>
          <w:sz w:val="28"/>
          <w:szCs w:val="28"/>
          <w14:textFill>
            <w14:solidFill>
              <w14:schemeClr w14:val="tx1"/>
            </w14:solidFill>
          </w14:textFill>
        </w:rPr>
        <w:t>岸边集装箱起重机大车行走机构防碰撞装置技术要求</w:t>
      </w:r>
      <w:r>
        <w:rPr>
          <w:rFonts w:ascii="Times New Roman" w:hAnsi="Times New Roman" w:cs="Times New Roman"/>
          <w:color w:val="000000" w:themeColor="text1"/>
          <w:sz w:val="28"/>
          <w:szCs w:val="28"/>
          <w14:textFill>
            <w14:solidFill>
              <w14:schemeClr w14:val="tx1"/>
            </w14:solidFill>
          </w14:textFill>
        </w:rPr>
        <w:t>》计划编号为</w:t>
      </w:r>
      <w:r>
        <w:rPr>
          <w:rFonts w:hint="eastAsia" w:ascii="Times New Roman" w:hAnsi="Times New Roman" w:cs="Times New Roman"/>
          <w:color w:val="000000" w:themeColor="text1"/>
          <w:sz w:val="28"/>
          <w:szCs w:val="28"/>
          <w14:textFill>
            <w14:solidFill>
              <w14:schemeClr w14:val="tx1"/>
            </w14:solidFill>
          </w14:textFill>
        </w:rPr>
        <w:t>202</w:t>
      </w:r>
      <w:r>
        <w:rPr>
          <w:rFonts w:hint="eastAsia" w:ascii="Times New Roman" w:hAnsi="Times New Roman" w:cs="Times New Roman"/>
          <w:color w:val="000000" w:themeColor="text1"/>
          <w:sz w:val="28"/>
          <w:szCs w:val="28"/>
          <w:lang w:val="en-US" w:eastAsia="zh-CN"/>
          <w14:textFill>
            <w14:solidFill>
              <w14:schemeClr w14:val="tx1"/>
            </w14:solidFill>
          </w14:textFill>
        </w:rPr>
        <w:t>4</w:t>
      </w:r>
      <w:bookmarkStart w:id="4" w:name="_GoBack"/>
      <w:bookmarkEnd w:id="4"/>
      <w:r>
        <w:rPr>
          <w:rFonts w:hint="eastAsia" w:ascii="Times New Roman" w:hAnsi="Times New Roman" w:cs="Times New Roman"/>
          <w:color w:val="000000" w:themeColor="text1"/>
          <w:sz w:val="28"/>
          <w:szCs w:val="28"/>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31</w:t>
      </w:r>
      <w:r>
        <w:rPr>
          <w:rFonts w:ascii="Times New Roman" w:hAnsi="Times New Roman" w:cs="Times New Roman"/>
          <w:color w:val="000000" w:themeColor="text1"/>
          <w:sz w:val="28"/>
          <w:szCs w:val="28"/>
          <w14:textFill>
            <w14:solidFill>
              <w14:schemeClr w14:val="tx1"/>
            </w14:solidFill>
          </w14:textFill>
        </w:rPr>
        <w:t>。</w:t>
      </w:r>
    </w:p>
    <w:p w14:paraId="320A4C1D">
      <w:pPr>
        <w:ind w:firstLine="551" w:firstLineChars="196"/>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2、主要起草人及其所做的工作</w:t>
      </w:r>
    </w:p>
    <w:p w14:paraId="5016BF8A">
      <w:pPr>
        <w:spacing w:line="360" w:lineRule="auto"/>
        <w:ind w:firstLine="562"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起草单位：</w:t>
      </w:r>
      <w:r>
        <w:rPr>
          <w:rFonts w:ascii="Times New Roman" w:hAnsi="Times New Roman" w:cs="Times New Roman"/>
          <w:color w:val="000000" w:themeColor="text1"/>
          <w:sz w:val="28"/>
          <w:szCs w:val="28"/>
          <w14:textFill>
            <w14:solidFill>
              <w14:schemeClr w14:val="tx1"/>
            </w14:solidFill>
          </w14:textFill>
        </w:rPr>
        <w:t>本标准的归口单位为</w:t>
      </w:r>
      <w:r>
        <w:rPr>
          <w:rFonts w:hint="eastAsia" w:ascii="Times New Roman" w:hAnsi="Times New Roman" w:cs="Times New Roman"/>
          <w:color w:val="000000" w:themeColor="text1"/>
          <w:sz w:val="28"/>
          <w:szCs w:val="28"/>
          <w14:textFill>
            <w14:solidFill>
              <w14:schemeClr w14:val="tx1"/>
            </w14:solidFill>
          </w14:textFill>
        </w:rPr>
        <w:t>中国港口协会</w:t>
      </w:r>
      <w:r>
        <w:rPr>
          <w:rFonts w:ascii="Times New Roman" w:hAnsi="Times New Roman" w:cs="Times New Roman"/>
          <w:color w:val="000000" w:themeColor="text1"/>
          <w:sz w:val="28"/>
          <w:szCs w:val="28"/>
          <w14:textFill>
            <w14:solidFill>
              <w14:schemeClr w14:val="tx1"/>
            </w14:solidFill>
          </w14:textFill>
        </w:rPr>
        <w:t>，起草单位为</w:t>
      </w:r>
      <w:r>
        <w:rPr>
          <w:rFonts w:hint="eastAsia" w:ascii="Times New Roman" w:hAnsi="Times New Roman" w:cs="Times New Roman"/>
          <w:color w:val="000000" w:themeColor="text1"/>
          <w:sz w:val="28"/>
          <w:szCs w:val="28"/>
          <w14:textFill>
            <w14:solidFill>
              <w14:schemeClr w14:val="tx1"/>
            </w14:solidFill>
          </w14:textFill>
        </w:rPr>
        <w:t>交通运输部天津水运工程科学研究所、天津港股份有限公司、天津港第二集装箱码头有限公司、辽港控股（营口）有限公司集装箱码头分公司</w:t>
      </w:r>
      <w:r>
        <w:rPr>
          <w:rFonts w:ascii="Times New Roman" w:hAnsi="Times New Roman" w:cs="Times New Roman"/>
          <w:color w:val="000000" w:themeColor="text1"/>
          <w:sz w:val="28"/>
          <w:szCs w:val="28"/>
          <w14:textFill>
            <w14:solidFill>
              <w14:schemeClr w14:val="tx1"/>
            </w14:solidFill>
          </w14:textFill>
        </w:rPr>
        <w:t>。</w:t>
      </w:r>
    </w:p>
    <w:p w14:paraId="13BEE428">
      <w:pPr>
        <w:spacing w:line="360" w:lineRule="auto"/>
        <w:ind w:firstLine="562" w:firstLineChars="200"/>
        <w:rPr>
          <w:rFonts w:ascii="Times New Roman" w:hAnsi="Times New Roman" w:cs="Times New Roman"/>
          <w:bCs/>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标准起草负责人：</w:t>
      </w:r>
      <w:r>
        <w:rPr>
          <w:rFonts w:hint="eastAsia" w:ascii="Times New Roman" w:hAnsi="Times New Roman" w:cs="Times New Roman"/>
          <w:b/>
          <w:color w:val="000000" w:themeColor="text1"/>
          <w:sz w:val="28"/>
          <w:szCs w:val="28"/>
          <w14:textFill>
            <w14:solidFill>
              <w14:schemeClr w14:val="tx1"/>
            </w14:solidFill>
          </w14:textFill>
        </w:rPr>
        <w:t>詹水芬</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4193"/>
        <w:gridCol w:w="3370"/>
      </w:tblGrid>
      <w:tr w14:paraId="1B1DE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blHeader/>
        </w:trPr>
        <w:tc>
          <w:tcPr>
            <w:tcW w:w="959" w:type="dxa"/>
            <w:vMerge w:val="restart"/>
            <w:tcBorders>
              <w:top w:val="single" w:color="auto" w:sz="12" w:space="0"/>
              <w:left w:val="single" w:color="auto" w:sz="12" w:space="0"/>
            </w:tcBorders>
            <w:vAlign w:val="center"/>
          </w:tcPr>
          <w:p w14:paraId="755DD335">
            <w:pPr>
              <w:adjustRightInd w:val="0"/>
              <w:snapToGrid w:val="0"/>
              <w:spacing w:line="30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cs="Times New Roman" w:hAnsiTheme="minorEastAsia"/>
                <w:b/>
                <w:color w:val="000000" w:themeColor="text1"/>
                <w:sz w:val="24"/>
                <w:szCs w:val="24"/>
                <w14:textFill>
                  <w14:solidFill>
                    <w14:schemeClr w14:val="tx1"/>
                  </w14:solidFill>
                </w14:textFill>
              </w:rPr>
              <w:t>起草人</w:t>
            </w:r>
          </w:p>
        </w:tc>
        <w:tc>
          <w:tcPr>
            <w:tcW w:w="4193" w:type="dxa"/>
            <w:vMerge w:val="restart"/>
            <w:tcBorders>
              <w:top w:val="single" w:color="auto" w:sz="12" w:space="0"/>
            </w:tcBorders>
            <w:vAlign w:val="center"/>
          </w:tcPr>
          <w:p w14:paraId="2B7C9742">
            <w:pPr>
              <w:adjustRightInd w:val="0"/>
              <w:snapToGrid w:val="0"/>
              <w:spacing w:line="30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cs="Times New Roman" w:hAnsiTheme="minorEastAsia"/>
                <w:b/>
                <w:color w:val="000000" w:themeColor="text1"/>
                <w:sz w:val="24"/>
                <w:szCs w:val="24"/>
                <w14:textFill>
                  <w14:solidFill>
                    <w14:schemeClr w14:val="tx1"/>
                  </w14:solidFill>
                </w14:textFill>
              </w:rPr>
              <w:t>单位</w:t>
            </w:r>
          </w:p>
        </w:tc>
        <w:tc>
          <w:tcPr>
            <w:tcW w:w="3370" w:type="dxa"/>
            <w:vMerge w:val="restart"/>
            <w:tcBorders>
              <w:top w:val="single" w:color="auto" w:sz="12" w:space="0"/>
              <w:right w:val="single" w:color="auto" w:sz="12" w:space="0"/>
            </w:tcBorders>
            <w:vAlign w:val="center"/>
          </w:tcPr>
          <w:p w14:paraId="65C39451">
            <w:pPr>
              <w:adjustRightInd w:val="0"/>
              <w:snapToGrid w:val="0"/>
              <w:spacing w:line="300" w:lineRule="auto"/>
              <w:jc w:val="center"/>
              <w:rPr>
                <w:rFonts w:ascii="Times New Roman" w:hAnsi="Times New Roman" w:cs="Times New Roman"/>
                <w:b/>
                <w:color w:val="000000" w:themeColor="text1"/>
                <w:szCs w:val="21"/>
                <w14:textFill>
                  <w14:solidFill>
                    <w14:schemeClr w14:val="tx1"/>
                  </w14:solidFill>
                </w14:textFill>
              </w:rPr>
            </w:pPr>
            <w:r>
              <w:rPr>
                <w:rFonts w:ascii="Times New Roman" w:cs="Times New Roman" w:hAnsiTheme="minorEastAsia"/>
                <w:b/>
                <w:color w:val="000000" w:themeColor="text1"/>
                <w:szCs w:val="21"/>
                <w14:textFill>
                  <w14:solidFill>
                    <w14:schemeClr w14:val="tx1"/>
                  </w14:solidFill>
                </w14:textFill>
              </w:rPr>
              <w:t>承担的工作</w:t>
            </w:r>
          </w:p>
        </w:tc>
      </w:tr>
      <w:tr w14:paraId="2EC03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trPr>
        <w:tc>
          <w:tcPr>
            <w:tcW w:w="959" w:type="dxa"/>
            <w:vMerge w:val="continue"/>
            <w:tcBorders>
              <w:left w:val="single" w:color="auto" w:sz="12" w:space="0"/>
            </w:tcBorders>
            <w:vAlign w:val="center"/>
          </w:tcPr>
          <w:p w14:paraId="64A80488">
            <w:pPr>
              <w:adjustRightInd w:val="0"/>
              <w:snapToGrid w:val="0"/>
              <w:spacing w:line="300" w:lineRule="auto"/>
              <w:jc w:val="center"/>
              <w:rPr>
                <w:rFonts w:ascii="Times New Roman" w:hAnsi="Times New Roman" w:cs="Times New Roman"/>
                <w:color w:val="000000" w:themeColor="text1"/>
                <w:sz w:val="24"/>
                <w:szCs w:val="24"/>
                <w14:textFill>
                  <w14:solidFill>
                    <w14:schemeClr w14:val="tx1"/>
                  </w14:solidFill>
                </w14:textFill>
              </w:rPr>
            </w:pPr>
          </w:p>
        </w:tc>
        <w:tc>
          <w:tcPr>
            <w:tcW w:w="4193" w:type="dxa"/>
            <w:vMerge w:val="continue"/>
            <w:vAlign w:val="center"/>
          </w:tcPr>
          <w:p w14:paraId="1CC2B385">
            <w:pPr>
              <w:adjustRightInd w:val="0"/>
              <w:snapToGrid w:val="0"/>
              <w:spacing w:line="300" w:lineRule="auto"/>
              <w:jc w:val="center"/>
              <w:rPr>
                <w:rFonts w:ascii="Times New Roman" w:hAnsi="Times New Roman" w:cs="Times New Roman"/>
                <w:color w:val="000000" w:themeColor="text1"/>
                <w:sz w:val="24"/>
                <w:szCs w:val="24"/>
                <w14:textFill>
                  <w14:solidFill>
                    <w14:schemeClr w14:val="tx1"/>
                  </w14:solidFill>
                </w14:textFill>
              </w:rPr>
            </w:pPr>
          </w:p>
        </w:tc>
        <w:tc>
          <w:tcPr>
            <w:tcW w:w="3370" w:type="dxa"/>
            <w:vMerge w:val="continue"/>
            <w:tcBorders>
              <w:right w:val="single" w:color="auto" w:sz="12" w:space="0"/>
            </w:tcBorders>
            <w:vAlign w:val="center"/>
          </w:tcPr>
          <w:p w14:paraId="746DAE2F">
            <w:pPr>
              <w:adjustRightInd w:val="0"/>
              <w:snapToGrid w:val="0"/>
              <w:spacing w:line="300" w:lineRule="auto"/>
              <w:jc w:val="center"/>
              <w:rPr>
                <w:rFonts w:ascii="Times New Roman" w:hAnsi="Times New Roman" w:cs="Times New Roman"/>
                <w:color w:val="000000" w:themeColor="text1"/>
                <w:szCs w:val="21"/>
                <w14:textFill>
                  <w14:solidFill>
                    <w14:schemeClr w14:val="tx1"/>
                  </w14:solidFill>
                </w14:textFill>
              </w:rPr>
            </w:pPr>
          </w:p>
        </w:tc>
      </w:tr>
      <w:tr w14:paraId="572BB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59" w:type="dxa"/>
            <w:tcBorders>
              <w:left w:val="single" w:color="auto" w:sz="12" w:space="0"/>
            </w:tcBorders>
            <w:shd w:val="clear" w:color="auto" w:fill="auto"/>
            <w:vAlign w:val="center"/>
          </w:tcPr>
          <w:p w14:paraId="1FCEBB8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HAnsi" w:hAnsiTheme="minorHAnsi" w:eastAsiaTheme="minorEastAsia" w:cstheme="minorBidi"/>
                <w:kern w:val="2"/>
                <w:sz w:val="24"/>
                <w:szCs w:val="24"/>
                <w:lang w:val="en-US" w:eastAsia="zh-CN" w:bidi="ar-SA"/>
              </w:rPr>
            </w:pPr>
            <w:r>
              <w:rPr>
                <w:rFonts w:hint="eastAsia"/>
                <w:sz w:val="24"/>
                <w:szCs w:val="24"/>
              </w:rPr>
              <w:t>詹水芬</w:t>
            </w:r>
          </w:p>
        </w:tc>
        <w:tc>
          <w:tcPr>
            <w:tcW w:w="4193" w:type="dxa"/>
            <w:vAlign w:val="center"/>
          </w:tcPr>
          <w:p w14:paraId="58FD6DE8">
            <w:pPr>
              <w:adjustRightInd w:val="0"/>
              <w:snapToGrid w:val="0"/>
              <w:spacing w:line="300" w:lineRule="auto"/>
              <w:rPr>
                <w:rFonts w:hint="eastAsia" w:ascii="宋体" w:hAnsi="宋体" w:eastAsia="宋体"/>
                <w:sz w:val="24"/>
                <w:szCs w:val="24"/>
              </w:rPr>
            </w:pPr>
            <w:r>
              <w:rPr>
                <w:rFonts w:hint="eastAsia" w:ascii="宋体" w:hAnsi="宋体" w:eastAsia="宋体"/>
                <w:sz w:val="24"/>
                <w:szCs w:val="24"/>
              </w:rPr>
              <w:t>交通运输部天津水运工程科学研究所</w:t>
            </w:r>
          </w:p>
        </w:tc>
        <w:tc>
          <w:tcPr>
            <w:tcW w:w="3370" w:type="dxa"/>
            <w:tcBorders>
              <w:right w:val="single" w:color="auto" w:sz="12" w:space="0"/>
            </w:tcBorders>
            <w:vAlign w:val="center"/>
          </w:tcPr>
          <w:p w14:paraId="0D6E2FC8">
            <w:pPr>
              <w:adjustRightInd w:val="0"/>
              <w:snapToGrid w:val="0"/>
              <w:spacing w:line="300" w:lineRule="auto"/>
              <w:jc w:val="center"/>
              <w:rPr>
                <w:rFonts w:hint="eastAsia" w:ascii="宋体" w:hAnsi="宋体" w:eastAsia="宋体"/>
                <w:sz w:val="24"/>
              </w:rPr>
            </w:pPr>
            <w:r>
              <w:rPr>
                <w:rFonts w:ascii="宋体" w:hAnsi="宋体" w:eastAsia="宋体"/>
                <w:sz w:val="24"/>
              </w:rPr>
              <w:t>负责标准编写</w:t>
            </w:r>
            <w:r>
              <w:rPr>
                <w:rFonts w:hint="eastAsia" w:ascii="宋体" w:hAnsi="宋体" w:eastAsia="宋体"/>
                <w:sz w:val="24"/>
              </w:rPr>
              <w:t>、审核和现场验证</w:t>
            </w:r>
            <w:r>
              <w:rPr>
                <w:rFonts w:ascii="宋体" w:hAnsi="宋体" w:eastAsia="宋体"/>
                <w:sz w:val="24"/>
              </w:rPr>
              <w:t>工作</w:t>
            </w:r>
          </w:p>
        </w:tc>
      </w:tr>
      <w:tr w14:paraId="5BCC2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59" w:type="dxa"/>
            <w:tcBorders>
              <w:left w:val="single" w:color="auto" w:sz="12" w:space="0"/>
            </w:tcBorders>
            <w:shd w:val="clear" w:color="auto" w:fill="auto"/>
            <w:vAlign w:val="center"/>
          </w:tcPr>
          <w:p w14:paraId="443C2DE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HAnsi" w:hAnsiTheme="minorHAnsi" w:eastAsiaTheme="minorEastAsia" w:cstheme="minorBidi"/>
                <w:kern w:val="2"/>
                <w:sz w:val="24"/>
                <w:szCs w:val="24"/>
                <w:lang w:val="en-US" w:eastAsia="zh-CN" w:bidi="ar-SA"/>
              </w:rPr>
            </w:pPr>
            <w:r>
              <w:rPr>
                <w:rFonts w:hint="eastAsia"/>
                <w:sz w:val="24"/>
                <w:szCs w:val="24"/>
              </w:rPr>
              <w:t>黄文栋</w:t>
            </w:r>
          </w:p>
        </w:tc>
        <w:tc>
          <w:tcPr>
            <w:tcW w:w="4193" w:type="dxa"/>
            <w:vAlign w:val="center"/>
          </w:tcPr>
          <w:p w14:paraId="53BAD355">
            <w:pPr>
              <w:adjustRightInd w:val="0"/>
              <w:snapToGrid w:val="0"/>
              <w:spacing w:line="300" w:lineRule="auto"/>
              <w:rPr>
                <w:rFonts w:hint="eastAsia" w:ascii="宋体" w:hAnsi="宋体" w:eastAsia="宋体"/>
                <w:sz w:val="24"/>
                <w:szCs w:val="24"/>
              </w:rPr>
            </w:pPr>
            <w:r>
              <w:rPr>
                <w:rFonts w:hint="eastAsia" w:ascii="Times New Roman" w:hAnsi="Times New Roman" w:cs="Times New Roman"/>
                <w:color w:val="000000" w:themeColor="text1"/>
                <w:sz w:val="24"/>
                <w:szCs w:val="24"/>
                <w14:textFill>
                  <w14:solidFill>
                    <w14:schemeClr w14:val="tx1"/>
                  </w14:solidFill>
                </w14:textFill>
              </w:rPr>
              <w:t>天津港股份有限公司</w:t>
            </w:r>
          </w:p>
        </w:tc>
        <w:tc>
          <w:tcPr>
            <w:tcW w:w="3370" w:type="dxa"/>
            <w:tcBorders>
              <w:right w:val="single" w:color="auto" w:sz="12" w:space="0"/>
            </w:tcBorders>
            <w:vAlign w:val="center"/>
          </w:tcPr>
          <w:p w14:paraId="414A55D8">
            <w:pPr>
              <w:adjustRightInd w:val="0"/>
              <w:snapToGrid w:val="0"/>
              <w:spacing w:line="300" w:lineRule="auto"/>
              <w:jc w:val="center"/>
              <w:rPr>
                <w:rFonts w:hint="eastAsia" w:ascii="宋体" w:hAnsi="宋体" w:eastAsia="宋体"/>
                <w:sz w:val="24"/>
              </w:rPr>
            </w:pPr>
            <w:r>
              <w:rPr>
                <w:rFonts w:hint="eastAsia" w:ascii="宋体" w:hAnsi="宋体" w:eastAsia="宋体"/>
                <w:sz w:val="24"/>
              </w:rPr>
              <w:t>负责</w:t>
            </w:r>
            <w:r>
              <w:rPr>
                <w:rFonts w:ascii="宋体" w:hAnsi="宋体" w:eastAsia="宋体"/>
                <w:sz w:val="24"/>
              </w:rPr>
              <w:t>标准编写</w:t>
            </w:r>
            <w:r>
              <w:rPr>
                <w:rFonts w:hint="eastAsia" w:ascii="宋体" w:hAnsi="宋体" w:eastAsia="宋体"/>
                <w:sz w:val="24"/>
              </w:rPr>
              <w:t>和现场验证</w:t>
            </w:r>
            <w:r>
              <w:rPr>
                <w:rFonts w:ascii="宋体" w:hAnsi="宋体" w:eastAsia="宋体"/>
                <w:sz w:val="24"/>
              </w:rPr>
              <w:t>工作</w:t>
            </w:r>
          </w:p>
        </w:tc>
      </w:tr>
      <w:tr w14:paraId="101A6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59" w:type="dxa"/>
            <w:tcBorders>
              <w:left w:val="single" w:color="auto" w:sz="12" w:space="0"/>
            </w:tcBorders>
            <w:shd w:val="clear" w:color="auto" w:fill="auto"/>
            <w:vAlign w:val="center"/>
          </w:tcPr>
          <w:p w14:paraId="41890B2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HAnsi" w:hAnsiTheme="minorHAnsi" w:eastAsiaTheme="minorEastAsia" w:cstheme="minorBidi"/>
                <w:kern w:val="2"/>
                <w:sz w:val="24"/>
                <w:szCs w:val="24"/>
                <w:lang w:val="en-US" w:eastAsia="zh-CN" w:bidi="ar-SA"/>
              </w:rPr>
            </w:pPr>
            <w:r>
              <w:rPr>
                <w:rFonts w:hint="eastAsia"/>
                <w:sz w:val="24"/>
                <w:szCs w:val="24"/>
              </w:rPr>
              <w:t>卢琳琳</w:t>
            </w:r>
          </w:p>
        </w:tc>
        <w:tc>
          <w:tcPr>
            <w:tcW w:w="4193" w:type="dxa"/>
            <w:vAlign w:val="center"/>
          </w:tcPr>
          <w:p w14:paraId="417D117C">
            <w:pPr>
              <w:adjustRightInd w:val="0"/>
              <w:snapToGrid w:val="0"/>
              <w:spacing w:line="300" w:lineRule="auto"/>
              <w:rPr>
                <w:rFonts w:hint="eastAsia" w:ascii="宋体" w:hAnsi="宋体" w:eastAsia="宋体"/>
                <w:sz w:val="24"/>
                <w:szCs w:val="24"/>
              </w:rPr>
            </w:pPr>
            <w:r>
              <w:rPr>
                <w:rFonts w:hint="eastAsia" w:ascii="宋体" w:hAnsi="宋体" w:eastAsia="宋体"/>
                <w:sz w:val="24"/>
                <w:szCs w:val="24"/>
              </w:rPr>
              <w:t>交通运输部天津水运工程科学研究所</w:t>
            </w:r>
          </w:p>
        </w:tc>
        <w:tc>
          <w:tcPr>
            <w:tcW w:w="3370" w:type="dxa"/>
            <w:tcBorders>
              <w:right w:val="single" w:color="auto" w:sz="12" w:space="0"/>
            </w:tcBorders>
            <w:vAlign w:val="center"/>
          </w:tcPr>
          <w:p w14:paraId="76149EBB">
            <w:pPr>
              <w:adjustRightInd w:val="0"/>
              <w:snapToGrid w:val="0"/>
              <w:spacing w:line="300" w:lineRule="auto"/>
              <w:jc w:val="center"/>
              <w:rPr>
                <w:rFonts w:hint="eastAsia" w:ascii="宋体" w:hAnsi="宋体" w:eastAsia="宋体"/>
                <w:sz w:val="24"/>
              </w:rPr>
            </w:pPr>
            <w:r>
              <w:rPr>
                <w:rFonts w:hint="eastAsia" w:ascii="宋体" w:hAnsi="宋体" w:eastAsia="宋体"/>
                <w:sz w:val="24"/>
              </w:rPr>
              <w:t>负责</w:t>
            </w:r>
            <w:r>
              <w:rPr>
                <w:rFonts w:ascii="宋体" w:hAnsi="宋体" w:eastAsia="宋体"/>
                <w:sz w:val="24"/>
              </w:rPr>
              <w:t>标准编写</w:t>
            </w:r>
            <w:r>
              <w:rPr>
                <w:rFonts w:hint="eastAsia" w:ascii="宋体" w:hAnsi="宋体" w:eastAsia="宋体"/>
                <w:sz w:val="24"/>
              </w:rPr>
              <w:t>和现场验证</w:t>
            </w:r>
            <w:r>
              <w:rPr>
                <w:rFonts w:ascii="宋体" w:hAnsi="宋体" w:eastAsia="宋体"/>
                <w:sz w:val="24"/>
              </w:rPr>
              <w:t>工作</w:t>
            </w:r>
          </w:p>
        </w:tc>
      </w:tr>
      <w:tr w14:paraId="2762E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59" w:type="dxa"/>
            <w:tcBorders>
              <w:left w:val="single" w:color="auto" w:sz="12" w:space="0"/>
            </w:tcBorders>
            <w:shd w:val="clear" w:color="auto" w:fill="auto"/>
            <w:vAlign w:val="center"/>
          </w:tcPr>
          <w:p w14:paraId="5EEA40F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HAnsi" w:hAnsiTheme="minorHAnsi" w:eastAsiaTheme="minorEastAsia" w:cstheme="minorBidi"/>
                <w:kern w:val="2"/>
                <w:sz w:val="24"/>
                <w:szCs w:val="24"/>
                <w:lang w:val="en-US" w:eastAsia="zh-CN" w:bidi="ar-SA"/>
              </w:rPr>
            </w:pPr>
            <w:r>
              <w:rPr>
                <w:rFonts w:hint="eastAsia"/>
                <w:sz w:val="24"/>
                <w:szCs w:val="24"/>
              </w:rPr>
              <w:t>任伟</w:t>
            </w:r>
          </w:p>
        </w:tc>
        <w:tc>
          <w:tcPr>
            <w:tcW w:w="4193" w:type="dxa"/>
            <w:vAlign w:val="center"/>
          </w:tcPr>
          <w:p w14:paraId="5BCA86BD">
            <w:pPr>
              <w:adjustRightInd w:val="0"/>
              <w:snapToGrid w:val="0"/>
              <w:spacing w:line="300" w:lineRule="auto"/>
              <w:rPr>
                <w:rFonts w:hint="eastAsia" w:ascii="宋体" w:hAnsi="宋体" w:eastAsia="宋体"/>
                <w:sz w:val="24"/>
                <w:szCs w:val="24"/>
              </w:rPr>
            </w:pPr>
            <w:r>
              <w:rPr>
                <w:rFonts w:hint="eastAsia" w:ascii="Times New Roman" w:hAnsi="Times New Roman" w:cs="Times New Roman"/>
                <w:color w:val="000000" w:themeColor="text1"/>
                <w:sz w:val="24"/>
                <w:szCs w:val="24"/>
                <w14:textFill>
                  <w14:solidFill>
                    <w14:schemeClr w14:val="tx1"/>
                  </w14:solidFill>
                </w14:textFill>
              </w:rPr>
              <w:t>天津港第二集装箱码头有限公司</w:t>
            </w:r>
          </w:p>
        </w:tc>
        <w:tc>
          <w:tcPr>
            <w:tcW w:w="3370" w:type="dxa"/>
            <w:tcBorders>
              <w:right w:val="single" w:color="auto" w:sz="12" w:space="0"/>
            </w:tcBorders>
            <w:vAlign w:val="center"/>
          </w:tcPr>
          <w:p w14:paraId="039FE00C">
            <w:pPr>
              <w:adjustRightInd w:val="0"/>
              <w:snapToGrid w:val="0"/>
              <w:spacing w:line="300" w:lineRule="auto"/>
              <w:jc w:val="center"/>
              <w:rPr>
                <w:rFonts w:hint="eastAsia" w:ascii="宋体" w:hAnsi="宋体" w:eastAsia="宋体"/>
                <w:sz w:val="24"/>
              </w:rPr>
            </w:pPr>
            <w:r>
              <w:rPr>
                <w:rFonts w:hint="eastAsia" w:ascii="宋体" w:hAnsi="宋体" w:eastAsia="宋体"/>
                <w:sz w:val="24"/>
              </w:rPr>
              <w:t>负责</w:t>
            </w:r>
            <w:r>
              <w:rPr>
                <w:rFonts w:ascii="宋体" w:hAnsi="宋体" w:eastAsia="宋体"/>
                <w:sz w:val="24"/>
              </w:rPr>
              <w:t>标准编写</w:t>
            </w:r>
            <w:r>
              <w:rPr>
                <w:rFonts w:hint="eastAsia" w:ascii="宋体" w:hAnsi="宋体" w:eastAsia="宋体"/>
                <w:sz w:val="24"/>
              </w:rPr>
              <w:t>和现场验证</w:t>
            </w:r>
            <w:r>
              <w:rPr>
                <w:rFonts w:ascii="宋体" w:hAnsi="宋体" w:eastAsia="宋体"/>
                <w:sz w:val="24"/>
              </w:rPr>
              <w:t>工作</w:t>
            </w:r>
          </w:p>
        </w:tc>
      </w:tr>
      <w:tr w14:paraId="0D5E9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59" w:type="dxa"/>
            <w:tcBorders>
              <w:left w:val="single" w:color="auto" w:sz="12" w:space="0"/>
            </w:tcBorders>
            <w:shd w:val="clear" w:color="auto" w:fill="auto"/>
            <w:vAlign w:val="center"/>
          </w:tcPr>
          <w:p w14:paraId="1882374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HAnsi" w:hAnsiTheme="minorHAnsi" w:eastAsiaTheme="minorEastAsia" w:cstheme="minorBidi"/>
                <w:kern w:val="2"/>
                <w:sz w:val="24"/>
                <w:szCs w:val="24"/>
                <w:lang w:val="en-US" w:eastAsia="zh-CN" w:bidi="ar-SA"/>
              </w:rPr>
            </w:pPr>
            <w:r>
              <w:rPr>
                <w:rFonts w:hint="eastAsia"/>
                <w:sz w:val="24"/>
                <w:szCs w:val="24"/>
              </w:rPr>
              <w:t>李阳</w:t>
            </w:r>
          </w:p>
        </w:tc>
        <w:tc>
          <w:tcPr>
            <w:tcW w:w="4193" w:type="dxa"/>
            <w:vAlign w:val="center"/>
          </w:tcPr>
          <w:p w14:paraId="568FAF1B">
            <w:pPr>
              <w:adjustRightInd w:val="0"/>
              <w:snapToGrid w:val="0"/>
              <w:spacing w:line="300" w:lineRule="auto"/>
              <w:rPr>
                <w:rFonts w:hint="eastAsia" w:ascii="宋体" w:hAnsi="宋体" w:eastAsia="宋体"/>
                <w:sz w:val="24"/>
                <w:szCs w:val="24"/>
              </w:rPr>
            </w:pPr>
            <w:r>
              <w:rPr>
                <w:rFonts w:hint="eastAsia" w:ascii="宋体" w:hAnsi="宋体" w:eastAsia="宋体"/>
                <w:sz w:val="24"/>
                <w:szCs w:val="24"/>
              </w:rPr>
              <w:t>辽港控股（营口）有限公司集装箱码头分公司</w:t>
            </w:r>
          </w:p>
        </w:tc>
        <w:tc>
          <w:tcPr>
            <w:tcW w:w="3370" w:type="dxa"/>
            <w:tcBorders>
              <w:right w:val="single" w:color="auto" w:sz="12" w:space="0"/>
            </w:tcBorders>
            <w:vAlign w:val="center"/>
          </w:tcPr>
          <w:p w14:paraId="613D7280">
            <w:pPr>
              <w:adjustRightInd w:val="0"/>
              <w:snapToGrid w:val="0"/>
              <w:spacing w:line="300" w:lineRule="auto"/>
              <w:jc w:val="center"/>
              <w:rPr>
                <w:rFonts w:hint="eastAsia" w:ascii="宋体" w:hAnsi="宋体" w:eastAsia="宋体"/>
                <w:sz w:val="24"/>
                <w:highlight w:val="yellow"/>
              </w:rPr>
            </w:pPr>
            <w:r>
              <w:rPr>
                <w:rFonts w:hint="eastAsia" w:ascii="宋体" w:hAnsi="宋体" w:eastAsia="宋体"/>
                <w:sz w:val="24"/>
              </w:rPr>
              <w:t>负责</w:t>
            </w:r>
            <w:r>
              <w:rPr>
                <w:rFonts w:ascii="宋体" w:hAnsi="宋体" w:eastAsia="宋体"/>
                <w:sz w:val="24"/>
              </w:rPr>
              <w:t>标准编写</w:t>
            </w:r>
            <w:r>
              <w:rPr>
                <w:rFonts w:hint="eastAsia" w:ascii="宋体" w:hAnsi="宋体" w:eastAsia="宋体"/>
                <w:sz w:val="24"/>
              </w:rPr>
              <w:t>和现场验证</w:t>
            </w:r>
            <w:r>
              <w:rPr>
                <w:rFonts w:ascii="宋体" w:hAnsi="宋体" w:eastAsia="宋体"/>
                <w:sz w:val="24"/>
              </w:rPr>
              <w:t>工作</w:t>
            </w:r>
          </w:p>
        </w:tc>
      </w:tr>
      <w:tr w14:paraId="7DF12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59" w:type="dxa"/>
            <w:tcBorders>
              <w:left w:val="single" w:color="auto" w:sz="12" w:space="0"/>
            </w:tcBorders>
            <w:shd w:val="clear" w:color="auto" w:fill="auto"/>
            <w:vAlign w:val="center"/>
          </w:tcPr>
          <w:p w14:paraId="0076EA2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HAnsi" w:hAnsiTheme="minorHAnsi" w:eastAsiaTheme="minorEastAsia" w:cstheme="minorBidi"/>
                <w:kern w:val="2"/>
                <w:sz w:val="24"/>
                <w:szCs w:val="24"/>
                <w:lang w:val="en-US" w:eastAsia="zh-CN" w:bidi="ar-SA"/>
              </w:rPr>
            </w:pPr>
            <w:r>
              <w:rPr>
                <w:rFonts w:hint="eastAsia"/>
                <w:sz w:val="24"/>
                <w:szCs w:val="24"/>
              </w:rPr>
              <w:t>范景民</w:t>
            </w:r>
          </w:p>
        </w:tc>
        <w:tc>
          <w:tcPr>
            <w:tcW w:w="4193" w:type="dxa"/>
          </w:tcPr>
          <w:p w14:paraId="6D029637">
            <w:pPr>
              <w:adjustRightInd w:val="0"/>
              <w:snapToGrid w:val="0"/>
              <w:spacing w:line="300" w:lineRule="auto"/>
              <w:rPr>
                <w:rFonts w:hint="eastAsia" w:ascii="宋体" w:hAnsi="宋体" w:eastAsia="宋体"/>
                <w:sz w:val="24"/>
                <w:szCs w:val="24"/>
              </w:rPr>
            </w:pPr>
            <w:r>
              <w:rPr>
                <w:rFonts w:hint="eastAsia" w:ascii="Times New Roman" w:hAnsi="Times New Roman" w:cs="Times New Roman"/>
                <w:color w:val="000000" w:themeColor="text1"/>
                <w:sz w:val="24"/>
                <w:szCs w:val="24"/>
                <w14:textFill>
                  <w14:solidFill>
                    <w14:schemeClr w14:val="tx1"/>
                  </w14:solidFill>
                </w14:textFill>
              </w:rPr>
              <w:t>天津港股份有限公司</w:t>
            </w:r>
          </w:p>
        </w:tc>
        <w:tc>
          <w:tcPr>
            <w:tcW w:w="3370" w:type="dxa"/>
            <w:tcBorders>
              <w:right w:val="single" w:color="auto" w:sz="12" w:space="0"/>
            </w:tcBorders>
          </w:tcPr>
          <w:p w14:paraId="17499BF8">
            <w:pPr>
              <w:adjustRightInd w:val="0"/>
              <w:snapToGrid w:val="0"/>
              <w:spacing w:line="300" w:lineRule="auto"/>
              <w:jc w:val="center"/>
              <w:rPr>
                <w:rFonts w:hint="eastAsia" w:ascii="宋体" w:hAnsi="宋体" w:eastAsia="宋体"/>
                <w:sz w:val="24"/>
              </w:rPr>
            </w:pPr>
            <w:r>
              <w:rPr>
                <w:rFonts w:ascii="宋体" w:hAnsi="宋体" w:eastAsia="宋体"/>
                <w:sz w:val="24"/>
              </w:rPr>
              <w:t>参与标准</w:t>
            </w:r>
            <w:r>
              <w:rPr>
                <w:rFonts w:hint="eastAsia" w:ascii="宋体" w:hAnsi="宋体" w:eastAsia="宋体"/>
                <w:sz w:val="24"/>
              </w:rPr>
              <w:t>第</w:t>
            </w:r>
            <w:r>
              <w:rPr>
                <w:rFonts w:hint="eastAsia" w:ascii="宋体" w:hAnsi="宋体" w:eastAsia="宋体"/>
                <w:sz w:val="24"/>
                <w:lang w:val="en-US" w:eastAsia="zh-CN"/>
              </w:rPr>
              <w:t>4</w:t>
            </w:r>
            <w:r>
              <w:rPr>
                <w:rFonts w:hint="eastAsia" w:ascii="宋体" w:hAnsi="宋体" w:eastAsia="宋体"/>
                <w:sz w:val="24"/>
              </w:rPr>
              <w:t>章</w:t>
            </w:r>
            <w:r>
              <w:rPr>
                <w:rFonts w:ascii="宋体" w:hAnsi="宋体" w:eastAsia="宋体"/>
                <w:sz w:val="24"/>
              </w:rPr>
              <w:t>编写工作</w:t>
            </w:r>
          </w:p>
        </w:tc>
      </w:tr>
      <w:tr w14:paraId="2DEE8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59" w:type="dxa"/>
            <w:tcBorders>
              <w:left w:val="single" w:color="auto" w:sz="12" w:space="0"/>
            </w:tcBorders>
            <w:shd w:val="clear" w:color="auto" w:fill="auto"/>
            <w:vAlign w:val="center"/>
          </w:tcPr>
          <w:p w14:paraId="2830AFB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HAnsi" w:hAnsiTheme="minorHAnsi" w:eastAsiaTheme="minorEastAsia" w:cstheme="minorBidi"/>
                <w:kern w:val="2"/>
                <w:sz w:val="24"/>
                <w:szCs w:val="24"/>
                <w:lang w:val="en-US" w:eastAsia="zh-CN" w:bidi="ar-SA"/>
              </w:rPr>
            </w:pPr>
            <w:r>
              <w:rPr>
                <w:rFonts w:hint="eastAsia"/>
                <w:sz w:val="24"/>
                <w:szCs w:val="24"/>
              </w:rPr>
              <w:t>佟雪峰</w:t>
            </w:r>
          </w:p>
        </w:tc>
        <w:tc>
          <w:tcPr>
            <w:tcW w:w="4193" w:type="dxa"/>
          </w:tcPr>
          <w:p w14:paraId="6ED30687">
            <w:pPr>
              <w:adjustRightInd w:val="0"/>
              <w:snapToGrid w:val="0"/>
              <w:spacing w:line="300" w:lineRule="auto"/>
              <w:rPr>
                <w:rFonts w:hint="eastAsia" w:ascii="宋体" w:hAnsi="宋体" w:eastAsia="宋体"/>
                <w:sz w:val="24"/>
                <w:szCs w:val="24"/>
              </w:rPr>
            </w:pPr>
            <w:r>
              <w:rPr>
                <w:rFonts w:hint="eastAsia" w:ascii="宋体" w:hAnsi="宋体" w:eastAsia="宋体"/>
                <w:sz w:val="24"/>
                <w:szCs w:val="24"/>
              </w:rPr>
              <w:t>辽港控股（营口）有限公司集装箱码头分公司</w:t>
            </w:r>
          </w:p>
        </w:tc>
        <w:tc>
          <w:tcPr>
            <w:tcW w:w="3370" w:type="dxa"/>
            <w:tcBorders>
              <w:right w:val="single" w:color="auto" w:sz="12" w:space="0"/>
            </w:tcBorders>
          </w:tcPr>
          <w:p w14:paraId="30AE6892">
            <w:pPr>
              <w:adjustRightInd w:val="0"/>
              <w:snapToGrid w:val="0"/>
              <w:spacing w:line="300" w:lineRule="auto"/>
              <w:jc w:val="center"/>
              <w:rPr>
                <w:rFonts w:hint="eastAsia" w:ascii="宋体" w:hAnsi="宋体" w:eastAsia="宋体"/>
                <w:sz w:val="24"/>
              </w:rPr>
            </w:pPr>
            <w:r>
              <w:rPr>
                <w:rFonts w:ascii="宋体" w:hAnsi="宋体" w:eastAsia="宋体"/>
                <w:sz w:val="24"/>
              </w:rPr>
              <w:t>参与标准</w:t>
            </w:r>
            <w:r>
              <w:rPr>
                <w:rFonts w:hint="eastAsia" w:ascii="宋体" w:hAnsi="宋体" w:eastAsia="宋体"/>
                <w:sz w:val="24"/>
              </w:rPr>
              <w:t>第</w:t>
            </w:r>
            <w:r>
              <w:rPr>
                <w:rFonts w:hint="eastAsia" w:ascii="宋体" w:hAnsi="宋体" w:eastAsia="宋体"/>
                <w:sz w:val="24"/>
                <w:lang w:val="en-US" w:eastAsia="zh-CN"/>
              </w:rPr>
              <w:t>4</w:t>
            </w:r>
            <w:r>
              <w:rPr>
                <w:rFonts w:hint="eastAsia" w:ascii="宋体" w:hAnsi="宋体" w:eastAsia="宋体"/>
                <w:sz w:val="24"/>
              </w:rPr>
              <w:t>章</w:t>
            </w:r>
            <w:r>
              <w:rPr>
                <w:rFonts w:ascii="宋体" w:hAnsi="宋体" w:eastAsia="宋体"/>
                <w:sz w:val="24"/>
              </w:rPr>
              <w:t>编写工作</w:t>
            </w:r>
          </w:p>
        </w:tc>
      </w:tr>
      <w:tr w14:paraId="0D98F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59" w:type="dxa"/>
            <w:tcBorders>
              <w:left w:val="single" w:color="auto" w:sz="12" w:space="0"/>
            </w:tcBorders>
            <w:shd w:val="clear" w:color="auto" w:fill="auto"/>
            <w:vAlign w:val="center"/>
          </w:tcPr>
          <w:p w14:paraId="3305B91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HAnsi" w:hAnsiTheme="minorHAnsi" w:eastAsiaTheme="minorEastAsia" w:cstheme="minorBidi"/>
                <w:kern w:val="2"/>
                <w:sz w:val="24"/>
                <w:szCs w:val="24"/>
                <w:lang w:val="en-US" w:eastAsia="zh-CN" w:bidi="ar-SA"/>
              </w:rPr>
            </w:pPr>
            <w:r>
              <w:rPr>
                <w:rFonts w:hint="eastAsia"/>
                <w:sz w:val="24"/>
                <w:szCs w:val="24"/>
              </w:rPr>
              <w:t>董席亮</w:t>
            </w:r>
          </w:p>
        </w:tc>
        <w:tc>
          <w:tcPr>
            <w:tcW w:w="4193" w:type="dxa"/>
          </w:tcPr>
          <w:p w14:paraId="7D9983C9">
            <w:pPr>
              <w:adjustRightInd w:val="0"/>
              <w:snapToGrid w:val="0"/>
              <w:spacing w:line="300" w:lineRule="auto"/>
              <w:rPr>
                <w:rFonts w:hint="eastAsia" w:ascii="宋体" w:hAnsi="宋体" w:eastAsia="宋体"/>
                <w:sz w:val="24"/>
                <w:szCs w:val="24"/>
              </w:rPr>
            </w:pPr>
            <w:r>
              <w:rPr>
                <w:rFonts w:hint="eastAsia" w:ascii="Times New Roman" w:hAnsi="Times New Roman" w:cs="Times New Roman"/>
                <w:color w:val="000000" w:themeColor="text1"/>
                <w:sz w:val="24"/>
                <w:szCs w:val="24"/>
                <w14:textFill>
                  <w14:solidFill>
                    <w14:schemeClr w14:val="tx1"/>
                  </w14:solidFill>
                </w14:textFill>
              </w:rPr>
              <w:t>天津港股份有限公司</w:t>
            </w:r>
          </w:p>
        </w:tc>
        <w:tc>
          <w:tcPr>
            <w:tcW w:w="3370" w:type="dxa"/>
            <w:tcBorders>
              <w:right w:val="single" w:color="auto" w:sz="12" w:space="0"/>
            </w:tcBorders>
          </w:tcPr>
          <w:p w14:paraId="0561A238">
            <w:pPr>
              <w:adjustRightInd w:val="0"/>
              <w:snapToGrid w:val="0"/>
              <w:spacing w:line="300" w:lineRule="auto"/>
              <w:jc w:val="center"/>
              <w:rPr>
                <w:rFonts w:hint="eastAsia" w:ascii="宋体" w:hAnsi="宋体" w:eastAsia="宋体"/>
                <w:sz w:val="24"/>
              </w:rPr>
            </w:pPr>
            <w:r>
              <w:rPr>
                <w:rFonts w:ascii="宋体" w:hAnsi="宋体" w:eastAsia="宋体"/>
                <w:sz w:val="24"/>
              </w:rPr>
              <w:t>参与标准</w:t>
            </w:r>
            <w:r>
              <w:rPr>
                <w:rFonts w:hint="eastAsia" w:ascii="宋体" w:hAnsi="宋体" w:eastAsia="宋体"/>
                <w:sz w:val="24"/>
              </w:rPr>
              <w:t>第</w:t>
            </w:r>
            <w:r>
              <w:rPr>
                <w:rFonts w:hint="eastAsia" w:ascii="宋体" w:hAnsi="宋体" w:eastAsia="宋体"/>
                <w:sz w:val="24"/>
                <w:lang w:val="en-US" w:eastAsia="zh-CN"/>
              </w:rPr>
              <w:t>5</w:t>
            </w:r>
            <w:r>
              <w:rPr>
                <w:rFonts w:hint="eastAsia" w:ascii="宋体" w:hAnsi="宋体" w:eastAsia="宋体"/>
                <w:sz w:val="24"/>
              </w:rPr>
              <w:t>章</w:t>
            </w:r>
            <w:r>
              <w:rPr>
                <w:rFonts w:ascii="宋体" w:hAnsi="宋体" w:eastAsia="宋体"/>
                <w:sz w:val="24"/>
              </w:rPr>
              <w:t>编写工作</w:t>
            </w:r>
          </w:p>
        </w:tc>
      </w:tr>
      <w:tr w14:paraId="6BB9B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59" w:type="dxa"/>
            <w:tcBorders>
              <w:left w:val="single" w:color="auto" w:sz="12" w:space="0"/>
            </w:tcBorders>
            <w:shd w:val="clear" w:color="auto" w:fill="auto"/>
            <w:vAlign w:val="center"/>
          </w:tcPr>
          <w:p w14:paraId="412B43D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HAnsi" w:hAnsiTheme="minorHAnsi" w:eastAsiaTheme="minorEastAsia" w:cstheme="minorBidi"/>
                <w:kern w:val="2"/>
                <w:sz w:val="24"/>
                <w:szCs w:val="24"/>
                <w:lang w:val="en-US" w:eastAsia="zh-CN" w:bidi="ar-SA"/>
              </w:rPr>
            </w:pPr>
            <w:r>
              <w:rPr>
                <w:rFonts w:hint="eastAsia"/>
                <w:sz w:val="24"/>
                <w:szCs w:val="24"/>
              </w:rPr>
              <w:t>牟宗鹏</w:t>
            </w:r>
          </w:p>
        </w:tc>
        <w:tc>
          <w:tcPr>
            <w:tcW w:w="4193" w:type="dxa"/>
          </w:tcPr>
          <w:p w14:paraId="33D5AC93">
            <w:pPr>
              <w:adjustRightInd w:val="0"/>
              <w:snapToGrid w:val="0"/>
              <w:spacing w:line="300" w:lineRule="auto"/>
              <w:rPr>
                <w:rFonts w:hint="eastAsia" w:ascii="宋体" w:hAnsi="宋体" w:eastAsia="宋体"/>
                <w:sz w:val="24"/>
                <w:szCs w:val="24"/>
              </w:rPr>
            </w:pPr>
            <w:r>
              <w:rPr>
                <w:rFonts w:hint="eastAsia" w:ascii="宋体" w:hAnsi="宋体" w:eastAsia="宋体"/>
                <w:sz w:val="24"/>
                <w:szCs w:val="24"/>
              </w:rPr>
              <w:t>辽港控股（营口）有限公司集装箱码头分公司</w:t>
            </w:r>
          </w:p>
        </w:tc>
        <w:tc>
          <w:tcPr>
            <w:tcW w:w="3370" w:type="dxa"/>
            <w:tcBorders>
              <w:right w:val="single" w:color="auto" w:sz="12" w:space="0"/>
            </w:tcBorders>
          </w:tcPr>
          <w:p w14:paraId="274A62B7">
            <w:pPr>
              <w:adjustRightInd w:val="0"/>
              <w:snapToGrid w:val="0"/>
              <w:spacing w:line="300" w:lineRule="auto"/>
              <w:jc w:val="center"/>
              <w:rPr>
                <w:rFonts w:hint="eastAsia" w:ascii="宋体" w:hAnsi="宋体" w:eastAsia="宋体"/>
                <w:sz w:val="24"/>
              </w:rPr>
            </w:pPr>
            <w:r>
              <w:rPr>
                <w:rFonts w:ascii="宋体" w:hAnsi="宋体" w:eastAsia="宋体"/>
                <w:sz w:val="24"/>
              </w:rPr>
              <w:t>参与标准</w:t>
            </w:r>
            <w:r>
              <w:rPr>
                <w:rFonts w:hint="eastAsia" w:ascii="宋体" w:hAnsi="宋体" w:eastAsia="宋体"/>
                <w:sz w:val="24"/>
              </w:rPr>
              <w:t>第</w:t>
            </w:r>
            <w:r>
              <w:rPr>
                <w:rFonts w:hint="eastAsia" w:ascii="宋体" w:hAnsi="宋体" w:eastAsia="宋体"/>
                <w:sz w:val="24"/>
                <w:lang w:val="en-US" w:eastAsia="zh-CN"/>
              </w:rPr>
              <w:t>5</w:t>
            </w:r>
            <w:r>
              <w:rPr>
                <w:rFonts w:hint="eastAsia" w:ascii="宋体" w:hAnsi="宋体" w:eastAsia="宋体"/>
                <w:sz w:val="24"/>
              </w:rPr>
              <w:t>章</w:t>
            </w:r>
            <w:r>
              <w:rPr>
                <w:rFonts w:ascii="宋体" w:hAnsi="宋体" w:eastAsia="宋体"/>
                <w:sz w:val="24"/>
              </w:rPr>
              <w:t>编写工作</w:t>
            </w:r>
          </w:p>
        </w:tc>
      </w:tr>
      <w:tr w14:paraId="7987B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59" w:type="dxa"/>
            <w:tcBorders>
              <w:left w:val="single" w:color="auto" w:sz="12" w:space="0"/>
            </w:tcBorders>
            <w:shd w:val="clear" w:color="auto" w:fill="auto"/>
            <w:vAlign w:val="center"/>
          </w:tcPr>
          <w:p w14:paraId="4F64BA9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HAnsi" w:hAnsiTheme="minorHAnsi" w:eastAsiaTheme="minorEastAsia" w:cstheme="minorBidi"/>
                <w:kern w:val="2"/>
                <w:sz w:val="24"/>
                <w:szCs w:val="24"/>
                <w:lang w:val="en-US" w:eastAsia="zh-CN" w:bidi="ar-SA"/>
              </w:rPr>
            </w:pPr>
            <w:r>
              <w:rPr>
                <w:rFonts w:hint="eastAsia"/>
                <w:sz w:val="24"/>
                <w:szCs w:val="24"/>
              </w:rPr>
              <w:t>陈月木</w:t>
            </w:r>
          </w:p>
        </w:tc>
        <w:tc>
          <w:tcPr>
            <w:tcW w:w="4193" w:type="dxa"/>
          </w:tcPr>
          <w:p w14:paraId="66565CC3">
            <w:pPr>
              <w:adjustRightInd w:val="0"/>
              <w:snapToGrid w:val="0"/>
              <w:spacing w:line="300" w:lineRule="auto"/>
              <w:rPr>
                <w:rFonts w:hint="eastAsia" w:ascii="宋体" w:hAnsi="宋体" w:eastAsia="宋体"/>
                <w:sz w:val="24"/>
                <w:szCs w:val="24"/>
              </w:rPr>
            </w:pPr>
            <w:r>
              <w:rPr>
                <w:rFonts w:hint="eastAsia" w:ascii="Times New Roman" w:hAnsi="Times New Roman" w:cs="Times New Roman"/>
                <w:color w:val="000000" w:themeColor="text1"/>
                <w:sz w:val="24"/>
                <w:szCs w:val="24"/>
                <w14:textFill>
                  <w14:solidFill>
                    <w14:schemeClr w14:val="tx1"/>
                  </w14:solidFill>
                </w14:textFill>
              </w:rPr>
              <w:t>天津港第二集装箱码头有限公司</w:t>
            </w:r>
          </w:p>
        </w:tc>
        <w:tc>
          <w:tcPr>
            <w:tcW w:w="3370" w:type="dxa"/>
            <w:tcBorders>
              <w:right w:val="single" w:color="auto" w:sz="12" w:space="0"/>
            </w:tcBorders>
          </w:tcPr>
          <w:p w14:paraId="1A3189FF">
            <w:pPr>
              <w:adjustRightInd w:val="0"/>
              <w:snapToGrid w:val="0"/>
              <w:spacing w:line="300" w:lineRule="auto"/>
              <w:jc w:val="center"/>
              <w:rPr>
                <w:rFonts w:hint="eastAsia" w:ascii="宋体" w:hAnsi="宋体" w:eastAsia="宋体"/>
                <w:sz w:val="24"/>
              </w:rPr>
            </w:pPr>
            <w:r>
              <w:rPr>
                <w:rFonts w:ascii="宋体" w:hAnsi="宋体" w:eastAsia="宋体"/>
                <w:sz w:val="24"/>
              </w:rPr>
              <w:t>参与标准</w:t>
            </w:r>
            <w:r>
              <w:rPr>
                <w:rFonts w:hint="eastAsia" w:ascii="宋体" w:hAnsi="宋体" w:eastAsia="宋体"/>
                <w:sz w:val="24"/>
              </w:rPr>
              <w:t>第</w:t>
            </w:r>
            <w:r>
              <w:rPr>
                <w:rFonts w:hint="eastAsia" w:ascii="宋体" w:hAnsi="宋体" w:eastAsia="宋体"/>
                <w:sz w:val="24"/>
                <w:lang w:val="en-US" w:eastAsia="zh-CN"/>
              </w:rPr>
              <w:t>5</w:t>
            </w:r>
            <w:r>
              <w:rPr>
                <w:rFonts w:hint="eastAsia" w:ascii="宋体" w:hAnsi="宋体" w:eastAsia="宋体"/>
                <w:sz w:val="24"/>
              </w:rPr>
              <w:t>章</w:t>
            </w:r>
            <w:r>
              <w:rPr>
                <w:rFonts w:ascii="宋体" w:hAnsi="宋体" w:eastAsia="宋体"/>
                <w:sz w:val="24"/>
              </w:rPr>
              <w:t>编写工作</w:t>
            </w:r>
          </w:p>
        </w:tc>
      </w:tr>
      <w:tr w14:paraId="72CB7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59" w:type="dxa"/>
            <w:tcBorders>
              <w:left w:val="single" w:color="auto" w:sz="12" w:space="0"/>
            </w:tcBorders>
            <w:shd w:val="clear" w:color="auto" w:fill="auto"/>
            <w:vAlign w:val="center"/>
          </w:tcPr>
          <w:p w14:paraId="6691EEF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HAnsi" w:hAnsiTheme="minorHAnsi" w:eastAsiaTheme="minorEastAsia" w:cstheme="minorBidi"/>
                <w:kern w:val="2"/>
                <w:sz w:val="24"/>
                <w:szCs w:val="24"/>
                <w:lang w:val="en-US" w:eastAsia="zh-CN" w:bidi="ar-SA"/>
              </w:rPr>
            </w:pPr>
            <w:r>
              <w:rPr>
                <w:rFonts w:hint="eastAsia"/>
                <w:sz w:val="24"/>
                <w:szCs w:val="24"/>
              </w:rPr>
              <w:t>贾鹏宇</w:t>
            </w:r>
          </w:p>
        </w:tc>
        <w:tc>
          <w:tcPr>
            <w:tcW w:w="4193" w:type="dxa"/>
          </w:tcPr>
          <w:p w14:paraId="0789F39F">
            <w:pPr>
              <w:adjustRightInd w:val="0"/>
              <w:snapToGrid w:val="0"/>
              <w:spacing w:line="300" w:lineRule="auto"/>
              <w:rPr>
                <w:rFonts w:hint="eastAsia" w:ascii="宋体" w:hAnsi="宋体" w:eastAsia="宋体"/>
                <w:sz w:val="24"/>
                <w:szCs w:val="24"/>
              </w:rPr>
            </w:pPr>
            <w:r>
              <w:rPr>
                <w:rFonts w:hint="eastAsia" w:ascii="宋体" w:hAnsi="宋体" w:eastAsia="宋体"/>
                <w:sz w:val="24"/>
                <w:szCs w:val="24"/>
              </w:rPr>
              <w:t>交通运输部天津水运工程科学研究所</w:t>
            </w:r>
          </w:p>
        </w:tc>
        <w:tc>
          <w:tcPr>
            <w:tcW w:w="3370" w:type="dxa"/>
            <w:tcBorders>
              <w:right w:val="single" w:color="auto" w:sz="12" w:space="0"/>
            </w:tcBorders>
            <w:vAlign w:val="center"/>
          </w:tcPr>
          <w:p w14:paraId="5253C578">
            <w:pPr>
              <w:adjustRightInd w:val="0"/>
              <w:snapToGrid w:val="0"/>
              <w:spacing w:line="300" w:lineRule="auto"/>
              <w:jc w:val="center"/>
              <w:rPr>
                <w:rFonts w:hint="eastAsia" w:ascii="宋体" w:hAnsi="宋体" w:eastAsia="宋体"/>
                <w:sz w:val="24"/>
              </w:rPr>
            </w:pPr>
            <w:r>
              <w:rPr>
                <w:rFonts w:ascii="宋体" w:hAnsi="宋体" w:eastAsia="宋体"/>
                <w:sz w:val="24"/>
              </w:rPr>
              <w:t>参与标准</w:t>
            </w:r>
            <w:r>
              <w:rPr>
                <w:rFonts w:hint="eastAsia" w:ascii="宋体" w:hAnsi="宋体" w:eastAsia="宋体"/>
                <w:sz w:val="24"/>
              </w:rPr>
              <w:t>第</w:t>
            </w:r>
            <w:r>
              <w:rPr>
                <w:rFonts w:hint="eastAsia" w:ascii="宋体" w:hAnsi="宋体" w:eastAsia="宋体"/>
                <w:sz w:val="24"/>
                <w:lang w:val="en-US" w:eastAsia="zh-CN"/>
              </w:rPr>
              <w:t>6</w:t>
            </w:r>
            <w:r>
              <w:rPr>
                <w:rFonts w:hint="eastAsia" w:ascii="宋体" w:hAnsi="宋体" w:eastAsia="宋体"/>
                <w:sz w:val="24"/>
              </w:rPr>
              <w:t>章</w:t>
            </w:r>
            <w:r>
              <w:rPr>
                <w:rFonts w:ascii="宋体" w:hAnsi="宋体" w:eastAsia="宋体"/>
                <w:sz w:val="24"/>
              </w:rPr>
              <w:t>编写工作</w:t>
            </w:r>
          </w:p>
        </w:tc>
      </w:tr>
      <w:tr w14:paraId="34203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59" w:type="dxa"/>
            <w:tcBorders>
              <w:left w:val="single" w:color="auto" w:sz="12" w:space="0"/>
            </w:tcBorders>
            <w:shd w:val="clear" w:color="auto" w:fill="auto"/>
            <w:vAlign w:val="center"/>
          </w:tcPr>
          <w:p w14:paraId="03391E9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HAnsi" w:hAnsiTheme="minorHAnsi" w:eastAsiaTheme="minorEastAsia" w:cstheme="minorBidi"/>
                <w:kern w:val="2"/>
                <w:sz w:val="24"/>
                <w:szCs w:val="24"/>
                <w:lang w:val="en-US" w:eastAsia="zh-CN" w:bidi="ar-SA"/>
              </w:rPr>
            </w:pPr>
            <w:r>
              <w:rPr>
                <w:rFonts w:hint="eastAsia"/>
                <w:sz w:val="24"/>
                <w:szCs w:val="24"/>
              </w:rPr>
              <w:t>车江</w:t>
            </w:r>
          </w:p>
        </w:tc>
        <w:tc>
          <w:tcPr>
            <w:tcW w:w="4193" w:type="dxa"/>
          </w:tcPr>
          <w:p w14:paraId="41564311">
            <w:pPr>
              <w:adjustRightInd w:val="0"/>
              <w:snapToGrid w:val="0"/>
              <w:spacing w:line="300" w:lineRule="auto"/>
              <w:rPr>
                <w:rFonts w:hint="eastAsia" w:ascii="宋体" w:hAnsi="宋体" w:eastAsia="宋体"/>
                <w:sz w:val="24"/>
                <w:szCs w:val="24"/>
              </w:rPr>
            </w:pPr>
            <w:r>
              <w:rPr>
                <w:rFonts w:hint="eastAsia" w:ascii="Times New Roman" w:hAnsi="Times New Roman" w:cs="Times New Roman"/>
                <w:color w:val="000000" w:themeColor="text1"/>
                <w:sz w:val="24"/>
                <w:szCs w:val="24"/>
                <w14:textFill>
                  <w14:solidFill>
                    <w14:schemeClr w14:val="tx1"/>
                  </w14:solidFill>
                </w14:textFill>
              </w:rPr>
              <w:t>天津港股份有限公司</w:t>
            </w:r>
          </w:p>
        </w:tc>
        <w:tc>
          <w:tcPr>
            <w:tcW w:w="3370" w:type="dxa"/>
            <w:tcBorders>
              <w:right w:val="single" w:color="auto" w:sz="12" w:space="0"/>
            </w:tcBorders>
            <w:vAlign w:val="center"/>
          </w:tcPr>
          <w:p w14:paraId="2557CB55">
            <w:pPr>
              <w:adjustRightInd w:val="0"/>
              <w:snapToGrid w:val="0"/>
              <w:spacing w:line="300" w:lineRule="auto"/>
              <w:jc w:val="center"/>
              <w:rPr>
                <w:rFonts w:hint="eastAsia" w:ascii="宋体" w:hAnsi="宋体" w:eastAsia="宋体"/>
                <w:sz w:val="24"/>
              </w:rPr>
            </w:pPr>
            <w:r>
              <w:rPr>
                <w:rFonts w:ascii="宋体" w:hAnsi="宋体" w:eastAsia="宋体"/>
                <w:sz w:val="24"/>
              </w:rPr>
              <w:t>参与标准</w:t>
            </w:r>
            <w:r>
              <w:rPr>
                <w:rFonts w:hint="eastAsia" w:ascii="宋体" w:hAnsi="宋体" w:eastAsia="宋体"/>
                <w:sz w:val="24"/>
              </w:rPr>
              <w:t>第</w:t>
            </w:r>
            <w:r>
              <w:rPr>
                <w:rFonts w:hint="eastAsia" w:ascii="宋体" w:hAnsi="宋体" w:eastAsia="宋体"/>
                <w:sz w:val="24"/>
                <w:lang w:val="en-US" w:eastAsia="zh-CN"/>
              </w:rPr>
              <w:t>6</w:t>
            </w:r>
            <w:r>
              <w:rPr>
                <w:rFonts w:hint="eastAsia" w:ascii="宋体" w:hAnsi="宋体" w:eastAsia="宋体"/>
                <w:sz w:val="24"/>
              </w:rPr>
              <w:t>章</w:t>
            </w:r>
            <w:r>
              <w:rPr>
                <w:rFonts w:ascii="宋体" w:hAnsi="宋体" w:eastAsia="宋体"/>
                <w:sz w:val="24"/>
              </w:rPr>
              <w:t>编写工作</w:t>
            </w:r>
          </w:p>
        </w:tc>
      </w:tr>
      <w:tr w14:paraId="524B1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59" w:type="dxa"/>
            <w:tcBorders>
              <w:left w:val="single" w:color="auto" w:sz="12" w:space="0"/>
            </w:tcBorders>
            <w:shd w:val="clear" w:color="auto" w:fill="auto"/>
            <w:vAlign w:val="center"/>
          </w:tcPr>
          <w:p w14:paraId="523B626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HAnsi" w:hAnsiTheme="minorHAnsi" w:eastAsiaTheme="minorEastAsia" w:cstheme="minorBidi"/>
                <w:kern w:val="2"/>
                <w:sz w:val="24"/>
                <w:szCs w:val="24"/>
                <w:lang w:val="en-US" w:eastAsia="zh-CN" w:bidi="ar-SA"/>
              </w:rPr>
            </w:pPr>
            <w:r>
              <w:rPr>
                <w:rFonts w:hint="eastAsia"/>
                <w:sz w:val="24"/>
                <w:szCs w:val="24"/>
              </w:rPr>
              <w:t>暴公力</w:t>
            </w:r>
          </w:p>
        </w:tc>
        <w:tc>
          <w:tcPr>
            <w:tcW w:w="4193" w:type="dxa"/>
            <w:vAlign w:val="center"/>
          </w:tcPr>
          <w:p w14:paraId="4B3BDFD7">
            <w:pPr>
              <w:adjustRightInd w:val="0"/>
              <w:snapToGrid w:val="0"/>
              <w:spacing w:line="300" w:lineRule="auto"/>
              <w:rPr>
                <w:rFonts w:hint="eastAsia" w:ascii="宋体" w:hAnsi="宋体" w:eastAsia="宋体"/>
                <w:sz w:val="24"/>
                <w:szCs w:val="24"/>
              </w:rPr>
            </w:pPr>
            <w:r>
              <w:rPr>
                <w:rFonts w:hint="eastAsia" w:ascii="宋体" w:hAnsi="宋体" w:eastAsia="宋体"/>
                <w:sz w:val="24"/>
                <w:szCs w:val="24"/>
              </w:rPr>
              <w:t>辽港控股（营口）有限公司集装箱码头分公司</w:t>
            </w:r>
          </w:p>
        </w:tc>
        <w:tc>
          <w:tcPr>
            <w:tcW w:w="3370" w:type="dxa"/>
            <w:tcBorders>
              <w:right w:val="single" w:color="auto" w:sz="12" w:space="0"/>
            </w:tcBorders>
            <w:vAlign w:val="center"/>
          </w:tcPr>
          <w:p w14:paraId="530718B1">
            <w:pPr>
              <w:adjustRightInd w:val="0"/>
              <w:snapToGrid w:val="0"/>
              <w:spacing w:line="300" w:lineRule="auto"/>
              <w:jc w:val="center"/>
              <w:rPr>
                <w:rFonts w:hint="eastAsia" w:ascii="宋体" w:hAnsi="宋体" w:eastAsia="宋体"/>
                <w:sz w:val="24"/>
              </w:rPr>
            </w:pPr>
            <w:r>
              <w:rPr>
                <w:rFonts w:ascii="宋体" w:hAnsi="宋体" w:eastAsia="宋体"/>
                <w:sz w:val="24"/>
              </w:rPr>
              <w:t>参与标准</w:t>
            </w:r>
            <w:r>
              <w:rPr>
                <w:rFonts w:hint="eastAsia" w:ascii="宋体" w:hAnsi="宋体" w:eastAsia="宋体"/>
                <w:sz w:val="24"/>
              </w:rPr>
              <w:t>第</w:t>
            </w:r>
            <w:r>
              <w:rPr>
                <w:rFonts w:hint="eastAsia" w:ascii="宋体" w:hAnsi="宋体" w:eastAsia="宋体"/>
                <w:sz w:val="24"/>
                <w:lang w:val="en-US" w:eastAsia="zh-CN"/>
              </w:rPr>
              <w:t>6</w:t>
            </w:r>
            <w:r>
              <w:rPr>
                <w:rFonts w:hint="eastAsia" w:ascii="宋体" w:hAnsi="宋体" w:eastAsia="宋体"/>
                <w:sz w:val="24"/>
              </w:rPr>
              <w:t>章</w:t>
            </w:r>
            <w:r>
              <w:rPr>
                <w:rFonts w:ascii="宋体" w:hAnsi="宋体" w:eastAsia="宋体"/>
                <w:sz w:val="24"/>
              </w:rPr>
              <w:t>编写工作</w:t>
            </w:r>
          </w:p>
        </w:tc>
      </w:tr>
      <w:tr w14:paraId="40C12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59" w:type="dxa"/>
            <w:tcBorders>
              <w:left w:val="single" w:color="auto" w:sz="12" w:space="0"/>
            </w:tcBorders>
            <w:shd w:val="clear" w:color="auto" w:fill="auto"/>
            <w:vAlign w:val="center"/>
          </w:tcPr>
          <w:p w14:paraId="2529576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HAnsi" w:hAnsiTheme="minorHAnsi" w:eastAsiaTheme="minorEastAsia" w:cstheme="minorBidi"/>
                <w:kern w:val="2"/>
                <w:sz w:val="24"/>
                <w:szCs w:val="24"/>
                <w:lang w:val="en-US" w:eastAsia="zh-CN" w:bidi="ar-SA"/>
              </w:rPr>
            </w:pPr>
            <w:r>
              <w:rPr>
                <w:rFonts w:hint="eastAsia"/>
                <w:sz w:val="24"/>
                <w:szCs w:val="24"/>
              </w:rPr>
              <w:t>姚天宇</w:t>
            </w:r>
          </w:p>
        </w:tc>
        <w:tc>
          <w:tcPr>
            <w:tcW w:w="4193" w:type="dxa"/>
            <w:vAlign w:val="center"/>
          </w:tcPr>
          <w:p w14:paraId="3E0B5E77">
            <w:pPr>
              <w:adjustRightInd w:val="0"/>
              <w:snapToGrid w:val="0"/>
              <w:spacing w:line="300" w:lineRule="auto"/>
              <w:rPr>
                <w:rFonts w:hint="eastAsia" w:ascii="宋体" w:hAnsi="宋体" w:eastAsia="宋体"/>
                <w:sz w:val="24"/>
                <w:szCs w:val="24"/>
              </w:rPr>
            </w:pPr>
            <w:r>
              <w:rPr>
                <w:rFonts w:hint="eastAsia" w:ascii="Times New Roman" w:hAnsi="Times New Roman" w:cs="Times New Roman"/>
                <w:color w:val="000000" w:themeColor="text1"/>
                <w:sz w:val="24"/>
                <w:szCs w:val="24"/>
                <w14:textFill>
                  <w14:solidFill>
                    <w14:schemeClr w14:val="tx1"/>
                  </w14:solidFill>
                </w14:textFill>
              </w:rPr>
              <w:t>天津港第二集装箱码头有限公司</w:t>
            </w:r>
          </w:p>
        </w:tc>
        <w:tc>
          <w:tcPr>
            <w:tcW w:w="3370" w:type="dxa"/>
            <w:tcBorders>
              <w:right w:val="single" w:color="auto" w:sz="12" w:space="0"/>
            </w:tcBorders>
            <w:vAlign w:val="center"/>
          </w:tcPr>
          <w:p w14:paraId="5533D6B8">
            <w:pPr>
              <w:adjustRightInd w:val="0"/>
              <w:snapToGrid w:val="0"/>
              <w:spacing w:line="300" w:lineRule="auto"/>
              <w:jc w:val="center"/>
              <w:rPr>
                <w:rFonts w:hint="eastAsia" w:ascii="宋体" w:hAnsi="宋体" w:eastAsia="宋体"/>
                <w:sz w:val="24"/>
              </w:rPr>
            </w:pPr>
            <w:r>
              <w:rPr>
                <w:rFonts w:ascii="宋体" w:hAnsi="宋体" w:eastAsia="宋体"/>
                <w:sz w:val="24"/>
              </w:rPr>
              <w:t>参与标准</w:t>
            </w:r>
            <w:r>
              <w:rPr>
                <w:rFonts w:hint="eastAsia" w:ascii="宋体" w:hAnsi="宋体" w:eastAsia="宋体"/>
                <w:sz w:val="24"/>
              </w:rPr>
              <w:t>第</w:t>
            </w:r>
            <w:r>
              <w:rPr>
                <w:rFonts w:hint="eastAsia" w:ascii="宋体" w:hAnsi="宋体" w:eastAsia="宋体"/>
                <w:sz w:val="24"/>
                <w:lang w:val="en-US" w:eastAsia="zh-CN"/>
              </w:rPr>
              <w:t>6</w:t>
            </w:r>
            <w:r>
              <w:rPr>
                <w:rFonts w:hint="eastAsia" w:ascii="宋体" w:hAnsi="宋体" w:eastAsia="宋体"/>
                <w:sz w:val="24"/>
              </w:rPr>
              <w:t>章</w:t>
            </w:r>
            <w:r>
              <w:rPr>
                <w:rFonts w:ascii="宋体" w:hAnsi="宋体" w:eastAsia="宋体"/>
                <w:sz w:val="24"/>
              </w:rPr>
              <w:t>编写工作</w:t>
            </w:r>
          </w:p>
        </w:tc>
      </w:tr>
      <w:tr w14:paraId="6BD72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59" w:type="dxa"/>
            <w:tcBorders>
              <w:left w:val="single" w:color="auto" w:sz="12" w:space="0"/>
            </w:tcBorders>
            <w:shd w:val="clear" w:color="auto" w:fill="auto"/>
            <w:vAlign w:val="center"/>
          </w:tcPr>
          <w:p w14:paraId="4C503B9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heme="minorHAnsi" w:hAnsiTheme="minorHAnsi" w:eastAsiaTheme="minorEastAsia" w:cstheme="minorBidi"/>
                <w:kern w:val="2"/>
                <w:sz w:val="24"/>
                <w:szCs w:val="24"/>
                <w:lang w:val="en-US" w:eastAsia="zh-CN" w:bidi="ar-SA"/>
              </w:rPr>
            </w:pPr>
            <w:r>
              <w:rPr>
                <w:rFonts w:hint="eastAsia"/>
                <w:sz w:val="24"/>
                <w:szCs w:val="24"/>
              </w:rPr>
              <w:t>王艳明</w:t>
            </w:r>
          </w:p>
        </w:tc>
        <w:tc>
          <w:tcPr>
            <w:tcW w:w="4193" w:type="dxa"/>
            <w:vAlign w:val="center"/>
          </w:tcPr>
          <w:p w14:paraId="3D0B596A">
            <w:pPr>
              <w:adjustRightInd w:val="0"/>
              <w:snapToGrid w:val="0"/>
              <w:spacing w:line="300" w:lineRule="auto"/>
              <w:rPr>
                <w:rFonts w:hint="eastAsia" w:ascii="宋体" w:hAnsi="宋体" w:eastAsia="宋体"/>
                <w:sz w:val="24"/>
                <w:szCs w:val="24"/>
              </w:rPr>
            </w:pPr>
            <w:r>
              <w:rPr>
                <w:rFonts w:hint="eastAsia" w:ascii="Times New Roman" w:hAnsi="Times New Roman" w:cs="Times New Roman"/>
                <w:color w:val="000000" w:themeColor="text1"/>
                <w:sz w:val="24"/>
                <w:szCs w:val="24"/>
                <w14:textFill>
                  <w14:solidFill>
                    <w14:schemeClr w14:val="tx1"/>
                  </w14:solidFill>
                </w14:textFill>
              </w:rPr>
              <w:t>天津港股份有限公司</w:t>
            </w:r>
          </w:p>
        </w:tc>
        <w:tc>
          <w:tcPr>
            <w:tcW w:w="3370" w:type="dxa"/>
            <w:tcBorders>
              <w:right w:val="single" w:color="auto" w:sz="12" w:space="0"/>
            </w:tcBorders>
            <w:vAlign w:val="center"/>
          </w:tcPr>
          <w:p w14:paraId="77720282">
            <w:pPr>
              <w:adjustRightInd w:val="0"/>
              <w:snapToGrid w:val="0"/>
              <w:spacing w:line="300" w:lineRule="auto"/>
              <w:jc w:val="center"/>
              <w:rPr>
                <w:rFonts w:hint="eastAsia" w:ascii="宋体" w:hAnsi="宋体" w:eastAsia="宋体"/>
                <w:sz w:val="24"/>
              </w:rPr>
            </w:pPr>
            <w:r>
              <w:rPr>
                <w:rFonts w:ascii="宋体" w:hAnsi="宋体" w:eastAsia="宋体"/>
                <w:sz w:val="24"/>
              </w:rPr>
              <w:t>参与标准</w:t>
            </w:r>
            <w:r>
              <w:rPr>
                <w:rFonts w:hint="eastAsia" w:ascii="宋体" w:hAnsi="宋体" w:eastAsia="宋体"/>
                <w:sz w:val="24"/>
              </w:rPr>
              <w:t>第</w:t>
            </w:r>
            <w:r>
              <w:rPr>
                <w:rFonts w:hint="eastAsia" w:ascii="宋体" w:hAnsi="宋体" w:eastAsia="宋体"/>
                <w:sz w:val="24"/>
                <w:lang w:val="en-US" w:eastAsia="zh-CN"/>
              </w:rPr>
              <w:t>6</w:t>
            </w:r>
            <w:r>
              <w:rPr>
                <w:rFonts w:hint="eastAsia" w:ascii="宋体" w:hAnsi="宋体" w:eastAsia="宋体"/>
                <w:sz w:val="24"/>
              </w:rPr>
              <w:t>章</w:t>
            </w:r>
            <w:r>
              <w:rPr>
                <w:rFonts w:ascii="宋体" w:hAnsi="宋体" w:eastAsia="宋体"/>
                <w:sz w:val="24"/>
              </w:rPr>
              <w:t>编写工作</w:t>
            </w:r>
          </w:p>
        </w:tc>
      </w:tr>
    </w:tbl>
    <w:p w14:paraId="44476B90">
      <w:pPr>
        <w:spacing w:line="360" w:lineRule="auto"/>
        <w:ind w:firstLine="562" w:firstLineChars="200"/>
        <w:rPr>
          <w:rFonts w:hint="eastAsia" w:ascii="Times New Roman" w:hAnsi="Times New Roman" w:cs="Times New Roman"/>
          <w:b/>
          <w:color w:val="0000FF"/>
          <w:sz w:val="28"/>
          <w:szCs w:val="28"/>
        </w:rPr>
      </w:pPr>
    </w:p>
    <w:p w14:paraId="13DA1677">
      <w:pPr>
        <w:spacing w:line="360" w:lineRule="auto"/>
        <w:ind w:firstLine="562" w:firstLineChars="200"/>
        <w:rPr>
          <w:rFonts w:ascii="Times New Roman" w:hAnsi="Times New Roman" w:eastAsia="宋体" w:cs="Times New Roman"/>
          <w:b/>
          <w:color w:val="000000" w:themeColor="text1"/>
          <w:sz w:val="28"/>
          <w:szCs w:val="28"/>
          <w14:textFill>
            <w14:solidFill>
              <w14:schemeClr w14:val="tx1"/>
            </w14:solidFill>
          </w14:textFill>
        </w:rPr>
      </w:pPr>
      <w:r>
        <w:rPr>
          <w:rFonts w:ascii="Times New Roman" w:hAnsi="Times New Roman" w:eastAsia="宋体" w:cs="Times New Roman"/>
          <w:b/>
          <w:color w:val="000000" w:themeColor="text1"/>
          <w:sz w:val="28"/>
          <w:szCs w:val="28"/>
          <w14:textFill>
            <w14:solidFill>
              <w14:schemeClr w14:val="tx1"/>
            </w14:solidFill>
          </w14:textFill>
        </w:rPr>
        <w:t>3、主要工作过程</w:t>
      </w:r>
    </w:p>
    <w:p w14:paraId="309C8EA6">
      <w:pPr>
        <w:spacing w:line="360" w:lineRule="auto"/>
        <w:ind w:firstLine="560"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为了确保标准内容制定的准确性、实用性，充分反映实际情况、提高</w:t>
      </w:r>
      <w:r>
        <w:rPr>
          <w:rFonts w:hint="eastAsia" w:ascii="Times New Roman" w:hAnsi="Times New Roman" w:cs="Times New Roman"/>
          <w:color w:val="000000" w:themeColor="text1"/>
          <w:sz w:val="28"/>
          <w:szCs w:val="28"/>
          <w14:textFill>
            <w14:solidFill>
              <w14:schemeClr w14:val="tx1"/>
            </w14:solidFill>
          </w14:textFill>
        </w:rPr>
        <w:t>岸边集装箱起重机大车行走机构防碰撞装置技术</w:t>
      </w:r>
      <w:r>
        <w:rPr>
          <w:rFonts w:ascii="Times New Roman" w:hAnsi="Times New Roman" w:cs="Times New Roman"/>
          <w:color w:val="000000" w:themeColor="text1"/>
          <w:sz w:val="28"/>
          <w:szCs w:val="28"/>
          <w14:textFill>
            <w14:solidFill>
              <w14:schemeClr w14:val="tx1"/>
            </w14:solidFill>
          </w14:textFill>
        </w:rPr>
        <w:t>水平，保证标准内容科学、合理，标准起草组主要开展了以下工作：</w:t>
      </w:r>
    </w:p>
    <w:p w14:paraId="011951B9">
      <w:pPr>
        <w:spacing w:line="360" w:lineRule="auto"/>
        <w:ind w:firstLine="560"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（1）成立标准起草组</w:t>
      </w:r>
    </w:p>
    <w:p w14:paraId="4360CA66">
      <w:pPr>
        <w:spacing w:line="360" w:lineRule="auto"/>
        <w:ind w:firstLine="560" w:firstLineChars="200"/>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202</w:t>
      </w:r>
      <w:r>
        <w:rPr>
          <w:rFonts w:hint="eastAsia" w:ascii="Times New Roman" w:hAnsi="Times New Roman" w:cs="Times New Roman"/>
          <w:color w:val="000000" w:themeColor="text1"/>
          <w:sz w:val="28"/>
          <w:szCs w:val="28"/>
          <w:lang w:val="en-US" w:eastAsia="zh-CN"/>
          <w14:textFill>
            <w14:solidFill>
              <w14:schemeClr w14:val="tx1"/>
            </w14:solidFill>
          </w14:textFill>
        </w:rPr>
        <w:t>5</w:t>
      </w:r>
      <w:r>
        <w:rPr>
          <w:rFonts w:ascii="Times New Roman" w:hAnsi="Times New Roman" w:cs="Times New Roman"/>
          <w:color w:val="000000" w:themeColor="text1"/>
          <w:sz w:val="28"/>
          <w:szCs w:val="28"/>
          <w14:textFill>
            <w14:solidFill>
              <w14:schemeClr w14:val="tx1"/>
            </w14:solidFill>
          </w14:textFill>
        </w:rPr>
        <w:t>年</w:t>
      </w:r>
      <w:r>
        <w:rPr>
          <w:rFonts w:hint="eastAsia" w:ascii="Times New Roman" w:hAnsi="Times New Roman" w:cs="Times New Roman"/>
          <w:color w:val="000000" w:themeColor="text1"/>
          <w:sz w:val="28"/>
          <w:szCs w:val="28"/>
          <w:lang w:val="en-US" w:eastAsia="zh-CN"/>
          <w14:textFill>
            <w14:solidFill>
              <w14:schemeClr w14:val="tx1"/>
            </w14:solidFill>
          </w14:textFill>
        </w:rPr>
        <w:t>1</w:t>
      </w:r>
      <w:r>
        <w:rPr>
          <w:rFonts w:ascii="Times New Roman" w:hAnsi="Times New Roman" w:cs="Times New Roman"/>
          <w:color w:val="000000" w:themeColor="text1"/>
          <w:sz w:val="28"/>
          <w:szCs w:val="28"/>
          <w14:textFill>
            <w14:solidFill>
              <w14:schemeClr w14:val="tx1"/>
            </w14:solidFill>
          </w14:textFill>
        </w:rPr>
        <w:t>月，成立标准起草组，明确责任分工，着手编制</w:t>
      </w:r>
      <w:r>
        <w:rPr>
          <w:rFonts w:hint="eastAsia" w:ascii="Times New Roman" w:hAnsi="Times New Roman" w:cs="Times New Roman"/>
          <w:color w:val="000000" w:themeColor="text1"/>
          <w:sz w:val="28"/>
          <w:szCs w:val="28"/>
          <w14:textFill>
            <w14:solidFill>
              <w14:schemeClr w14:val="tx1"/>
            </w14:solidFill>
          </w14:textFill>
        </w:rPr>
        <w:t>标准大纲</w:t>
      </w:r>
      <w:r>
        <w:rPr>
          <w:rFonts w:ascii="Times New Roman" w:hAnsi="Times New Roman" w:cs="Times New Roman"/>
          <w:color w:val="000000" w:themeColor="text1"/>
          <w:sz w:val="28"/>
          <w:szCs w:val="28"/>
          <w14:textFill>
            <w14:solidFill>
              <w14:schemeClr w14:val="tx1"/>
            </w14:solidFill>
          </w14:textFill>
        </w:rPr>
        <w:t>，明确研究思路和标准编制框架。</w:t>
      </w:r>
    </w:p>
    <w:p w14:paraId="73417AA0">
      <w:pPr>
        <w:spacing w:line="360" w:lineRule="auto"/>
        <w:ind w:firstLine="560"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（2）标准调研</w:t>
      </w:r>
    </w:p>
    <w:p w14:paraId="320A540C">
      <w:pPr>
        <w:spacing w:line="360" w:lineRule="auto"/>
        <w:ind w:firstLine="560" w:firstLineChars="200"/>
        <w:rPr>
          <w:rFonts w:ascii="Times New Roman" w:hAnsi="Times New Roman" w:eastAsiaTheme="majorEastAsia"/>
          <w:sz w:val="28"/>
          <w:szCs w:val="28"/>
        </w:rPr>
      </w:pPr>
      <w:r>
        <w:rPr>
          <w:rFonts w:ascii="Times New Roman" w:hAnsi="Times New Roman" w:cs="Times New Roman"/>
          <w:color w:val="000000" w:themeColor="text1"/>
          <w:sz w:val="28"/>
          <w:szCs w:val="28"/>
          <w14:textFill>
            <w14:solidFill>
              <w14:schemeClr w14:val="tx1"/>
            </w14:solidFill>
          </w14:textFill>
        </w:rPr>
        <w:t>202</w:t>
      </w:r>
      <w:r>
        <w:rPr>
          <w:rFonts w:hint="eastAsia" w:ascii="Times New Roman" w:hAnsi="Times New Roman" w:cs="Times New Roman"/>
          <w:color w:val="000000" w:themeColor="text1"/>
          <w:sz w:val="28"/>
          <w:szCs w:val="28"/>
          <w14:textFill>
            <w14:solidFill>
              <w14:schemeClr w14:val="tx1"/>
            </w14:solidFill>
          </w14:textFill>
        </w:rPr>
        <w:t>5</w:t>
      </w:r>
      <w:r>
        <w:rPr>
          <w:rFonts w:ascii="Times New Roman" w:hAnsi="Times New Roman" w:cs="Times New Roman"/>
          <w:color w:val="000000" w:themeColor="text1"/>
          <w:sz w:val="28"/>
          <w:szCs w:val="28"/>
          <w14:textFill>
            <w14:solidFill>
              <w14:schemeClr w14:val="tx1"/>
            </w14:solidFill>
          </w14:textFill>
        </w:rPr>
        <w:t>年</w:t>
      </w:r>
      <w:r>
        <w:rPr>
          <w:rFonts w:hint="eastAsia" w:ascii="Times New Roman" w:hAnsi="Times New Roman" w:cs="Times New Roman"/>
          <w:color w:val="000000" w:themeColor="text1"/>
          <w:sz w:val="28"/>
          <w:szCs w:val="28"/>
          <w:lang w:val="en-US" w:eastAsia="zh-CN"/>
          <w14:textFill>
            <w14:solidFill>
              <w14:schemeClr w14:val="tx1"/>
            </w14:solidFill>
          </w14:textFill>
        </w:rPr>
        <w:t>1</w:t>
      </w:r>
      <w:r>
        <w:rPr>
          <w:rFonts w:ascii="Times New Roman" w:hAnsi="Times New Roman" w:cs="Times New Roman"/>
          <w:color w:val="000000" w:themeColor="text1"/>
          <w:sz w:val="28"/>
          <w:szCs w:val="28"/>
          <w14:textFill>
            <w14:solidFill>
              <w14:schemeClr w14:val="tx1"/>
            </w14:solidFill>
          </w14:textFill>
        </w:rPr>
        <w:t>月-202</w:t>
      </w:r>
      <w:r>
        <w:rPr>
          <w:rFonts w:hint="eastAsia" w:ascii="Times New Roman" w:hAnsi="Times New Roman" w:cs="Times New Roman"/>
          <w:color w:val="000000" w:themeColor="text1"/>
          <w:sz w:val="28"/>
          <w:szCs w:val="28"/>
          <w14:textFill>
            <w14:solidFill>
              <w14:schemeClr w14:val="tx1"/>
            </w14:solidFill>
          </w14:textFill>
        </w:rPr>
        <w:t>5</w:t>
      </w:r>
      <w:r>
        <w:rPr>
          <w:rFonts w:ascii="Times New Roman" w:hAnsi="Times New Roman" w:cs="Times New Roman"/>
          <w:color w:val="000000" w:themeColor="text1"/>
          <w:sz w:val="28"/>
          <w:szCs w:val="28"/>
          <w14:textFill>
            <w14:solidFill>
              <w14:schemeClr w14:val="tx1"/>
            </w14:solidFill>
          </w14:textFill>
        </w:rPr>
        <w:t>年</w:t>
      </w:r>
      <w:r>
        <w:rPr>
          <w:rFonts w:hint="eastAsia" w:ascii="Times New Roman" w:hAnsi="Times New Roman" w:cs="Times New Roman"/>
          <w:color w:val="000000" w:themeColor="text1"/>
          <w:sz w:val="28"/>
          <w:szCs w:val="28"/>
          <w:lang w:val="en-US" w:eastAsia="zh-CN"/>
          <w14:textFill>
            <w14:solidFill>
              <w14:schemeClr w14:val="tx1"/>
            </w14:solidFill>
          </w14:textFill>
        </w:rPr>
        <w:t>12</w:t>
      </w:r>
      <w:r>
        <w:rPr>
          <w:rFonts w:ascii="Times New Roman" w:hAnsi="Times New Roman" w:cs="Times New Roman"/>
          <w:color w:val="000000" w:themeColor="text1"/>
          <w:sz w:val="28"/>
          <w:szCs w:val="28"/>
          <w14:textFill>
            <w14:solidFill>
              <w14:schemeClr w14:val="tx1"/>
            </w14:solidFill>
          </w14:textFill>
        </w:rPr>
        <w:t>月，标准起草组通过</w:t>
      </w:r>
      <w:r>
        <w:rPr>
          <w:rFonts w:hint="eastAsia" w:ascii="Times New Roman" w:hAnsi="Times New Roman" w:cs="Times New Roman"/>
          <w:color w:val="000000" w:themeColor="text1"/>
          <w:sz w:val="28"/>
          <w:szCs w:val="28"/>
          <w:lang w:val="en-US" w:eastAsia="zh-CN"/>
          <w14:textFill>
            <w14:solidFill>
              <w14:schemeClr w14:val="tx1"/>
            </w14:solidFill>
          </w14:textFill>
        </w:rPr>
        <w:t>实地调研、</w:t>
      </w:r>
      <w:r>
        <w:rPr>
          <w:rFonts w:ascii="Times New Roman" w:hAnsi="Times New Roman" w:cs="Times New Roman"/>
          <w:color w:val="000000" w:themeColor="text1"/>
          <w:sz w:val="28"/>
          <w:szCs w:val="28"/>
          <w14:textFill>
            <w14:solidFill>
              <w14:schemeClr w14:val="tx1"/>
            </w14:solidFill>
          </w14:textFill>
        </w:rPr>
        <w:t>电话</w:t>
      </w:r>
      <w:r>
        <w:rPr>
          <w:rFonts w:hint="eastAsia" w:ascii="Times New Roman" w:hAnsi="Times New Roman" w:cs="Times New Roman"/>
          <w:color w:val="000000" w:themeColor="text1"/>
          <w:sz w:val="28"/>
          <w:szCs w:val="28"/>
          <w:lang w:val="en-US" w:eastAsia="zh-CN"/>
          <w14:textFill>
            <w14:solidFill>
              <w14:schemeClr w14:val="tx1"/>
            </w14:solidFill>
          </w14:textFill>
        </w:rPr>
        <w:t>访问</w:t>
      </w:r>
      <w:r>
        <w:rPr>
          <w:rFonts w:ascii="Times New Roman" w:hAnsi="Times New Roman" w:cs="Times New Roman"/>
          <w:color w:val="000000" w:themeColor="text1"/>
          <w:sz w:val="28"/>
          <w:szCs w:val="28"/>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资料查询</w:t>
      </w:r>
      <w:r>
        <w:rPr>
          <w:rFonts w:ascii="Times New Roman" w:hAnsi="Times New Roman" w:cs="Times New Roman"/>
          <w:color w:val="000000" w:themeColor="text1"/>
          <w:sz w:val="28"/>
          <w:szCs w:val="28"/>
          <w14:textFill>
            <w14:solidFill>
              <w14:schemeClr w14:val="tx1"/>
            </w14:solidFill>
          </w14:textFill>
        </w:rPr>
        <w:t>等方式对</w:t>
      </w:r>
      <w:r>
        <w:rPr>
          <w:rFonts w:hint="eastAsia" w:ascii="Times New Roman" w:eastAsiaTheme="majorEastAsia"/>
          <w:sz w:val="28"/>
          <w:szCs w:val="28"/>
        </w:rPr>
        <w:t>天津、辽宁、江苏、浙江</w:t>
      </w:r>
      <w:r>
        <w:rPr>
          <w:rFonts w:hint="eastAsia" w:ascii="Times New Roman" w:eastAsiaTheme="majorEastAsia"/>
          <w:sz w:val="28"/>
          <w:szCs w:val="28"/>
          <w:lang w:eastAsia="zh-CN"/>
        </w:rPr>
        <w:t>、</w:t>
      </w:r>
      <w:r>
        <w:rPr>
          <w:rFonts w:hint="eastAsia" w:ascii="Times New Roman" w:eastAsiaTheme="majorEastAsia"/>
          <w:sz w:val="28"/>
          <w:szCs w:val="28"/>
          <w:lang w:val="en-US" w:eastAsia="zh-CN"/>
        </w:rPr>
        <w:t>广东、广西</w:t>
      </w:r>
      <w:r>
        <w:rPr>
          <w:rFonts w:hint="eastAsia" w:ascii="Times New Roman" w:eastAsiaTheme="majorEastAsia"/>
          <w:sz w:val="28"/>
          <w:szCs w:val="28"/>
        </w:rPr>
        <w:t>等地港口企业</w:t>
      </w:r>
      <w:r>
        <w:rPr>
          <w:rFonts w:hint="eastAsia" w:ascii="Times New Roman" w:eastAsiaTheme="majorEastAsia"/>
          <w:sz w:val="28"/>
          <w:szCs w:val="28"/>
          <w:lang w:val="en-US" w:eastAsia="zh-CN"/>
        </w:rPr>
        <w:t>岸边集装箱起重机大车行走机构防碰撞装置的设置和运行</w:t>
      </w:r>
      <w:r>
        <w:rPr>
          <w:rFonts w:hint="eastAsia" w:ascii="Times New Roman" w:eastAsiaTheme="majorEastAsia"/>
          <w:sz w:val="28"/>
          <w:szCs w:val="28"/>
        </w:rPr>
        <w:t>实际情况进行了调研，与各港口企业就</w:t>
      </w:r>
      <w:r>
        <w:rPr>
          <w:rFonts w:hint="eastAsia" w:ascii="Times New Roman" w:eastAsiaTheme="majorEastAsia"/>
          <w:sz w:val="28"/>
          <w:szCs w:val="28"/>
          <w:lang w:val="en-US" w:eastAsia="zh-CN"/>
        </w:rPr>
        <w:t>岸边集装箱起重机大车行走机构防碰撞装置设置及管理经验</w:t>
      </w:r>
      <w:r>
        <w:rPr>
          <w:rFonts w:hint="eastAsia" w:ascii="Times New Roman" w:eastAsiaTheme="majorEastAsia"/>
          <w:sz w:val="28"/>
          <w:szCs w:val="28"/>
        </w:rPr>
        <w:t>进行了充分的交流。</w:t>
      </w:r>
    </w:p>
    <w:p w14:paraId="51471704">
      <w:pPr>
        <w:spacing w:line="360" w:lineRule="auto"/>
        <w:ind w:firstLine="560"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w:t>
      </w:r>
      <w:r>
        <w:rPr>
          <w:rFonts w:hint="eastAsia" w:ascii="Times New Roman" w:hAnsi="Times New Roman" w:cs="Times New Roman"/>
          <w:color w:val="000000" w:themeColor="text1"/>
          <w:sz w:val="28"/>
          <w:szCs w:val="28"/>
          <w14:textFill>
            <w14:solidFill>
              <w14:schemeClr w14:val="tx1"/>
            </w14:solidFill>
          </w14:textFill>
        </w:rPr>
        <w:t>3</w:t>
      </w:r>
      <w:r>
        <w:rPr>
          <w:rFonts w:ascii="Times New Roman" w:hAnsi="Times New Roman" w:cs="Times New Roman"/>
          <w:color w:val="000000" w:themeColor="text1"/>
          <w:sz w:val="28"/>
          <w:szCs w:val="28"/>
          <w14:textFill>
            <w14:solidFill>
              <w14:schemeClr w14:val="tx1"/>
            </w14:solidFill>
          </w14:textFill>
        </w:rPr>
        <w:t>）标准草案</w:t>
      </w:r>
    </w:p>
    <w:p w14:paraId="2F4AD94F">
      <w:pPr>
        <w:spacing w:line="360" w:lineRule="auto"/>
        <w:ind w:firstLine="560"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根据调研掌握的资料，本着科学性和可操作性的原则，于202</w:t>
      </w:r>
      <w:r>
        <w:rPr>
          <w:rFonts w:hint="eastAsia" w:ascii="Times New Roman" w:hAnsi="Times New Roman" w:cs="Times New Roman"/>
          <w:color w:val="000000" w:themeColor="text1"/>
          <w:sz w:val="28"/>
          <w:szCs w:val="28"/>
          <w14:textFill>
            <w14:solidFill>
              <w14:schemeClr w14:val="tx1"/>
            </w14:solidFill>
          </w14:textFill>
        </w:rPr>
        <w:t>5</w:t>
      </w:r>
      <w:r>
        <w:rPr>
          <w:rFonts w:ascii="Times New Roman" w:hAnsi="Times New Roman" w:cs="Times New Roman"/>
          <w:color w:val="000000" w:themeColor="text1"/>
          <w:sz w:val="28"/>
          <w:szCs w:val="28"/>
          <w14:textFill>
            <w14:solidFill>
              <w14:schemeClr w14:val="tx1"/>
            </w14:solidFill>
          </w14:textFill>
        </w:rPr>
        <w:t>年</w:t>
      </w:r>
      <w:r>
        <w:rPr>
          <w:rFonts w:hint="eastAsia" w:ascii="Times New Roman" w:hAnsi="Times New Roman" w:cs="Times New Roman"/>
          <w:color w:val="000000" w:themeColor="text1"/>
          <w:sz w:val="28"/>
          <w:szCs w:val="28"/>
          <w14:textFill>
            <w14:solidFill>
              <w14:schemeClr w14:val="tx1"/>
            </w14:solidFill>
          </w14:textFill>
        </w:rPr>
        <w:t>1</w:t>
      </w:r>
      <w:r>
        <w:rPr>
          <w:rFonts w:hint="eastAsia" w:ascii="Times New Roman" w:hAnsi="Times New Roman" w:cs="Times New Roman"/>
          <w:color w:val="000000" w:themeColor="text1"/>
          <w:sz w:val="28"/>
          <w:szCs w:val="28"/>
          <w:lang w:val="en-US" w:eastAsia="zh-CN"/>
          <w14:textFill>
            <w14:solidFill>
              <w14:schemeClr w14:val="tx1"/>
            </w14:solidFill>
          </w14:textFill>
        </w:rPr>
        <w:t>2</w:t>
      </w:r>
      <w:r>
        <w:rPr>
          <w:rFonts w:ascii="Times New Roman" w:hAnsi="Times New Roman" w:cs="Times New Roman"/>
          <w:color w:val="000000" w:themeColor="text1"/>
          <w:sz w:val="28"/>
          <w:szCs w:val="28"/>
          <w14:textFill>
            <w14:solidFill>
              <w14:schemeClr w14:val="tx1"/>
            </w14:solidFill>
          </w14:textFill>
        </w:rPr>
        <w:t>月底，</w:t>
      </w:r>
      <w:r>
        <w:rPr>
          <w:rFonts w:hint="eastAsia" w:ascii="Times New Roman" w:hAnsi="Times New Roman" w:cs="Times New Roman"/>
          <w:color w:val="000000" w:themeColor="text1"/>
          <w:sz w:val="28"/>
          <w:szCs w:val="28"/>
          <w14:textFill>
            <w14:solidFill>
              <w14:schemeClr w14:val="tx1"/>
            </w14:solidFill>
          </w14:textFill>
        </w:rPr>
        <w:t>完成了本标准草案的起草工作</w:t>
      </w:r>
      <w:r>
        <w:rPr>
          <w:rFonts w:ascii="Times New Roman" w:hAnsi="Times New Roman" w:cs="Times New Roman"/>
          <w:color w:val="000000" w:themeColor="text1"/>
          <w:sz w:val="28"/>
          <w:szCs w:val="28"/>
          <w14:textFill>
            <w14:solidFill>
              <w14:schemeClr w14:val="tx1"/>
            </w14:solidFill>
          </w14:textFill>
        </w:rPr>
        <w:t>。</w:t>
      </w:r>
    </w:p>
    <w:p w14:paraId="3117DC57">
      <w:pPr>
        <w:spacing w:line="360" w:lineRule="auto"/>
        <w:ind w:firstLine="562" w:firstLineChars="200"/>
        <w:rPr>
          <w:rFonts w:hint="default" w:ascii="Times New Roman" w:hAnsi="Times New Roman" w:eastAsia="宋体" w:cs="Times New Roman"/>
          <w:b/>
          <w:color w:val="000000" w:themeColor="text1"/>
          <w:sz w:val="28"/>
          <w:szCs w:val="28"/>
          <w:lang w:val="en-US" w:eastAsia="zh-CN"/>
          <w14:textFill>
            <w14:solidFill>
              <w14:schemeClr w14:val="tx1"/>
            </w14:solidFill>
          </w14:textFill>
        </w:rPr>
      </w:pPr>
      <w:r>
        <w:rPr>
          <w:rFonts w:hint="eastAsia" w:ascii="Times New Roman" w:hAnsi="Times New Roman" w:eastAsia="宋体" w:cs="Times New Roman"/>
          <w:b/>
          <w:color w:val="000000" w:themeColor="text1"/>
          <w:sz w:val="28"/>
          <w:szCs w:val="28"/>
          <w:lang w:val="en-US" w:eastAsia="zh-CN"/>
          <w14:textFill>
            <w14:solidFill>
              <w14:schemeClr w14:val="tx1"/>
            </w14:solidFill>
          </w14:textFill>
        </w:rPr>
        <w:t>4</w:t>
      </w:r>
      <w:r>
        <w:rPr>
          <w:rFonts w:ascii="Times New Roman" w:hAnsi="Times New Roman" w:eastAsia="宋体" w:cs="Times New Roman"/>
          <w:b/>
          <w:color w:val="000000" w:themeColor="text1"/>
          <w:sz w:val="28"/>
          <w:szCs w:val="28"/>
          <w14:textFill>
            <w14:solidFill>
              <w14:schemeClr w14:val="tx1"/>
            </w14:solidFill>
          </w14:textFill>
        </w:rPr>
        <w:t>、</w:t>
      </w:r>
      <w:r>
        <w:rPr>
          <w:rFonts w:hint="eastAsia" w:ascii="Times New Roman" w:hAnsi="Times New Roman" w:eastAsia="宋体" w:cs="Times New Roman"/>
          <w:b/>
          <w:color w:val="000000" w:themeColor="text1"/>
          <w:sz w:val="28"/>
          <w:szCs w:val="28"/>
          <w:lang w:val="en-US" w:eastAsia="zh-CN"/>
          <w14:textFill>
            <w14:solidFill>
              <w14:schemeClr w14:val="tx1"/>
            </w14:solidFill>
          </w14:textFill>
        </w:rPr>
        <w:t>相关单位的编制能力</w:t>
      </w:r>
    </w:p>
    <w:p w14:paraId="4503BD01">
      <w:pPr>
        <w:spacing w:line="360" w:lineRule="auto"/>
        <w:ind w:firstLine="560" w:firstLineChars="200"/>
        <w:rPr>
          <w:rFonts w:hint="eastAsia" w:ascii="Times New Roman" w:hAnsi="Times New Roman" w:cs="Times New Roman"/>
          <w:color w:val="000000" w:themeColor="text1"/>
          <w:sz w:val="28"/>
          <w:szCs w:val="28"/>
          <w:lang w:eastAsia="zh-CN"/>
          <w14:textFill>
            <w14:solidFill>
              <w14:schemeClr w14:val="tx1"/>
            </w14:solidFill>
          </w14:textFill>
        </w:rPr>
      </w:pPr>
      <w:r>
        <w:rPr>
          <w:rFonts w:hint="eastAsia" w:ascii="Times New Roman" w:hAnsi="Times New Roman" w:cs="Times New Roman"/>
          <w:color w:val="000000" w:themeColor="text1"/>
          <w:sz w:val="28"/>
          <w:szCs w:val="28"/>
          <w:lang w:val="en-US" w:eastAsia="zh-CN"/>
          <w14:textFill>
            <w14:solidFill>
              <w14:schemeClr w14:val="tx1"/>
            </w14:solidFill>
          </w14:textFill>
        </w:rPr>
        <w:t>本标准的第一起草单位</w:t>
      </w:r>
      <w:r>
        <w:rPr>
          <w:rFonts w:hint="eastAsia" w:ascii="Times New Roman" w:hAnsi="Times New Roman" w:cs="Times New Roman"/>
          <w:color w:val="000000" w:themeColor="text1"/>
          <w:sz w:val="28"/>
          <w:szCs w:val="28"/>
          <w14:textFill>
            <w14:solidFill>
              <w14:schemeClr w14:val="tx1"/>
            </w14:solidFill>
          </w14:textFill>
        </w:rPr>
        <w:t>交通运输部天津水运工程科学研究所、天津港股份有限公司、天津港第二集装箱码头有限公司、辽港控股（营口）有限公司集装箱码头分公司</w:t>
      </w:r>
      <w:r>
        <w:rPr>
          <w:rFonts w:hint="eastAsia" w:ascii="Times New Roman" w:hAnsi="Times New Roman" w:cs="Times New Roman"/>
          <w:color w:val="000000" w:themeColor="text1"/>
          <w:sz w:val="28"/>
          <w:szCs w:val="28"/>
          <w:lang w:eastAsia="zh-CN"/>
          <w14:textFill>
            <w14:solidFill>
              <w14:schemeClr w14:val="tx1"/>
            </w14:solidFill>
          </w14:textFill>
        </w:rPr>
        <w:t>，各单位在各自领域具备突出的编制能力。</w:t>
      </w:r>
    </w:p>
    <w:p w14:paraId="19EBFFDD">
      <w:pPr>
        <w:spacing w:line="360" w:lineRule="auto"/>
        <w:ind w:firstLine="560" w:firstLineChars="200"/>
        <w:rPr>
          <w:rFonts w:hint="eastAsia" w:ascii="Times New Roman" w:hAnsi="Times New Roman" w:cs="Times New Roman"/>
          <w:color w:val="000000" w:themeColor="text1"/>
          <w:sz w:val="28"/>
          <w:szCs w:val="28"/>
          <w:lang w:eastAsia="zh-CN"/>
          <w14:textFill>
            <w14:solidFill>
              <w14:schemeClr w14:val="tx1"/>
            </w14:solidFill>
          </w14:textFill>
        </w:rPr>
      </w:pPr>
      <w:r>
        <w:rPr>
          <w:rFonts w:hint="eastAsia" w:ascii="Times New Roman" w:hAnsi="Times New Roman" w:cs="Times New Roman"/>
          <w:color w:val="000000" w:themeColor="text1"/>
          <w:sz w:val="28"/>
          <w:szCs w:val="28"/>
          <w:lang w:eastAsia="zh-CN"/>
          <w14:textFill>
            <w14:solidFill>
              <w14:schemeClr w14:val="tx1"/>
            </w14:solidFill>
          </w14:textFill>
        </w:rPr>
        <w:t>交通运输部天津水运工程科学研究所作为交通运输部直属的综合性科研机构，长期深耕港口水运工程与装备安全领域，在行业内具有广泛的学术影响力和权威地位。近年来，该所承担了多项国家级、省部级港口安全与标准化研究课题，积累了深厚的科研基础和技术储备。在标准编制方面，参与了GB</w:t>
      </w:r>
      <w:r>
        <w:rPr>
          <w:rFonts w:hint="eastAsia" w:ascii="Times New Roman" w:hAnsi="Times New Roman" w:cs="Times New Roman"/>
          <w:color w:val="000000" w:themeColor="text1"/>
          <w:sz w:val="28"/>
          <w:szCs w:val="28"/>
          <w:lang w:val="en-US" w:eastAsia="zh-CN"/>
          <w14:textFill>
            <w14:solidFill>
              <w14:schemeClr w14:val="tx1"/>
            </w14:solidFill>
          </w14:textFill>
        </w:rPr>
        <w:t>/</w:t>
      </w:r>
      <w:r>
        <w:rPr>
          <w:rFonts w:hint="eastAsia" w:ascii="Times New Roman" w:hAnsi="Times New Roman" w:cs="Times New Roman"/>
          <w:color w:val="000000" w:themeColor="text1"/>
          <w:sz w:val="28"/>
          <w:szCs w:val="28"/>
          <w:lang w:eastAsia="zh-CN"/>
          <w14:textFill>
            <w14:solidFill>
              <w14:schemeClr w14:val="tx1"/>
            </w14:solidFill>
          </w14:textFill>
        </w:rPr>
        <w:t>T 39652.3-2021《危险货物运输应急救援指南 第3部分：救援距离系》国家标准的</w:t>
      </w:r>
      <w:r>
        <w:rPr>
          <w:rFonts w:hint="eastAsia" w:ascii="Times New Roman" w:hAnsi="Times New Roman" w:cs="Times New Roman"/>
          <w:color w:val="000000" w:themeColor="text1"/>
          <w:sz w:val="28"/>
          <w:szCs w:val="28"/>
          <w:lang w:val="en-US" w:eastAsia="zh-CN"/>
          <w14:textFill>
            <w14:solidFill>
              <w14:schemeClr w14:val="tx1"/>
            </w14:solidFill>
          </w14:textFill>
        </w:rPr>
        <w:t>编制，牵头</w:t>
      </w:r>
      <w:r>
        <w:rPr>
          <w:rFonts w:hint="eastAsia" w:ascii="Times New Roman" w:hAnsi="Times New Roman" w:cs="Times New Roman"/>
          <w:color w:val="000000" w:themeColor="text1"/>
          <w:sz w:val="28"/>
          <w:szCs w:val="28"/>
          <w:lang w:eastAsia="zh-CN"/>
          <w14:textFill>
            <w14:solidFill>
              <w14:schemeClr w14:val="tx1"/>
            </w14:solidFill>
          </w14:textFill>
        </w:rPr>
        <w:t>《港口装卸机械防风预警监测技术要求》《港口常压储罐重大危险源在线监测技术要求》等</w:t>
      </w:r>
      <w:r>
        <w:rPr>
          <w:rFonts w:hint="eastAsia" w:ascii="Times New Roman" w:hAnsi="Times New Roman" w:cs="Times New Roman"/>
          <w:color w:val="000000" w:themeColor="text1"/>
          <w:sz w:val="28"/>
          <w:szCs w:val="28"/>
          <w:lang w:val="en-US" w:eastAsia="zh-CN"/>
          <w14:textFill>
            <w14:solidFill>
              <w14:schemeClr w14:val="tx1"/>
            </w14:solidFill>
          </w14:textFill>
        </w:rPr>
        <w:t>中国港口协会团体</w:t>
      </w:r>
      <w:r>
        <w:rPr>
          <w:rFonts w:hint="eastAsia" w:ascii="Times New Roman" w:hAnsi="Times New Roman" w:cs="Times New Roman"/>
          <w:color w:val="000000" w:themeColor="text1"/>
          <w:sz w:val="28"/>
          <w:szCs w:val="28"/>
          <w:lang w:eastAsia="zh-CN"/>
          <w14:textFill>
            <w14:solidFill>
              <w14:schemeClr w14:val="tx1"/>
            </w14:solidFill>
          </w14:textFill>
        </w:rPr>
        <w:t>标准的起草工作，熟悉标准化文件的编制规则与流程，具备从技术研究到标准转化的成熟经验，为本标准的技术把关和质量提升提供了坚实保障。</w:t>
      </w:r>
    </w:p>
    <w:p w14:paraId="001E6A62">
      <w:pPr>
        <w:spacing w:line="360" w:lineRule="auto"/>
        <w:ind w:firstLine="560" w:firstLineChars="200"/>
        <w:rPr>
          <w:rFonts w:hint="eastAsia" w:ascii="Times New Roman" w:hAnsi="Times New Roman" w:cs="Times New Roman"/>
          <w:color w:val="000000" w:themeColor="text1"/>
          <w:sz w:val="28"/>
          <w:szCs w:val="28"/>
          <w:lang w:eastAsia="zh-CN"/>
          <w14:textFill>
            <w14:solidFill>
              <w14:schemeClr w14:val="tx1"/>
            </w14:solidFill>
          </w14:textFill>
        </w:rPr>
      </w:pPr>
      <w:r>
        <w:rPr>
          <w:rFonts w:hint="eastAsia" w:ascii="Times New Roman" w:hAnsi="Times New Roman" w:cs="Times New Roman"/>
          <w:color w:val="000000" w:themeColor="text1"/>
          <w:sz w:val="28"/>
          <w:szCs w:val="28"/>
          <w:lang w:eastAsia="zh-CN"/>
          <w14:textFill>
            <w14:solidFill>
              <w14:schemeClr w14:val="tx1"/>
            </w14:solidFill>
          </w14:textFill>
        </w:rPr>
        <w:t>天津港股份有限公司作为我国北方最大的综合性港口运营主体，拥有丰富的岸桥设备管理与安全运行经验。其下辖多个集装箱码头，长期开展岸桥大车防碰撞装置的选型、安装、调试与运维工作，积累了大量的现场应用数据和实践案例，能够准确提炼出符合实际作业需求的技术指标。天津港第二集装箱码头有限公司是全球首个“智慧零碳”码头的运营单位，在自动化、智慧化港口建设方面走在前列。该公司在自动化岸桥的远程操控、传感器融合、系统集成等方面拥有前沿实践，为本标准中测距防撞装置的冗余配置、信号接入、旁路模式管理等先进条款的制定提供了宝贵的创新经验。辽港控股（营口）有限公司集装箱码头分公司位于我国北方重要沿海港口，其作业环境具有冬季低温、盐雾腐蚀等典型特征。该公司在极端工况下保障设备稳定运行、防碰撞装置的环境适应性改造等方面积累了成熟经验，为本标准中关于适用温度、防护等级、防腐措施等条款的设定提供了重要依据。</w:t>
      </w:r>
    </w:p>
    <w:p w14:paraId="00D1B586">
      <w:pPr>
        <w:spacing w:line="360" w:lineRule="auto"/>
        <w:ind w:firstLine="560" w:firstLineChars="200"/>
        <w:rPr>
          <w:rFonts w:hint="default" w:ascii="Times New Roman" w:hAnsi="Times New Roman" w:cs="Times New Roman"/>
          <w:color w:val="000000" w:themeColor="text1"/>
          <w:sz w:val="28"/>
          <w:szCs w:val="28"/>
          <w:lang w:val="en-US" w:eastAsia="zh-CN"/>
          <w14:textFill>
            <w14:solidFill>
              <w14:schemeClr w14:val="tx1"/>
            </w14:solidFill>
          </w14:textFill>
        </w:rPr>
      </w:pPr>
      <w:r>
        <w:rPr>
          <w:rFonts w:hint="eastAsia" w:ascii="Times New Roman" w:hAnsi="Times New Roman" w:cs="Times New Roman"/>
          <w:color w:val="000000" w:themeColor="text1"/>
          <w:sz w:val="28"/>
          <w:szCs w:val="28"/>
          <w:lang w:eastAsia="zh-CN"/>
          <w14:textFill>
            <w14:solidFill>
              <w14:schemeClr w14:val="tx1"/>
            </w14:solidFill>
          </w14:textFill>
        </w:rPr>
        <w:t>综上，四家单位分别从科研引领、规模化运营、智慧化创新、环境适应性保障等维度形成了优势互补，共同为本标准的科学性、先进性与实用性提供了全方位支撑。</w:t>
      </w:r>
    </w:p>
    <w:p w14:paraId="657F71E8">
      <w:pPr>
        <w:jc w:val="left"/>
        <w:outlineLvl w:val="0"/>
        <w:rPr>
          <w:rFonts w:ascii="Times New Roman" w:hAnsi="Times New Roman" w:eastAsia="宋体" w:cs="Times New Roman"/>
          <w:b/>
          <w:color w:val="000000" w:themeColor="text1"/>
          <w:sz w:val="28"/>
          <w:szCs w:val="28"/>
          <w14:textFill>
            <w14:solidFill>
              <w14:schemeClr w14:val="tx1"/>
            </w14:solidFill>
          </w14:textFill>
        </w:rPr>
      </w:pPr>
      <w:r>
        <w:rPr>
          <w:rFonts w:hint="eastAsia" w:ascii="Times New Roman" w:hAnsi="Times New Roman" w:eastAsia="宋体" w:cs="Times New Roman"/>
          <w:b/>
          <w:color w:val="000000" w:themeColor="text1"/>
          <w:sz w:val="28"/>
          <w:szCs w:val="28"/>
          <w14:textFill>
            <w14:solidFill>
              <w14:schemeClr w14:val="tx1"/>
            </w14:solidFill>
          </w14:textFill>
        </w:rPr>
        <w:t>二</w:t>
      </w:r>
      <w:r>
        <w:rPr>
          <w:rFonts w:ascii="Times New Roman" w:hAnsi="Times New Roman" w:eastAsia="宋体" w:cs="Times New Roman"/>
          <w:b/>
          <w:color w:val="000000" w:themeColor="text1"/>
          <w:sz w:val="28"/>
          <w:szCs w:val="28"/>
          <w14:textFill>
            <w14:solidFill>
              <w14:schemeClr w14:val="tx1"/>
            </w14:solidFill>
          </w14:textFill>
        </w:rPr>
        <w:t>、标准编制原则和主要内容</w:t>
      </w:r>
    </w:p>
    <w:p w14:paraId="6541B2B0">
      <w:pPr>
        <w:ind w:firstLine="562" w:firstLineChars="200"/>
        <w:rPr>
          <w:rFonts w:ascii="Times New Roman" w:hAnsi="Times New Roman" w:eastAsia="宋体" w:cs="Times New Roman"/>
          <w:b/>
          <w:color w:val="000000" w:themeColor="text1"/>
          <w:sz w:val="28"/>
          <w:szCs w:val="28"/>
          <w14:textFill>
            <w14:solidFill>
              <w14:schemeClr w14:val="tx1"/>
            </w14:solidFill>
          </w14:textFill>
        </w:rPr>
      </w:pPr>
      <w:r>
        <w:rPr>
          <w:rFonts w:ascii="Times New Roman" w:hAnsi="Times New Roman" w:eastAsia="宋体" w:cs="Times New Roman"/>
          <w:b/>
          <w:color w:val="000000" w:themeColor="text1"/>
          <w:sz w:val="28"/>
          <w:szCs w:val="28"/>
          <w14:textFill>
            <w14:solidFill>
              <w14:schemeClr w14:val="tx1"/>
            </w14:solidFill>
          </w14:textFill>
        </w:rPr>
        <w:t>（一）标准编制原则</w:t>
      </w:r>
    </w:p>
    <w:p w14:paraId="2470E8E0">
      <w:pPr>
        <w:ind w:firstLine="562" w:firstLineChars="200"/>
        <w:rPr>
          <w:rFonts w:ascii="Times New Roman" w:hAnsi="Times New Roman" w:eastAsia="宋体" w:cs="Times New Roman"/>
          <w:b/>
          <w:bCs/>
          <w:color w:val="000000" w:themeColor="text1"/>
          <w:sz w:val="28"/>
          <w:szCs w:val="28"/>
          <w14:textFill>
            <w14:solidFill>
              <w14:schemeClr w14:val="tx1"/>
            </w14:solidFill>
          </w14:textFill>
        </w:rPr>
      </w:pPr>
      <w:r>
        <w:rPr>
          <w:rFonts w:ascii="Times New Roman" w:hAnsi="Times New Roman" w:eastAsia="宋体" w:cs="Times New Roman"/>
          <w:b/>
          <w:bCs/>
          <w:color w:val="000000" w:themeColor="text1"/>
          <w:sz w:val="28"/>
          <w:szCs w:val="28"/>
          <w14:textFill>
            <w14:solidFill>
              <w14:schemeClr w14:val="tx1"/>
            </w14:solidFill>
          </w14:textFill>
        </w:rPr>
        <w:t>1、规范性原则</w:t>
      </w:r>
    </w:p>
    <w:p w14:paraId="1AA2922C">
      <w:pPr>
        <w:ind w:firstLine="560" w:firstLineChars="200"/>
        <w:rPr>
          <w:rFonts w:ascii="Times New Roman" w:hAnsi="Times New Roman" w:eastAsia="宋体" w:cs="Times New Roman"/>
          <w:color w:val="000000" w:themeColor="text1"/>
          <w:sz w:val="28"/>
          <w:szCs w:val="28"/>
          <w14:textFill>
            <w14:solidFill>
              <w14:schemeClr w14:val="tx1"/>
            </w14:solidFill>
          </w14:textFill>
        </w:rPr>
      </w:pPr>
      <w:r>
        <w:rPr>
          <w:rFonts w:ascii="Times New Roman" w:hAnsi="Times New Roman" w:eastAsia="宋体" w:cs="Times New Roman"/>
          <w:color w:val="000000" w:themeColor="text1"/>
          <w:sz w:val="28"/>
          <w:szCs w:val="28"/>
          <w14:textFill>
            <w14:solidFill>
              <w14:schemeClr w14:val="tx1"/>
            </w14:solidFill>
          </w14:textFill>
        </w:rPr>
        <w:t>标准编制按照GB/T1.1-2020《标准化工作导则第1部分：标准化文件的结构和起草规则》，使该标准更加规范。</w:t>
      </w:r>
    </w:p>
    <w:p w14:paraId="69CE6FAF">
      <w:pPr>
        <w:ind w:firstLine="562" w:firstLineChars="200"/>
        <w:rPr>
          <w:rFonts w:ascii="Times New Roman" w:hAnsi="Times New Roman" w:eastAsia="宋体" w:cs="Times New Roman"/>
          <w:b/>
          <w:color w:val="000000" w:themeColor="text1"/>
          <w:sz w:val="28"/>
          <w:szCs w:val="28"/>
          <w14:textFill>
            <w14:solidFill>
              <w14:schemeClr w14:val="tx1"/>
            </w14:solidFill>
          </w14:textFill>
        </w:rPr>
      </w:pPr>
      <w:r>
        <w:rPr>
          <w:rFonts w:hint="eastAsia" w:ascii="Times New Roman" w:hAnsi="Times New Roman" w:eastAsia="宋体" w:cs="Times New Roman"/>
          <w:b/>
          <w:color w:val="000000" w:themeColor="text1"/>
          <w:sz w:val="28"/>
          <w:szCs w:val="28"/>
          <w14:textFill>
            <w14:solidFill>
              <w14:schemeClr w14:val="tx1"/>
            </w14:solidFill>
          </w14:textFill>
        </w:rPr>
        <w:t>2</w:t>
      </w:r>
      <w:r>
        <w:rPr>
          <w:rFonts w:ascii="Times New Roman" w:hAnsi="Times New Roman" w:eastAsia="宋体" w:cs="Times New Roman"/>
          <w:b/>
          <w:color w:val="000000" w:themeColor="text1"/>
          <w:sz w:val="28"/>
          <w:szCs w:val="28"/>
          <w14:textFill>
            <w14:solidFill>
              <w14:schemeClr w14:val="tx1"/>
            </w14:solidFill>
          </w14:textFill>
        </w:rPr>
        <w:t>、一致性原则</w:t>
      </w:r>
    </w:p>
    <w:p w14:paraId="6682F3F4">
      <w:pPr>
        <w:ind w:firstLine="560" w:firstLineChars="200"/>
        <w:rPr>
          <w:rFonts w:ascii="Times New Roman" w:hAnsi="Times New Roman" w:eastAsia="宋体" w:cs="Times New Roman"/>
          <w:color w:val="000000" w:themeColor="text1"/>
          <w:sz w:val="28"/>
          <w:szCs w:val="28"/>
          <w14:textFill>
            <w14:solidFill>
              <w14:schemeClr w14:val="tx1"/>
            </w14:solidFill>
          </w14:textFill>
        </w:rPr>
      </w:pPr>
      <w:r>
        <w:rPr>
          <w:rFonts w:hint="eastAsia" w:ascii="Times New Roman" w:hAnsi="Times New Roman" w:eastAsia="宋体" w:cs="Times New Roman"/>
          <w:color w:val="000000" w:themeColor="text1"/>
          <w:sz w:val="28"/>
          <w:szCs w:val="28"/>
          <w14:textFill>
            <w14:solidFill>
              <w14:schemeClr w14:val="tx1"/>
            </w14:solidFill>
          </w14:textFill>
        </w:rPr>
        <w:t>本标准与《中华人民共和国标准化法》、《中华人民共和国安全生产法》、</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中华人民共和国</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特种设备安全法</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GB/T 3811</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起重机设计规范</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GB/T 4208</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外壳防护等级(IP代码)</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ascii="Times New Roman" w:hAnsi="Times New Roman" w:eastAsia="宋体" w:cs="Times New Roman"/>
          <w:color w:val="000000" w:themeColor="text1"/>
          <w:sz w:val="28"/>
          <w:szCs w:val="28"/>
          <w14:textFill>
            <w14:solidFill>
              <w14:schemeClr w14:val="tx1"/>
            </w14:solidFill>
          </w14:textFill>
        </w:rPr>
        <w:t>GB/T 6587</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ascii="Times New Roman" w:hAnsi="Times New Roman" w:eastAsia="宋体" w:cs="Times New Roman"/>
          <w:color w:val="000000" w:themeColor="text1"/>
          <w:sz w:val="28"/>
          <w:szCs w:val="28"/>
          <w14:textFill>
            <w14:solidFill>
              <w14:schemeClr w14:val="tx1"/>
            </w14:solidFill>
          </w14:textFill>
        </w:rPr>
        <w:t>电子测量仪器通用规范</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GB/T 15361</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岸边集装箱起重机</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GB/T 20271</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信息系统通用安全技术要求</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GB/T 21920</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岸边集装箱起重机安全规程</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GB/T 22239</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信息安全技术 网络安全等级保护基本要求</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GB/T 25070</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信息系统等级保护安全设计技术要求</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JT/T 90</w:t>
      </w:r>
      <w:bookmarkStart w:id="2" w:name="OLE_LINK2"/>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港口装卸机械风载荷计算及防风安全要求</w:t>
      </w:r>
      <w:bookmarkEnd w:id="2"/>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JT/T 1485.1</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自动化集装箱起重机远程操控安全作业规程 第1部分：岸边集装箱起重机</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等标准规范的要求保持一致。</w:t>
      </w:r>
    </w:p>
    <w:p w14:paraId="133C8A42">
      <w:pPr>
        <w:ind w:firstLine="562" w:firstLineChars="200"/>
        <w:rPr>
          <w:rFonts w:ascii="Times New Roman" w:hAnsi="Times New Roman" w:eastAsia="宋体" w:cs="Times New Roman"/>
          <w:b/>
          <w:color w:val="000000" w:themeColor="text1"/>
          <w:sz w:val="28"/>
          <w:szCs w:val="28"/>
          <w14:textFill>
            <w14:solidFill>
              <w14:schemeClr w14:val="tx1"/>
            </w14:solidFill>
          </w14:textFill>
        </w:rPr>
      </w:pPr>
      <w:r>
        <w:rPr>
          <w:rFonts w:hint="eastAsia" w:ascii="Times New Roman" w:hAnsi="Times New Roman" w:eastAsia="宋体" w:cs="Times New Roman"/>
          <w:b/>
          <w:color w:val="000000" w:themeColor="text1"/>
          <w:sz w:val="28"/>
          <w:szCs w:val="28"/>
          <w14:textFill>
            <w14:solidFill>
              <w14:schemeClr w14:val="tx1"/>
            </w14:solidFill>
          </w14:textFill>
        </w:rPr>
        <w:t>3</w:t>
      </w:r>
      <w:r>
        <w:rPr>
          <w:rFonts w:ascii="Times New Roman" w:hAnsi="Times New Roman" w:eastAsia="宋体" w:cs="Times New Roman"/>
          <w:b/>
          <w:color w:val="000000" w:themeColor="text1"/>
          <w:sz w:val="28"/>
          <w:szCs w:val="28"/>
          <w14:textFill>
            <w14:solidFill>
              <w14:schemeClr w14:val="tx1"/>
            </w14:solidFill>
          </w14:textFill>
        </w:rPr>
        <w:t>、适用性原则</w:t>
      </w:r>
    </w:p>
    <w:p w14:paraId="1490BDE0">
      <w:pPr>
        <w:ind w:firstLine="560" w:firstLineChars="200"/>
        <w:rPr>
          <w:rFonts w:ascii="Times New Roman" w:hAnsi="Times New Roman" w:eastAsia="宋体" w:cs="Times New Roman"/>
          <w:color w:val="000000" w:themeColor="text1"/>
          <w:sz w:val="28"/>
          <w:szCs w:val="28"/>
          <w14:textFill>
            <w14:solidFill>
              <w14:schemeClr w14:val="tx1"/>
            </w14:solidFill>
          </w14:textFill>
        </w:rPr>
      </w:pPr>
      <w:r>
        <w:rPr>
          <w:rFonts w:ascii="Times New Roman" w:hAnsi="Times New Roman" w:eastAsia="宋体" w:cs="Times New Roman"/>
          <w:color w:val="000000" w:themeColor="text1"/>
          <w:sz w:val="28"/>
          <w:szCs w:val="28"/>
          <w14:textFill>
            <w14:solidFill>
              <w14:schemeClr w14:val="tx1"/>
            </w14:solidFill>
          </w14:textFill>
        </w:rPr>
        <w:t>本标准在广泛调研的基础上，遵循</w:t>
      </w:r>
      <w:r>
        <w:rPr>
          <w:rFonts w:hint="eastAsia" w:ascii="Times New Roman" w:eastAsiaTheme="majorEastAsia"/>
          <w:sz w:val="28"/>
          <w:szCs w:val="28"/>
          <w:lang w:val="en-US" w:eastAsia="zh-CN"/>
        </w:rPr>
        <w:t>岸边集装箱起重机大车行走机构防碰撞装置</w:t>
      </w:r>
      <w:r>
        <w:rPr>
          <w:rFonts w:hint="eastAsia" w:ascii="Times New Roman" w:hAnsi="Times New Roman" w:eastAsia="宋体" w:cs="Times New Roman"/>
          <w:color w:val="000000" w:themeColor="text1"/>
          <w:sz w:val="28"/>
          <w:szCs w:val="28"/>
          <w14:textFill>
            <w14:solidFill>
              <w14:schemeClr w14:val="tx1"/>
            </w14:solidFill>
          </w14:textFill>
        </w:rPr>
        <w:t>技术</w:t>
      </w:r>
      <w:r>
        <w:rPr>
          <w:rFonts w:ascii="Times New Roman" w:hAnsi="Times New Roman" w:eastAsia="宋体" w:cs="Times New Roman"/>
          <w:color w:val="000000" w:themeColor="text1"/>
          <w:sz w:val="28"/>
          <w:szCs w:val="28"/>
          <w14:textFill>
            <w14:solidFill>
              <w14:schemeClr w14:val="tx1"/>
            </w14:solidFill>
          </w14:textFill>
        </w:rPr>
        <w:t>实践</w:t>
      </w:r>
      <w:r>
        <w:rPr>
          <w:rFonts w:hint="eastAsia" w:ascii="Times New Roman" w:hAnsi="Times New Roman" w:eastAsia="宋体" w:cs="Times New Roman"/>
          <w:color w:val="000000" w:themeColor="text1"/>
          <w:sz w:val="28"/>
          <w:szCs w:val="28"/>
          <w14:textFill>
            <w14:solidFill>
              <w14:schemeClr w14:val="tx1"/>
            </w14:solidFill>
          </w14:textFill>
        </w:rPr>
        <w:t>要求</w:t>
      </w:r>
      <w:r>
        <w:rPr>
          <w:rFonts w:ascii="Times New Roman" w:hAnsi="Times New Roman" w:eastAsia="宋体" w:cs="Times New Roman"/>
          <w:color w:val="000000" w:themeColor="text1"/>
          <w:sz w:val="28"/>
          <w:szCs w:val="28"/>
          <w14:textFill>
            <w14:solidFill>
              <w14:schemeClr w14:val="tx1"/>
            </w14:solidFill>
          </w14:textFill>
        </w:rPr>
        <w:t>，强化、规范</w:t>
      </w:r>
      <w:bookmarkStart w:id="3" w:name="_Hlk209633984"/>
      <w:r>
        <w:rPr>
          <w:rFonts w:hint="eastAsia" w:ascii="Times New Roman" w:eastAsiaTheme="majorEastAsia"/>
          <w:sz w:val="28"/>
          <w:szCs w:val="28"/>
          <w:lang w:val="en-US" w:eastAsia="zh-CN"/>
        </w:rPr>
        <w:t>岸边集装箱起重机大车行走机构防碰撞装置</w:t>
      </w:r>
      <w:r>
        <w:rPr>
          <w:rFonts w:hint="eastAsia" w:ascii="Times New Roman" w:hAnsi="Times New Roman" w:eastAsia="宋体" w:cs="Times New Roman"/>
          <w:color w:val="000000" w:themeColor="text1"/>
          <w:sz w:val="28"/>
          <w:szCs w:val="28"/>
          <w14:textFill>
            <w14:solidFill>
              <w14:schemeClr w14:val="tx1"/>
            </w14:solidFill>
          </w14:textFill>
        </w:rPr>
        <w:t>基本</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构成</w:t>
      </w:r>
      <w:r>
        <w:rPr>
          <w:rFonts w:hint="eastAsia" w:ascii="Times New Roman" w:hAnsi="Times New Roman" w:eastAsia="宋体" w:cs="Times New Roman"/>
          <w:color w:val="000000" w:themeColor="text1"/>
          <w:sz w:val="28"/>
          <w:szCs w:val="28"/>
          <w14:textFill>
            <w14:solidFill>
              <w14:schemeClr w14:val="tx1"/>
            </w14:solidFill>
          </w14:textFill>
        </w:rPr>
        <w:t>、</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一般要求、技术要求等</w:t>
      </w:r>
      <w:bookmarkEnd w:id="3"/>
      <w:r>
        <w:rPr>
          <w:rFonts w:hint="eastAsia" w:ascii="Times New Roman" w:hAnsi="Times New Roman" w:eastAsia="宋体" w:cs="Times New Roman"/>
          <w:color w:val="000000" w:themeColor="text1"/>
          <w:sz w:val="28"/>
          <w:szCs w:val="28"/>
          <w14:textFill>
            <w14:solidFill>
              <w14:schemeClr w14:val="tx1"/>
            </w14:solidFill>
          </w14:textFill>
        </w:rPr>
        <w:t>，有</w:t>
      </w:r>
      <w:r>
        <w:rPr>
          <w:rFonts w:ascii="Times New Roman" w:hAnsi="Times New Roman" w:eastAsia="宋体" w:cs="Times New Roman"/>
          <w:color w:val="000000" w:themeColor="text1"/>
          <w:sz w:val="28"/>
          <w:szCs w:val="28"/>
          <w14:textFill>
            <w14:solidFill>
              <w14:schemeClr w14:val="tx1"/>
            </w14:solidFill>
          </w14:textFill>
        </w:rPr>
        <w:t>助于</w:t>
      </w:r>
      <w:r>
        <w:rPr>
          <w:rFonts w:hint="eastAsia" w:ascii="Times New Roman" w:hAnsi="Times New Roman" w:eastAsia="宋体" w:cs="Times New Roman"/>
          <w:color w:val="000000" w:themeColor="text1"/>
          <w:sz w:val="28"/>
          <w:szCs w:val="28"/>
          <w14:textFill>
            <w14:solidFill>
              <w14:schemeClr w14:val="tx1"/>
            </w14:solidFill>
          </w14:textFill>
        </w:rPr>
        <w:t>保障港口企业</w:t>
      </w:r>
      <w:r>
        <w:rPr>
          <w:rFonts w:hint="eastAsia" w:ascii="Times New Roman" w:eastAsiaTheme="majorEastAsia"/>
          <w:sz w:val="28"/>
          <w:szCs w:val="28"/>
          <w:lang w:val="en-US" w:eastAsia="zh-CN"/>
        </w:rPr>
        <w:t>岸边集装箱起重机</w:t>
      </w:r>
      <w:r>
        <w:rPr>
          <w:rFonts w:hint="eastAsia" w:ascii="Times New Roman" w:hAnsi="Times New Roman" w:eastAsia="宋体" w:cs="Times New Roman"/>
          <w:color w:val="000000" w:themeColor="text1"/>
          <w:sz w:val="28"/>
          <w:szCs w:val="28"/>
          <w14:textFill>
            <w14:solidFill>
              <w14:schemeClr w14:val="tx1"/>
            </w14:solidFill>
          </w14:textFill>
        </w:rPr>
        <w:t>安全运行</w:t>
      </w:r>
      <w:r>
        <w:rPr>
          <w:rFonts w:ascii="Times New Roman" w:hAnsi="Times New Roman" w:eastAsia="宋体" w:cs="Times New Roman"/>
          <w:color w:val="000000" w:themeColor="text1"/>
          <w:sz w:val="28"/>
          <w:szCs w:val="28"/>
          <w14:textFill>
            <w14:solidFill>
              <w14:schemeClr w14:val="tx1"/>
            </w14:solidFill>
          </w14:textFill>
        </w:rPr>
        <w:t>。</w:t>
      </w:r>
    </w:p>
    <w:p w14:paraId="0FD1012F">
      <w:pPr>
        <w:ind w:firstLine="551" w:firstLineChars="196"/>
        <w:rPr>
          <w:rFonts w:ascii="Times New Roman" w:hAnsi="Times New Roman" w:eastAsia="宋体" w:cs="Times New Roman"/>
          <w:b/>
          <w:color w:val="000000" w:themeColor="text1"/>
          <w:sz w:val="28"/>
          <w:szCs w:val="28"/>
          <w14:textFill>
            <w14:solidFill>
              <w14:schemeClr w14:val="tx1"/>
            </w14:solidFill>
          </w14:textFill>
        </w:rPr>
      </w:pPr>
      <w:r>
        <w:rPr>
          <w:rFonts w:ascii="Times New Roman" w:hAnsi="Times New Roman" w:eastAsia="宋体" w:cs="Times New Roman"/>
          <w:b/>
          <w:color w:val="000000" w:themeColor="text1"/>
          <w:sz w:val="28"/>
          <w:szCs w:val="28"/>
          <w14:textFill>
            <w14:solidFill>
              <w14:schemeClr w14:val="tx1"/>
            </w14:solidFill>
          </w14:textFill>
        </w:rPr>
        <w:t>（二）主要内容</w:t>
      </w:r>
    </w:p>
    <w:p w14:paraId="60273480">
      <w:pPr>
        <w:ind w:firstLine="560" w:firstLineChars="200"/>
        <w:jc w:val="left"/>
        <w:rPr>
          <w:rFonts w:ascii="Times New Roman" w:hAnsi="Times New Roman"/>
          <w:bCs/>
          <w:sz w:val="28"/>
        </w:rPr>
      </w:pPr>
      <w:r>
        <w:rPr>
          <w:rFonts w:ascii="Times New Roman" w:hAnsi="Times New Roman" w:eastAsia="宋体" w:cs="Times New Roman"/>
          <w:color w:val="000000" w:themeColor="text1"/>
          <w:sz w:val="28"/>
          <w:szCs w:val="28"/>
          <w14:textFill>
            <w14:solidFill>
              <w14:schemeClr w14:val="tx1"/>
            </w14:solidFill>
          </w14:textFill>
        </w:rPr>
        <w:t>本标准</w:t>
      </w:r>
      <w:r>
        <w:rPr>
          <w:rFonts w:hint="eastAsia" w:ascii="Times New Roman" w:hAnsi="Times New Roman" w:eastAsia="宋体" w:cs="Times New Roman"/>
          <w:color w:val="000000" w:themeColor="text1"/>
          <w:sz w:val="28"/>
          <w:szCs w:val="28"/>
          <w14:textFill>
            <w14:solidFill>
              <w14:schemeClr w14:val="tx1"/>
            </w14:solidFill>
          </w14:textFill>
        </w:rPr>
        <w:t>主要内容包括</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三</w:t>
      </w:r>
      <w:r>
        <w:rPr>
          <w:rFonts w:hint="eastAsia" w:ascii="Times New Roman" w:hAnsi="Times New Roman" w:eastAsia="宋体" w:cs="Times New Roman"/>
          <w:color w:val="000000" w:themeColor="text1"/>
          <w:sz w:val="28"/>
          <w:szCs w:val="28"/>
          <w14:textFill>
            <w14:solidFill>
              <w14:schemeClr w14:val="tx1"/>
            </w14:solidFill>
          </w14:textFill>
        </w:rPr>
        <w:t>个方面：</w:t>
      </w:r>
      <w:r>
        <w:rPr>
          <w:rFonts w:hint="eastAsia" w:ascii="Times New Roman" w:hAnsi="Times New Roman" w:eastAsia="宋体" w:cs="Times New Roman"/>
          <w:b/>
          <w:color w:val="000000" w:themeColor="text1"/>
          <w:sz w:val="28"/>
          <w:szCs w:val="28"/>
          <w14:textFill>
            <w14:solidFill>
              <w14:schemeClr w14:val="tx1"/>
            </w14:solidFill>
          </w14:textFill>
        </w:rPr>
        <w:t>一是</w:t>
      </w:r>
      <w:r>
        <w:rPr>
          <w:rFonts w:hint="eastAsia" w:ascii="Times New Roman" w:eastAsiaTheme="majorEastAsia"/>
          <w:sz w:val="28"/>
          <w:szCs w:val="28"/>
          <w:lang w:val="en-US" w:eastAsia="zh-CN"/>
        </w:rPr>
        <w:t>岸边集装箱起重机大车行走机构防碰撞装置构成</w:t>
      </w:r>
      <w:r>
        <w:rPr>
          <w:rFonts w:hint="eastAsia" w:ascii="Times New Roman"/>
          <w:bCs/>
          <w:sz w:val="28"/>
        </w:rPr>
        <w:t>；</w:t>
      </w:r>
      <w:r>
        <w:rPr>
          <w:rFonts w:hint="eastAsia" w:ascii="Times New Roman" w:hAnsi="Times New Roman" w:eastAsia="宋体" w:cs="Times New Roman"/>
          <w:b/>
          <w:color w:val="000000" w:themeColor="text1"/>
          <w:sz w:val="28"/>
          <w:szCs w:val="28"/>
          <w14:textFill>
            <w14:solidFill>
              <w14:schemeClr w14:val="tx1"/>
            </w14:solidFill>
          </w14:textFill>
        </w:rPr>
        <w:t>二是</w:t>
      </w:r>
      <w:r>
        <w:rPr>
          <w:rFonts w:hint="eastAsia" w:ascii="Times New Roman" w:eastAsiaTheme="majorEastAsia"/>
          <w:sz w:val="28"/>
          <w:szCs w:val="28"/>
          <w:lang w:val="en-US" w:eastAsia="zh-CN"/>
        </w:rPr>
        <w:t>岸边集装箱起重机大车行走机构防碰撞装置一般</w:t>
      </w:r>
      <w:r>
        <w:rPr>
          <w:rFonts w:hint="eastAsia" w:ascii="Times New Roman"/>
          <w:bCs/>
          <w:sz w:val="28"/>
        </w:rPr>
        <w:t>要求；三是</w:t>
      </w:r>
      <w:r>
        <w:rPr>
          <w:rFonts w:hint="eastAsia" w:ascii="Times New Roman" w:eastAsiaTheme="majorEastAsia"/>
          <w:sz w:val="28"/>
          <w:szCs w:val="28"/>
          <w:lang w:val="en-US" w:eastAsia="zh-CN"/>
        </w:rPr>
        <w:t>岸边集装箱起重机大车行走机构防碰撞装置技术要求</w:t>
      </w:r>
      <w:r>
        <w:rPr>
          <w:rFonts w:hint="eastAsia" w:ascii="Times New Roman"/>
          <w:bCs/>
          <w:sz w:val="28"/>
        </w:rPr>
        <w:t>。</w:t>
      </w:r>
    </w:p>
    <w:p w14:paraId="5B15F6D4">
      <w:pPr>
        <w:ind w:firstLine="560" w:firstLineChars="200"/>
        <w:jc w:val="left"/>
        <w:rPr>
          <w:rFonts w:ascii="Times New Roman" w:hAnsi="Times New Roman" w:eastAsia="宋体" w:cs="Times New Roman"/>
          <w:color w:val="000000" w:themeColor="text1"/>
          <w:sz w:val="28"/>
          <w:szCs w:val="28"/>
          <w14:textFill>
            <w14:solidFill>
              <w14:schemeClr w14:val="tx1"/>
            </w14:solidFill>
          </w14:textFill>
        </w:rPr>
      </w:pPr>
      <w:r>
        <w:rPr>
          <w:rFonts w:ascii="Times New Roman" w:hAnsi="Times New Roman" w:eastAsia="宋体" w:cs="Times New Roman"/>
          <w:color w:val="000000" w:themeColor="text1"/>
          <w:sz w:val="28"/>
          <w:szCs w:val="28"/>
          <w14:textFill>
            <w14:solidFill>
              <w14:schemeClr w14:val="tx1"/>
            </w14:solidFill>
          </w14:textFill>
        </w:rPr>
        <w:t>1、标准的适用范围</w:t>
      </w:r>
    </w:p>
    <w:p w14:paraId="7991D984">
      <w:pPr>
        <w:ind w:firstLine="560" w:firstLineChars="200"/>
        <w:jc w:val="left"/>
        <w:rPr>
          <w:rFonts w:ascii="Times New Roman" w:hAnsi="Times New Roman" w:eastAsia="宋体" w:cs="Times New Roman"/>
          <w:color w:val="000000" w:themeColor="text1"/>
          <w:sz w:val="28"/>
          <w:szCs w:val="28"/>
          <w14:textFill>
            <w14:solidFill>
              <w14:schemeClr w14:val="tx1"/>
            </w14:solidFill>
          </w14:textFill>
        </w:rPr>
      </w:pPr>
      <w:r>
        <w:rPr>
          <w:rFonts w:hint="eastAsia" w:ascii="Times New Roman" w:hAnsi="Times New Roman" w:eastAsia="宋体" w:cs="Times New Roman"/>
          <w:color w:val="000000" w:themeColor="text1"/>
          <w:sz w:val="28"/>
          <w:szCs w:val="28"/>
          <w14:textFill>
            <w14:solidFill>
              <w14:schemeClr w14:val="tx1"/>
            </w14:solidFill>
          </w14:textFill>
        </w:rPr>
        <w:t>本文件规定了</w:t>
      </w:r>
      <w:r>
        <w:rPr>
          <w:rFonts w:hint="eastAsia" w:ascii="Times New Roman" w:eastAsiaTheme="majorEastAsia"/>
          <w:sz w:val="28"/>
          <w:szCs w:val="28"/>
          <w:lang w:val="en-US" w:eastAsia="zh-CN"/>
        </w:rPr>
        <w:t>岸边集装箱起重机大车行走机构防碰撞装置的构成、一般要求和技术要求</w:t>
      </w:r>
      <w:r>
        <w:rPr>
          <w:rFonts w:hint="eastAsia" w:ascii="Times New Roman" w:hAnsi="Times New Roman" w:eastAsia="宋体" w:cs="Times New Roman"/>
          <w:color w:val="000000" w:themeColor="text1"/>
          <w:sz w:val="28"/>
          <w:szCs w:val="28"/>
          <w14:textFill>
            <w14:solidFill>
              <w14:schemeClr w14:val="tx1"/>
            </w14:solidFill>
          </w14:textFill>
        </w:rPr>
        <w:t>。</w:t>
      </w:r>
    </w:p>
    <w:p w14:paraId="1D420587">
      <w:pPr>
        <w:ind w:firstLine="560" w:firstLineChars="200"/>
        <w:jc w:val="left"/>
        <w:rPr>
          <w:rFonts w:ascii="Times New Roman" w:hAnsi="Times New Roman" w:eastAsia="宋体" w:cs="Times New Roman"/>
          <w:color w:val="000000" w:themeColor="text1"/>
          <w:sz w:val="28"/>
          <w:szCs w:val="28"/>
          <w14:textFill>
            <w14:solidFill>
              <w14:schemeClr w14:val="tx1"/>
            </w14:solidFill>
          </w14:textFill>
        </w:rPr>
      </w:pPr>
      <w:r>
        <w:rPr>
          <w:rFonts w:hint="eastAsia" w:ascii="Times New Roman" w:hAnsi="Times New Roman" w:eastAsia="宋体" w:cs="Times New Roman"/>
          <w:color w:val="000000" w:themeColor="text1"/>
          <w:sz w:val="28"/>
          <w:szCs w:val="28"/>
          <w14:textFill>
            <w14:solidFill>
              <w14:schemeClr w14:val="tx1"/>
            </w14:solidFill>
          </w14:textFill>
        </w:rPr>
        <w:t>本文件适用于</w:t>
      </w:r>
      <w:r>
        <w:rPr>
          <w:rFonts w:hint="eastAsia" w:ascii="Times New Roman" w:eastAsiaTheme="majorEastAsia"/>
          <w:sz w:val="28"/>
          <w:szCs w:val="28"/>
          <w:lang w:val="en-US" w:eastAsia="zh-CN"/>
        </w:rPr>
        <w:t>岸边集装箱起重机大车行走机构防碰撞装置的设计和使用</w:t>
      </w:r>
      <w:r>
        <w:rPr>
          <w:rFonts w:hint="eastAsia" w:ascii="Times New Roman" w:hAnsi="Times New Roman" w:eastAsia="宋体" w:cs="Times New Roman"/>
          <w:color w:val="000000" w:themeColor="text1"/>
          <w:sz w:val="28"/>
          <w:szCs w:val="28"/>
          <w14:textFill>
            <w14:solidFill>
              <w14:schemeClr w14:val="tx1"/>
            </w14:solidFill>
          </w14:textFill>
        </w:rPr>
        <w:t>。</w:t>
      </w:r>
    </w:p>
    <w:p w14:paraId="6BAFADC2">
      <w:pPr>
        <w:ind w:firstLine="560" w:firstLineChars="200"/>
        <w:jc w:val="left"/>
        <w:rPr>
          <w:rFonts w:ascii="Times New Roman" w:hAnsi="Times New Roman" w:eastAsia="宋体" w:cs="Times New Roman"/>
          <w:color w:val="000000" w:themeColor="text1"/>
          <w:sz w:val="28"/>
          <w:szCs w:val="28"/>
          <w14:textFill>
            <w14:solidFill>
              <w14:schemeClr w14:val="tx1"/>
            </w14:solidFill>
          </w14:textFill>
        </w:rPr>
      </w:pPr>
      <w:r>
        <w:rPr>
          <w:rFonts w:ascii="Times New Roman" w:hAnsi="Times New Roman" w:eastAsia="宋体" w:cs="Times New Roman"/>
          <w:color w:val="000000" w:themeColor="text1"/>
          <w:sz w:val="28"/>
          <w:szCs w:val="28"/>
          <w14:textFill>
            <w14:solidFill>
              <w14:schemeClr w14:val="tx1"/>
            </w14:solidFill>
          </w14:textFill>
        </w:rPr>
        <w:t>2、规范性引用文件</w:t>
      </w:r>
    </w:p>
    <w:p w14:paraId="4DA9EA41">
      <w:pPr>
        <w:ind w:firstLine="560" w:firstLineChars="200"/>
        <w:jc w:val="left"/>
        <w:rPr>
          <w:rFonts w:ascii="Times New Roman" w:hAnsi="Times New Roman" w:eastAsia="宋体" w:cs="Times New Roman"/>
          <w:color w:val="000000" w:themeColor="text1"/>
          <w:sz w:val="28"/>
          <w:szCs w:val="28"/>
          <w14:textFill>
            <w14:solidFill>
              <w14:schemeClr w14:val="tx1"/>
            </w14:solidFill>
          </w14:textFill>
        </w:rPr>
      </w:pPr>
      <w:r>
        <w:rPr>
          <w:rFonts w:ascii="Times New Roman" w:hAnsi="Times New Roman" w:eastAsia="宋体" w:cs="Times New Roman"/>
          <w:color w:val="000000" w:themeColor="text1"/>
          <w:sz w:val="28"/>
          <w:szCs w:val="28"/>
          <w14:textFill>
            <w14:solidFill>
              <w14:schemeClr w14:val="tx1"/>
            </w14:solidFill>
          </w14:textFill>
        </w:rPr>
        <w:t>本部分基于本标准中所阐述和规范的内容，对所引用的标准、规范等内容和引用原则进行了描述。</w:t>
      </w:r>
    </w:p>
    <w:p w14:paraId="0A8CA658">
      <w:pPr>
        <w:ind w:firstLine="560" w:firstLineChars="200"/>
        <w:jc w:val="left"/>
        <w:rPr>
          <w:rFonts w:ascii="Times New Roman" w:hAnsi="Times New Roman" w:eastAsia="宋体" w:cs="Times New Roman"/>
          <w:color w:val="000000" w:themeColor="text1"/>
          <w:sz w:val="28"/>
          <w:szCs w:val="28"/>
          <w14:textFill>
            <w14:solidFill>
              <w14:schemeClr w14:val="tx1"/>
            </w14:solidFill>
          </w14:textFill>
        </w:rPr>
      </w:pPr>
      <w:r>
        <w:rPr>
          <w:rFonts w:ascii="Times New Roman" w:hAnsi="Times New Roman" w:eastAsia="宋体" w:cs="Times New Roman"/>
          <w:color w:val="000000" w:themeColor="text1"/>
          <w:sz w:val="28"/>
          <w:szCs w:val="28"/>
          <w14:textFill>
            <w14:solidFill>
              <w14:schemeClr w14:val="tx1"/>
            </w14:solidFill>
          </w14:textFill>
        </w:rPr>
        <w:t>3、术语和定义</w:t>
      </w:r>
    </w:p>
    <w:p w14:paraId="3CBDCD80">
      <w:pPr>
        <w:ind w:firstLine="560" w:firstLineChars="200"/>
        <w:jc w:val="left"/>
        <w:rPr>
          <w:rFonts w:ascii="Times New Roman" w:hAnsi="Times New Roman" w:eastAsia="宋体" w:cs="Times New Roman"/>
          <w:color w:val="000000" w:themeColor="text1"/>
          <w:sz w:val="28"/>
          <w:szCs w:val="28"/>
          <w14:textFill>
            <w14:solidFill>
              <w14:schemeClr w14:val="tx1"/>
            </w14:solidFill>
          </w14:textFill>
        </w:rPr>
      </w:pPr>
      <w:r>
        <w:rPr>
          <w:rFonts w:hint="eastAsia" w:ascii="Times New Roman" w:hAnsi="Times New Roman" w:eastAsia="宋体" w:cs="Times New Roman"/>
          <w:color w:val="000000" w:themeColor="text1"/>
          <w:sz w:val="28"/>
          <w:szCs w:val="28"/>
          <w14:textFill>
            <w14:solidFill>
              <w14:schemeClr w14:val="tx1"/>
            </w14:solidFill>
          </w14:textFill>
        </w:rPr>
        <w:t>本标准界定了</w:t>
      </w:r>
      <w:r>
        <w:rPr>
          <w:rFonts w:hint="eastAsia" w:ascii="Times New Roman" w:eastAsiaTheme="majorEastAsia"/>
          <w:sz w:val="28"/>
          <w:szCs w:val="28"/>
          <w:lang w:val="en-US" w:eastAsia="zh-CN"/>
        </w:rPr>
        <w:t>岸边集装箱起重机大车行走机构防碰撞装置的</w:t>
      </w:r>
      <w:r>
        <w:rPr>
          <w:rFonts w:hint="eastAsia" w:ascii="Times New Roman" w:hAnsi="Times New Roman" w:eastAsia="宋体" w:cs="Times New Roman"/>
          <w:color w:val="000000" w:themeColor="text1"/>
          <w:sz w:val="28"/>
          <w:szCs w:val="28"/>
          <w14:textFill>
            <w14:solidFill>
              <w14:schemeClr w14:val="tx1"/>
            </w14:solidFill>
          </w14:textFill>
        </w:rPr>
        <w:t>术语和定义。通过明确相关名词术语减少歧义，使标准更容易理解和执行。</w:t>
      </w:r>
    </w:p>
    <w:p w14:paraId="04B0BDBF">
      <w:pPr>
        <w:ind w:firstLine="560" w:firstLineChars="200"/>
        <w:jc w:val="left"/>
        <w:rPr>
          <w:rFonts w:ascii="Times New Roman" w:hAnsi="Times New Roman" w:eastAsia="宋体" w:cs="Times New Roman"/>
          <w:color w:val="000000" w:themeColor="text1"/>
          <w:sz w:val="28"/>
          <w:szCs w:val="28"/>
          <w14:textFill>
            <w14:solidFill>
              <w14:schemeClr w14:val="tx1"/>
            </w14:solidFill>
          </w14:textFill>
        </w:rPr>
      </w:pPr>
      <w:r>
        <w:rPr>
          <w:rFonts w:hint="eastAsia" w:ascii="Times New Roman" w:hAnsi="Times New Roman" w:eastAsia="宋体" w:cs="Times New Roman"/>
          <w:color w:val="000000" w:themeColor="text1"/>
          <w:sz w:val="28"/>
          <w:szCs w:val="28"/>
          <w14:textFill>
            <w14:solidFill>
              <w14:schemeClr w14:val="tx1"/>
            </w14:solidFill>
          </w14:textFill>
        </w:rPr>
        <w:t>4、</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装置构成</w:t>
      </w:r>
    </w:p>
    <w:p w14:paraId="6C9E27C8">
      <w:pPr>
        <w:ind w:firstLine="560" w:firstLineChars="200"/>
        <w:jc w:val="left"/>
        <w:rPr>
          <w:rFonts w:hint="eastAsia" w:ascii="Times New Roman" w:hAnsi="Times New Roman" w:eastAsia="宋体" w:cs="Times New Roman"/>
          <w:color w:val="000000" w:themeColor="text1"/>
          <w:sz w:val="28"/>
          <w:szCs w:val="28"/>
          <w14:textFill>
            <w14:solidFill>
              <w14:schemeClr w14:val="tx1"/>
            </w14:solidFill>
          </w14:textFill>
        </w:rPr>
      </w:pPr>
      <w:r>
        <w:rPr>
          <w:rFonts w:hint="eastAsia" w:ascii="Times New Roman" w:hAnsi="Times New Roman" w:eastAsia="宋体" w:cs="Times New Roman"/>
          <w:color w:val="000000" w:themeColor="text1"/>
          <w:sz w:val="28"/>
          <w:szCs w:val="28"/>
          <w:lang w:val="en-US" w:eastAsia="zh-CN"/>
          <w14:textFill>
            <w14:solidFill>
              <w14:schemeClr w14:val="tx1"/>
            </w14:solidFill>
          </w14:textFill>
        </w:rPr>
        <w:t>本部分解释了</w:t>
      </w:r>
      <w:r>
        <w:rPr>
          <w:rFonts w:hint="eastAsia" w:ascii="Times New Roman" w:eastAsiaTheme="majorEastAsia"/>
          <w:sz w:val="28"/>
          <w:szCs w:val="28"/>
          <w:lang w:val="en-US" w:eastAsia="zh-CN"/>
        </w:rPr>
        <w:t>岸边集装箱起重机（在标准中简称“岸桥”）</w:t>
      </w:r>
      <w:r>
        <w:rPr>
          <w:rFonts w:hint="eastAsia" w:ascii="Times New Roman" w:hAnsi="Times New Roman" w:eastAsia="宋体" w:cs="Times New Roman"/>
          <w:color w:val="000000" w:themeColor="text1"/>
          <w:sz w:val="28"/>
          <w:szCs w:val="28"/>
          <w14:textFill>
            <w14:solidFill>
              <w14:schemeClr w14:val="tx1"/>
            </w14:solidFill>
          </w14:textFill>
        </w:rPr>
        <w:t>大车行走机构防碰撞装置</w:t>
      </w:r>
      <w:r>
        <w:rPr>
          <w:rFonts w:hint="eastAsia" w:ascii="Times New Roman" w:hAnsi="Times New Roman" w:eastAsia="宋体" w:cs="Times New Roman"/>
          <w:color w:val="000000" w:themeColor="text1"/>
          <w:sz w:val="28"/>
          <w:szCs w:val="28"/>
          <w:lang w:eastAsia="zh-CN"/>
          <w14:textFill>
            <w14:solidFill>
              <w14:schemeClr w14:val="tx1"/>
            </w14:solidFill>
          </w14:textFill>
        </w:rPr>
        <w:t>的</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功能，主要是</w:t>
      </w:r>
      <w:r>
        <w:rPr>
          <w:rFonts w:hint="eastAsia" w:ascii="Times New Roman" w:hAnsi="Times New Roman" w:eastAsia="宋体" w:cs="Times New Roman"/>
          <w:color w:val="000000" w:themeColor="text1"/>
          <w:sz w:val="28"/>
          <w:szCs w:val="28"/>
          <w14:textFill>
            <w14:solidFill>
              <w14:schemeClr w14:val="tx1"/>
            </w14:solidFill>
          </w14:textFill>
        </w:rPr>
        <w:t>防止两台在同一轨道运行的岸桥碰撞、防止岸桥与轨道上的障碍物碰撞</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包括测距防撞装置、机械限位装置和碰撞缓冲器</w:t>
      </w:r>
      <w:r>
        <w:rPr>
          <w:rFonts w:hint="eastAsia" w:ascii="Times New Roman" w:hAnsi="Times New Roman" w:eastAsia="宋体" w:cs="Times New Roman"/>
          <w:color w:val="000000" w:themeColor="text1"/>
          <w:sz w:val="28"/>
          <w:szCs w:val="28"/>
          <w14:textFill>
            <w14:solidFill>
              <w14:schemeClr w14:val="tx1"/>
            </w14:solidFill>
          </w14:textFill>
        </w:rPr>
        <w:t>。</w:t>
      </w:r>
    </w:p>
    <w:p w14:paraId="0B6BF5DF">
      <w:pPr>
        <w:ind w:firstLine="560" w:firstLineChars="200"/>
        <w:jc w:val="left"/>
        <w:rPr>
          <w:rFonts w:ascii="Times New Roman" w:hAnsi="Times New Roman" w:eastAsia="宋体" w:cs="Times New Roman"/>
          <w:color w:val="000000" w:themeColor="text1"/>
          <w:sz w:val="28"/>
          <w:szCs w:val="28"/>
          <w14:textFill>
            <w14:solidFill>
              <w14:schemeClr w14:val="tx1"/>
            </w14:solidFill>
          </w14:textFill>
        </w:rPr>
      </w:pPr>
      <w:r>
        <w:rPr>
          <w:rFonts w:hint="eastAsia" w:ascii="Times New Roman" w:hAnsi="Times New Roman" w:eastAsia="宋体" w:cs="Times New Roman"/>
          <w:color w:val="000000" w:themeColor="text1"/>
          <w:sz w:val="28"/>
          <w:szCs w:val="28"/>
          <w14:textFill>
            <w14:solidFill>
              <w14:schemeClr w14:val="tx1"/>
            </w14:solidFill>
          </w14:textFill>
        </w:rPr>
        <w:t>5、</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一般</w:t>
      </w:r>
      <w:r>
        <w:rPr>
          <w:rFonts w:hint="eastAsia" w:ascii="Times New Roman" w:hAnsi="Times New Roman" w:eastAsia="宋体" w:cs="Times New Roman"/>
          <w:color w:val="000000" w:themeColor="text1"/>
          <w:sz w:val="28"/>
          <w:szCs w:val="28"/>
          <w14:textFill>
            <w14:solidFill>
              <w14:schemeClr w14:val="tx1"/>
            </w14:solidFill>
          </w14:textFill>
        </w:rPr>
        <w:t>要求</w:t>
      </w:r>
    </w:p>
    <w:p w14:paraId="47C4294E">
      <w:pPr>
        <w:ind w:firstLine="560" w:firstLineChars="200"/>
        <w:rPr>
          <w:rFonts w:ascii="Times New Roman" w:hAnsi="Times New Roman" w:eastAsia="宋体" w:cs="Times New Roman"/>
          <w:color w:val="000000" w:themeColor="text1"/>
          <w:sz w:val="28"/>
          <w:szCs w:val="28"/>
          <w14:textFill>
            <w14:solidFill>
              <w14:schemeClr w14:val="tx1"/>
            </w14:solidFill>
          </w14:textFill>
        </w:rPr>
      </w:pPr>
      <w:r>
        <w:rPr>
          <w:rFonts w:hint="eastAsia" w:ascii="Times New Roman" w:hAnsi="Times New Roman" w:eastAsia="宋体" w:cs="Times New Roman"/>
          <w:color w:val="000000" w:themeColor="text1"/>
          <w:sz w:val="28"/>
          <w:szCs w:val="28"/>
          <w14:textFill>
            <w14:solidFill>
              <w14:schemeClr w14:val="tx1"/>
            </w14:solidFill>
          </w14:textFill>
        </w:rPr>
        <w:t>本部分从</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使用环境条件、外壳防护要求、不同类型的防碰撞装置组合安装要求、自动化岸桥的防碰撞装置安装要求、测距防碰撞装置的功能等方面提出要求</w:t>
      </w:r>
      <w:r>
        <w:rPr>
          <w:rFonts w:hint="eastAsia" w:ascii="Times New Roman" w:hAnsi="Times New Roman" w:eastAsia="宋体" w:cs="Times New Roman"/>
          <w:color w:val="000000" w:themeColor="text1"/>
          <w:sz w:val="28"/>
          <w:szCs w:val="28"/>
          <w14:textFill>
            <w14:solidFill>
              <w14:schemeClr w14:val="tx1"/>
            </w14:solidFill>
          </w14:textFill>
        </w:rPr>
        <w:t>。</w:t>
      </w:r>
    </w:p>
    <w:p w14:paraId="5F034C32">
      <w:pPr>
        <w:ind w:firstLine="560" w:firstLineChars="200"/>
        <w:rPr>
          <w:rFonts w:hint="default" w:ascii="Times New Roman" w:hAnsi="Times New Roman" w:eastAsia="宋体" w:cs="Times New Roman"/>
          <w:color w:val="000000" w:themeColor="text1"/>
          <w:sz w:val="28"/>
          <w:szCs w:val="28"/>
          <w:lang w:val="en-US" w:eastAsia="zh-CN"/>
          <w14:textFill>
            <w14:solidFill>
              <w14:schemeClr w14:val="tx1"/>
            </w14:solidFill>
          </w14:textFill>
        </w:rPr>
      </w:pPr>
      <w:r>
        <w:rPr>
          <w:rFonts w:hint="eastAsia" w:ascii="Times New Roman" w:hAnsi="Times New Roman" w:eastAsia="宋体" w:cs="Times New Roman"/>
          <w:color w:val="000000" w:themeColor="text1"/>
          <w:sz w:val="28"/>
          <w:szCs w:val="28"/>
          <w14:textFill>
            <w14:solidFill>
              <w14:schemeClr w14:val="tx1"/>
            </w14:solidFill>
          </w14:textFill>
        </w:rPr>
        <w:t>关于5.</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6</w:t>
      </w:r>
      <w:r>
        <w:rPr>
          <w:rFonts w:hint="eastAsia" w:ascii="Times New Roman" w:hAnsi="Times New Roman" w:eastAsia="宋体" w:cs="Times New Roman"/>
          <w:color w:val="000000" w:themeColor="text1"/>
          <w:sz w:val="28"/>
          <w:szCs w:val="28"/>
          <w14:textFill>
            <w14:solidFill>
              <w14:schemeClr w14:val="tx1"/>
            </w14:solidFill>
          </w14:textFill>
        </w:rPr>
        <w:t>条的说明：</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人工操作的岸桥在大车运行时除了司机以外，一般会有相应的地面人员配合，因此安装机械防撞限位器（防止两台岸桥碰撞的机械装置，一旦触发大车行走机构会立即停车）、碰撞缓冲器（在发生碰撞以后吸收一部分碰撞能量，降低损失）；而自动化岸桥采用无人化作业，因此需要在人工岸桥的基础上增加测距防撞装置，检测岸桥行走方向的障碍物（包括但不限于人、车辆、异物等），从而增加一层保护功能。</w:t>
      </w:r>
    </w:p>
    <w:p w14:paraId="6A08506C">
      <w:pPr>
        <w:ind w:firstLine="560" w:firstLineChars="200"/>
        <w:rPr>
          <w:rFonts w:hint="eastAsia" w:ascii="Times New Roman" w:hAnsi="Times New Roman" w:eastAsia="宋体" w:cs="Times New Roman"/>
          <w:color w:val="000000" w:themeColor="text1"/>
          <w:sz w:val="28"/>
          <w:szCs w:val="28"/>
          <w14:textFill>
            <w14:solidFill>
              <w14:schemeClr w14:val="tx1"/>
            </w14:solidFill>
          </w14:textFill>
        </w:rPr>
      </w:pPr>
      <w:r>
        <w:rPr>
          <w:rFonts w:hint="eastAsia" w:ascii="Times New Roman" w:hAnsi="Times New Roman" w:eastAsia="宋体" w:cs="Times New Roman"/>
          <w:color w:val="000000" w:themeColor="text1"/>
          <w:sz w:val="28"/>
          <w:szCs w:val="28"/>
          <w14:textFill>
            <w14:solidFill>
              <w14:schemeClr w14:val="tx1"/>
            </w14:solidFill>
          </w14:textFill>
        </w:rPr>
        <w:t>关于5.</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7</w:t>
      </w:r>
      <w:r>
        <w:rPr>
          <w:rFonts w:hint="eastAsia" w:ascii="Times New Roman" w:hAnsi="Times New Roman" w:eastAsia="宋体" w:cs="Times New Roman"/>
          <w:color w:val="000000" w:themeColor="text1"/>
          <w:sz w:val="28"/>
          <w:szCs w:val="28"/>
          <w14:textFill>
            <w14:solidFill>
              <w14:schemeClr w14:val="tx1"/>
            </w14:solidFill>
          </w14:textFill>
        </w:rPr>
        <w:t>条的说明：</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自动化岸桥的测距防撞装置在四个门腿侧都需要安装，实现行走方向双侧障碍物的检测</w:t>
      </w:r>
      <w:r>
        <w:rPr>
          <w:rFonts w:hint="eastAsia" w:ascii="Times New Roman" w:hAnsi="Times New Roman" w:eastAsia="宋体" w:cs="Times New Roman"/>
          <w:color w:val="000000" w:themeColor="text1"/>
          <w:sz w:val="28"/>
          <w:szCs w:val="28"/>
          <w14:textFill>
            <w14:solidFill>
              <w14:schemeClr w14:val="tx1"/>
            </w14:solidFill>
          </w14:textFill>
        </w:rPr>
        <w:t>。</w:t>
      </w:r>
    </w:p>
    <w:p w14:paraId="0497D409">
      <w:pPr>
        <w:ind w:firstLine="560" w:firstLineChars="200"/>
        <w:rPr>
          <w:rFonts w:hint="eastAsia" w:ascii="Times New Roman" w:hAnsi="Times New Roman" w:eastAsia="宋体" w:cs="Times New Roman"/>
          <w:color w:val="000000" w:themeColor="text1"/>
          <w:sz w:val="28"/>
          <w:szCs w:val="28"/>
          <w:lang w:val="en-US" w:eastAsia="zh-CN"/>
          <w14:textFill>
            <w14:solidFill>
              <w14:schemeClr w14:val="tx1"/>
            </w14:solidFill>
          </w14:textFill>
        </w:rPr>
      </w:pPr>
      <w:r>
        <w:rPr>
          <w:rFonts w:hint="eastAsia" w:ascii="Times New Roman" w:hAnsi="Times New Roman" w:eastAsia="宋体" w:cs="Times New Roman"/>
          <w:color w:val="000000" w:themeColor="text1"/>
          <w:sz w:val="28"/>
          <w:szCs w:val="28"/>
          <w14:textFill>
            <w14:solidFill>
              <w14:schemeClr w14:val="tx1"/>
            </w14:solidFill>
          </w14:textFill>
        </w:rPr>
        <w:t>关于5.</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8</w:t>
      </w:r>
      <w:r>
        <w:rPr>
          <w:rFonts w:hint="eastAsia" w:ascii="Times New Roman" w:hAnsi="Times New Roman" w:eastAsia="宋体" w:cs="Times New Roman"/>
          <w:color w:val="000000" w:themeColor="text1"/>
          <w:sz w:val="28"/>
          <w:szCs w:val="28"/>
          <w14:textFill>
            <w14:solidFill>
              <w14:schemeClr w14:val="tx1"/>
            </w14:solidFill>
          </w14:textFill>
        </w:rPr>
        <w:t>条的说明：</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机械防撞限位器一般在行走方向的门腿上各安装1个，现场基本都安装在海侧。</w:t>
      </w:r>
    </w:p>
    <w:p w14:paraId="1DC56C74">
      <w:pPr>
        <w:ind w:firstLine="560" w:firstLineChars="200"/>
        <w:rPr>
          <w:rFonts w:hint="default" w:ascii="Times New Roman" w:hAnsi="Times New Roman" w:eastAsia="宋体" w:cs="Times New Roman"/>
          <w:color w:val="000000" w:themeColor="text1"/>
          <w:sz w:val="28"/>
          <w:szCs w:val="28"/>
          <w:lang w:val="en-US" w:eastAsia="zh-CN"/>
          <w14:textFill>
            <w14:solidFill>
              <w14:schemeClr w14:val="tx1"/>
            </w14:solidFill>
          </w14:textFill>
        </w:rPr>
      </w:pPr>
      <w:r>
        <w:rPr>
          <w:rFonts w:hint="eastAsia" w:ascii="Times New Roman" w:hAnsi="Times New Roman" w:eastAsia="宋体" w:cs="Times New Roman"/>
          <w:color w:val="000000" w:themeColor="text1"/>
          <w:sz w:val="28"/>
          <w:szCs w:val="28"/>
          <w14:textFill>
            <w14:solidFill>
              <w14:schemeClr w14:val="tx1"/>
            </w14:solidFill>
          </w14:textFill>
        </w:rPr>
        <w:t>关于5.</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10</w:t>
      </w:r>
      <w:r>
        <w:rPr>
          <w:rFonts w:hint="eastAsia" w:ascii="Times New Roman" w:hAnsi="Times New Roman" w:eastAsia="宋体" w:cs="Times New Roman"/>
          <w:color w:val="000000" w:themeColor="text1"/>
          <w:sz w:val="28"/>
          <w:szCs w:val="28"/>
          <w14:textFill>
            <w14:solidFill>
              <w14:schemeClr w14:val="tx1"/>
            </w14:solidFill>
          </w14:textFill>
        </w:rPr>
        <w:t>条</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至5.14条</w:t>
      </w:r>
      <w:r>
        <w:rPr>
          <w:rFonts w:hint="eastAsia" w:ascii="Times New Roman" w:hAnsi="Times New Roman" w:eastAsia="宋体" w:cs="Times New Roman"/>
          <w:color w:val="000000" w:themeColor="text1"/>
          <w:sz w:val="28"/>
          <w:szCs w:val="28"/>
          <w14:textFill>
            <w14:solidFill>
              <w14:schemeClr w14:val="tx1"/>
            </w14:solidFill>
          </w14:textFill>
        </w:rPr>
        <w:t>的说明：</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对于自动化岸桥的测距防撞装置，明确了其功能要求、信号传输要求和特殊天气的识别能力要求等。</w:t>
      </w:r>
    </w:p>
    <w:p w14:paraId="4B715F24">
      <w:pPr>
        <w:ind w:firstLine="560" w:firstLineChars="200"/>
        <w:rPr>
          <w:rFonts w:ascii="Times New Roman" w:hAnsi="Times New Roman" w:eastAsia="宋体" w:cs="Times New Roman"/>
          <w:color w:val="000000" w:themeColor="text1"/>
          <w:sz w:val="28"/>
          <w:szCs w:val="28"/>
          <w14:textFill>
            <w14:solidFill>
              <w14:schemeClr w14:val="tx1"/>
            </w14:solidFill>
          </w14:textFill>
        </w:rPr>
      </w:pPr>
      <w:r>
        <w:rPr>
          <w:rFonts w:hint="eastAsia" w:ascii="Times New Roman" w:hAnsi="Times New Roman" w:eastAsia="宋体" w:cs="Times New Roman"/>
          <w:color w:val="000000" w:themeColor="text1"/>
          <w:sz w:val="28"/>
          <w:szCs w:val="28"/>
          <w14:textFill>
            <w14:solidFill>
              <w14:schemeClr w14:val="tx1"/>
            </w14:solidFill>
          </w14:textFill>
        </w:rPr>
        <w:t>6、</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技术</w:t>
      </w:r>
      <w:r>
        <w:rPr>
          <w:rFonts w:hint="eastAsia" w:ascii="Times New Roman" w:hAnsi="Times New Roman" w:eastAsia="宋体" w:cs="Times New Roman"/>
          <w:color w:val="000000" w:themeColor="text1"/>
          <w:sz w:val="28"/>
          <w:szCs w:val="28"/>
          <w14:textFill>
            <w14:solidFill>
              <w14:schemeClr w14:val="tx1"/>
            </w14:solidFill>
          </w14:textFill>
        </w:rPr>
        <w:t>要求</w:t>
      </w:r>
    </w:p>
    <w:p w14:paraId="575BBEB2">
      <w:pPr>
        <w:ind w:firstLine="560" w:firstLineChars="200"/>
        <w:rPr>
          <w:rFonts w:ascii="Times New Roman" w:hAnsi="Times New Roman" w:eastAsia="宋体" w:cs="Times New Roman"/>
          <w:color w:val="000000" w:themeColor="text1"/>
          <w:sz w:val="28"/>
          <w:szCs w:val="28"/>
          <w14:textFill>
            <w14:solidFill>
              <w14:schemeClr w14:val="tx1"/>
            </w14:solidFill>
          </w14:textFill>
        </w:rPr>
      </w:pPr>
      <w:r>
        <w:rPr>
          <w:rFonts w:hint="eastAsia" w:ascii="Times New Roman" w:hAnsi="Times New Roman" w:eastAsia="宋体" w:cs="Times New Roman"/>
          <w:color w:val="000000" w:themeColor="text1"/>
          <w:sz w:val="28"/>
          <w:szCs w:val="28"/>
          <w14:textFill>
            <w14:solidFill>
              <w14:schemeClr w14:val="tx1"/>
            </w14:solidFill>
          </w14:textFill>
        </w:rPr>
        <w:t>本部分</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将</w:t>
      </w:r>
      <w:r>
        <w:rPr>
          <w:rFonts w:hint="eastAsia" w:ascii="Times New Roman" w:hAnsi="Times New Roman" w:eastAsia="宋体" w:cs="Times New Roman"/>
          <w:color w:val="000000" w:themeColor="text1"/>
          <w:sz w:val="28"/>
          <w:szCs w:val="28"/>
          <w14:textFill>
            <w14:solidFill>
              <w14:schemeClr w14:val="tx1"/>
            </w14:solidFill>
          </w14:textFill>
        </w:rPr>
        <w:t>大车行走机构防碰撞装置</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分为测距防撞装置、机械防撞限位、碰撞缓冲器三类，分别明确了相关的技术的</w:t>
      </w:r>
      <w:r>
        <w:rPr>
          <w:rFonts w:hint="eastAsia" w:ascii="Times New Roman" w:hAnsi="Times New Roman" w:eastAsia="宋体" w:cs="Times New Roman"/>
          <w:color w:val="000000" w:themeColor="text1"/>
          <w:sz w:val="28"/>
          <w:szCs w:val="28"/>
          <w14:textFill>
            <w14:solidFill>
              <w14:schemeClr w14:val="tx1"/>
            </w14:solidFill>
          </w14:textFill>
        </w:rPr>
        <w:t>要求。</w:t>
      </w:r>
    </w:p>
    <w:p w14:paraId="3740E4F0">
      <w:pPr>
        <w:ind w:firstLine="560" w:firstLineChars="200"/>
        <w:rPr>
          <w:rFonts w:ascii="Times New Roman" w:hAnsi="Times New Roman" w:eastAsia="宋体" w:cs="Times New Roman"/>
          <w:color w:val="000000" w:themeColor="text1"/>
          <w:sz w:val="28"/>
          <w:szCs w:val="28"/>
          <w14:textFill>
            <w14:solidFill>
              <w14:schemeClr w14:val="tx1"/>
            </w14:solidFill>
          </w14:textFill>
        </w:rPr>
      </w:pPr>
      <w:r>
        <w:rPr>
          <w:rFonts w:hint="eastAsia" w:ascii="Times New Roman" w:hAnsi="Times New Roman" w:eastAsia="宋体" w:cs="Times New Roman"/>
          <w:color w:val="000000" w:themeColor="text1"/>
          <w:sz w:val="28"/>
          <w:szCs w:val="28"/>
          <w14:textFill>
            <w14:solidFill>
              <w14:schemeClr w14:val="tx1"/>
            </w14:solidFill>
          </w14:textFill>
        </w:rPr>
        <w:t>关于</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6.3</w:t>
      </w:r>
      <w:r>
        <w:rPr>
          <w:rFonts w:hint="eastAsia" w:ascii="Times New Roman" w:hAnsi="Times New Roman" w:eastAsia="宋体" w:cs="Times New Roman"/>
          <w:color w:val="000000" w:themeColor="text1"/>
          <w:sz w:val="28"/>
          <w:szCs w:val="28"/>
          <w14:textFill>
            <w14:solidFill>
              <w14:schemeClr w14:val="tx1"/>
            </w14:solidFill>
          </w14:textFill>
        </w:rPr>
        <w:t>条的说明：</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各类防碰撞装置的</w:t>
      </w:r>
      <w:r>
        <w:rPr>
          <w:rFonts w:hint="eastAsia" w:ascii="Times New Roman" w:hAnsi="Times New Roman" w:eastAsia="宋体" w:cs="Times New Roman"/>
          <w:color w:val="000000" w:themeColor="text1"/>
          <w:sz w:val="28"/>
          <w:szCs w:val="28"/>
          <w14:textFill>
            <w14:solidFill>
              <w14:schemeClr w14:val="tx1"/>
            </w14:solidFill>
          </w14:textFill>
        </w:rPr>
        <w:t>安全防护动作触发后</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都需要及时将信号传输到司机，人工操作的岸桥直接传输到司机室，自动化岸桥应传输到远控室并推送至相应的操作台。</w:t>
      </w:r>
    </w:p>
    <w:p w14:paraId="6FC85CF1">
      <w:pPr>
        <w:ind w:firstLine="560" w:firstLineChars="200"/>
        <w:rPr>
          <w:rFonts w:hint="eastAsia" w:ascii="Times New Roman" w:hAnsi="Times New Roman" w:eastAsia="宋体" w:cs="Times New Roman"/>
          <w:color w:val="000000" w:themeColor="text1"/>
          <w:sz w:val="28"/>
          <w:szCs w:val="28"/>
          <w:lang w:val="en-US" w:eastAsia="zh-CN"/>
          <w14:textFill>
            <w14:solidFill>
              <w14:schemeClr w14:val="tx1"/>
            </w14:solidFill>
          </w14:textFill>
        </w:rPr>
      </w:pPr>
      <w:r>
        <w:rPr>
          <w:rFonts w:hint="eastAsia" w:ascii="Times New Roman" w:hAnsi="Times New Roman" w:eastAsia="宋体" w:cs="Times New Roman"/>
          <w:color w:val="000000" w:themeColor="text1"/>
          <w:sz w:val="28"/>
          <w:szCs w:val="28"/>
          <w14:textFill>
            <w14:solidFill>
              <w14:schemeClr w14:val="tx1"/>
            </w14:solidFill>
          </w14:textFill>
        </w:rPr>
        <w:t>关于</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6.4.1.3</w:t>
      </w:r>
      <w:r>
        <w:rPr>
          <w:rFonts w:hint="eastAsia" w:ascii="Times New Roman" w:hAnsi="Times New Roman" w:eastAsia="宋体" w:cs="Times New Roman"/>
          <w:color w:val="000000" w:themeColor="text1"/>
          <w:sz w:val="28"/>
          <w:szCs w:val="28"/>
          <w14:textFill>
            <w14:solidFill>
              <w14:schemeClr w14:val="tx1"/>
            </w14:solidFill>
          </w14:textFill>
        </w:rPr>
        <w:t>条的说明：</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测距防撞装置采用的主要技术方式包括雷达、毫米波雷达、激光雷达等，测量大车轨道运行方向的障碍物与岸桥的距离，主要用于自动化岸桥，因此需具备故障自检和报警功能，避免因设备故障导致的检测失灵问题。</w:t>
      </w:r>
    </w:p>
    <w:p w14:paraId="2DE726FA">
      <w:pPr>
        <w:ind w:firstLine="560" w:firstLineChars="200"/>
        <w:rPr>
          <w:rFonts w:hint="default" w:ascii="Times New Roman" w:hAnsi="Times New Roman" w:eastAsia="宋体" w:cs="Times New Roman"/>
          <w:color w:val="000000" w:themeColor="text1"/>
          <w:sz w:val="28"/>
          <w:szCs w:val="28"/>
          <w:lang w:val="en-US" w:eastAsia="zh-CN"/>
          <w14:textFill>
            <w14:solidFill>
              <w14:schemeClr w14:val="tx1"/>
            </w14:solidFill>
          </w14:textFill>
        </w:rPr>
      </w:pPr>
      <w:r>
        <w:rPr>
          <w:rFonts w:hint="eastAsia" w:ascii="Times New Roman" w:hAnsi="Times New Roman" w:eastAsia="宋体" w:cs="Times New Roman"/>
          <w:color w:val="000000" w:themeColor="text1"/>
          <w:sz w:val="28"/>
          <w:szCs w:val="28"/>
          <w14:textFill>
            <w14:solidFill>
              <w14:schemeClr w14:val="tx1"/>
            </w14:solidFill>
          </w14:textFill>
        </w:rPr>
        <w:t>关于</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6.4.1.4</w:t>
      </w:r>
      <w:r>
        <w:rPr>
          <w:rFonts w:hint="eastAsia" w:ascii="Times New Roman" w:hAnsi="Times New Roman" w:eastAsia="宋体" w:cs="Times New Roman"/>
          <w:color w:val="000000" w:themeColor="text1"/>
          <w:sz w:val="28"/>
          <w:szCs w:val="28"/>
          <w14:textFill>
            <w14:solidFill>
              <w14:schemeClr w14:val="tx1"/>
            </w14:solidFill>
          </w14:textFill>
        </w:rPr>
        <w:t>条的说明：</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根据调研结果，目前各个港口的测距传感器扫描距离一般在30m以上。</w:t>
      </w:r>
    </w:p>
    <w:p w14:paraId="289AB394">
      <w:pPr>
        <w:ind w:firstLine="560" w:firstLineChars="200"/>
        <w:rPr>
          <w:rFonts w:hint="eastAsia" w:ascii="Times New Roman" w:hAnsi="Times New Roman" w:eastAsia="宋体" w:cs="Times New Roman"/>
          <w:color w:val="000000" w:themeColor="text1"/>
          <w:sz w:val="28"/>
          <w:szCs w:val="28"/>
          <w:lang w:val="en-US" w:eastAsia="zh-CN"/>
          <w14:textFill>
            <w14:solidFill>
              <w14:schemeClr w14:val="tx1"/>
            </w14:solidFill>
          </w14:textFill>
        </w:rPr>
      </w:pPr>
      <w:r>
        <w:rPr>
          <w:rFonts w:hint="eastAsia" w:ascii="Times New Roman" w:hAnsi="Times New Roman" w:eastAsia="宋体" w:cs="Times New Roman"/>
          <w:color w:val="000000" w:themeColor="text1"/>
          <w:sz w:val="28"/>
          <w:szCs w:val="28"/>
          <w14:textFill>
            <w14:solidFill>
              <w14:schemeClr w14:val="tx1"/>
            </w14:solidFill>
          </w14:textFill>
        </w:rPr>
        <w:t>关于</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6.5.3</w:t>
      </w:r>
      <w:r>
        <w:rPr>
          <w:rFonts w:hint="eastAsia" w:ascii="Times New Roman" w:hAnsi="Times New Roman" w:eastAsia="宋体" w:cs="Times New Roman"/>
          <w:color w:val="000000" w:themeColor="text1"/>
          <w:sz w:val="28"/>
          <w:szCs w:val="28"/>
          <w14:textFill>
            <w14:solidFill>
              <w14:schemeClr w14:val="tx1"/>
            </w14:solidFill>
          </w14:textFill>
        </w:rPr>
        <w:t>条的说明：</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机械防撞限位主要通过在其运动的极限位置切断前进的动力源来实现防碰撞的。</w:t>
      </w:r>
    </w:p>
    <w:p w14:paraId="37F366FD">
      <w:pPr>
        <w:ind w:firstLine="560" w:firstLineChars="200"/>
        <w:rPr>
          <w:rFonts w:hint="eastAsia" w:ascii="Times New Roman" w:hAnsi="Times New Roman" w:eastAsia="宋体" w:cs="Times New Roman"/>
          <w:color w:val="000000" w:themeColor="text1"/>
          <w:sz w:val="28"/>
          <w:szCs w:val="28"/>
          <w14:textFill>
            <w14:solidFill>
              <w14:schemeClr w14:val="tx1"/>
            </w14:solidFill>
          </w14:textFill>
        </w:rPr>
      </w:pPr>
      <w:r>
        <w:rPr>
          <w:rFonts w:hint="eastAsia" w:ascii="Times New Roman" w:hAnsi="Times New Roman" w:eastAsia="宋体" w:cs="Times New Roman"/>
          <w:color w:val="000000" w:themeColor="text1"/>
          <w:sz w:val="28"/>
          <w:szCs w:val="28"/>
          <w14:textFill>
            <w14:solidFill>
              <w14:schemeClr w14:val="tx1"/>
            </w14:solidFill>
          </w14:textFill>
        </w:rPr>
        <w:t>关于</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6.5.4</w:t>
      </w:r>
      <w:r>
        <w:rPr>
          <w:rFonts w:hint="eastAsia" w:ascii="Times New Roman" w:hAnsi="Times New Roman" w:eastAsia="宋体" w:cs="Times New Roman"/>
          <w:color w:val="000000" w:themeColor="text1"/>
          <w:sz w:val="28"/>
          <w:szCs w:val="28"/>
          <w14:textFill>
            <w14:solidFill>
              <w14:schemeClr w14:val="tx1"/>
            </w14:solidFill>
          </w14:textFill>
        </w:rPr>
        <w:t>条的说明：</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根据调研结果，目前各个港口的</w:t>
      </w:r>
      <w:r>
        <w:rPr>
          <w:rFonts w:hint="eastAsia" w:ascii="Times New Roman" w:hAnsi="Times New Roman" w:eastAsia="宋体" w:cs="Times New Roman"/>
          <w:color w:val="000000" w:themeColor="text1"/>
          <w:sz w:val="28"/>
          <w:szCs w:val="28"/>
          <w14:textFill>
            <w14:solidFill>
              <w14:schemeClr w14:val="tx1"/>
            </w14:solidFill>
          </w14:textFill>
        </w:rPr>
        <w:t>机械防撞限位的机械寿命</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设计参数为</w:t>
      </w:r>
      <w:r>
        <w:rPr>
          <w:rFonts w:hint="eastAsia" w:ascii="Times New Roman" w:hAnsi="Times New Roman" w:eastAsia="宋体" w:cs="Times New Roman"/>
          <w:color w:val="000000" w:themeColor="text1"/>
          <w:sz w:val="28"/>
          <w:szCs w:val="28"/>
          <w14:textFill>
            <w14:solidFill>
              <w14:schemeClr w14:val="tx1"/>
            </w14:solidFill>
          </w14:textFill>
        </w:rPr>
        <w:t>不少于1×10</w:t>
      </w:r>
      <w:r>
        <w:rPr>
          <w:rFonts w:hint="eastAsia" w:ascii="Times New Roman" w:hAnsi="Times New Roman" w:eastAsia="宋体" w:cs="Times New Roman"/>
          <w:color w:val="000000" w:themeColor="text1"/>
          <w:sz w:val="28"/>
          <w:szCs w:val="28"/>
          <w:vertAlign w:val="superscript"/>
          <w14:textFill>
            <w14:solidFill>
              <w14:schemeClr w14:val="tx1"/>
            </w14:solidFill>
          </w14:textFill>
        </w:rPr>
        <w:t>6</w:t>
      </w:r>
      <w:r>
        <w:rPr>
          <w:rFonts w:hint="eastAsia" w:ascii="Times New Roman" w:hAnsi="Times New Roman" w:eastAsia="宋体" w:cs="Times New Roman"/>
          <w:color w:val="000000" w:themeColor="text1"/>
          <w:sz w:val="28"/>
          <w:szCs w:val="28"/>
          <w14:textFill>
            <w14:solidFill>
              <w14:schemeClr w14:val="tx1"/>
            </w14:solidFill>
          </w14:textFill>
        </w:rPr>
        <w:t>次操作。</w:t>
      </w:r>
    </w:p>
    <w:p w14:paraId="205503F5">
      <w:pPr>
        <w:ind w:firstLine="560" w:firstLineChars="200"/>
        <w:rPr>
          <w:rFonts w:hint="default" w:ascii="Times New Roman" w:hAnsi="Times New Roman" w:eastAsia="宋体" w:cs="Times New Roman"/>
          <w:color w:val="000000" w:themeColor="text1"/>
          <w:sz w:val="28"/>
          <w:szCs w:val="28"/>
          <w:lang w:val="en-US" w:eastAsia="zh-CN"/>
          <w14:textFill>
            <w14:solidFill>
              <w14:schemeClr w14:val="tx1"/>
            </w14:solidFill>
          </w14:textFill>
        </w:rPr>
      </w:pPr>
      <w:r>
        <w:rPr>
          <w:rFonts w:hint="eastAsia" w:ascii="Times New Roman" w:hAnsi="Times New Roman" w:eastAsia="宋体" w:cs="Times New Roman"/>
          <w:color w:val="000000" w:themeColor="text1"/>
          <w:sz w:val="28"/>
          <w:szCs w:val="28"/>
          <w14:textFill>
            <w14:solidFill>
              <w14:schemeClr w14:val="tx1"/>
            </w14:solidFill>
          </w14:textFill>
        </w:rPr>
        <w:t>关于</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6.6.2</w:t>
      </w:r>
      <w:r>
        <w:rPr>
          <w:rFonts w:hint="eastAsia" w:ascii="Times New Roman" w:hAnsi="Times New Roman" w:eastAsia="宋体" w:cs="Times New Roman"/>
          <w:color w:val="000000" w:themeColor="text1"/>
          <w:sz w:val="28"/>
          <w:szCs w:val="28"/>
          <w14:textFill>
            <w14:solidFill>
              <w14:schemeClr w14:val="tx1"/>
            </w14:solidFill>
          </w14:textFill>
        </w:rPr>
        <w:t>条的说明：</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碰撞缓冲器除了要与另一台岸桥相匹配外，还应与轨道端部的</w:t>
      </w:r>
      <w:r>
        <w:rPr>
          <w:rFonts w:hint="eastAsia" w:ascii="Times New Roman" w:hAnsi="Times New Roman" w:eastAsia="宋体" w:cs="Times New Roman"/>
          <w:color w:val="000000" w:themeColor="text1"/>
          <w:sz w:val="28"/>
          <w:szCs w:val="28"/>
          <w14:textFill>
            <w14:solidFill>
              <w14:schemeClr w14:val="tx1"/>
            </w14:solidFill>
          </w14:textFill>
        </w:rPr>
        <w:t>止挡</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装置匹配。</w:t>
      </w:r>
    </w:p>
    <w:p w14:paraId="0A52412E">
      <w:pPr>
        <w:outlineLvl w:val="0"/>
        <w:rPr>
          <w:rFonts w:ascii="Times New Roman" w:hAnsi="Times New Roman" w:cs="Times New Roman"/>
          <w:b/>
          <w:color w:val="000000" w:themeColor="text1"/>
          <w:sz w:val="28"/>
          <w:szCs w:val="28"/>
          <w14:textFill>
            <w14:solidFill>
              <w14:schemeClr w14:val="tx1"/>
            </w14:solidFill>
          </w14:textFill>
        </w:rPr>
      </w:pPr>
      <w:r>
        <w:rPr>
          <w:rFonts w:hint="eastAsia" w:ascii="Times New Roman" w:hAnsi="Times New Roman" w:cs="Times New Roman"/>
          <w:b/>
          <w:color w:val="000000" w:themeColor="text1"/>
          <w:sz w:val="28"/>
          <w:szCs w:val="28"/>
          <w14:textFill>
            <w14:solidFill>
              <w14:schemeClr w14:val="tx1"/>
            </w14:solidFill>
          </w14:textFill>
        </w:rPr>
        <w:t>三</w:t>
      </w:r>
      <w:r>
        <w:rPr>
          <w:rFonts w:ascii="Times New Roman" w:hAnsi="Times New Roman" w:cs="Times New Roman"/>
          <w:b/>
          <w:color w:val="000000" w:themeColor="text1"/>
          <w:sz w:val="28"/>
          <w:szCs w:val="28"/>
          <w14:textFill>
            <w14:solidFill>
              <w14:schemeClr w14:val="tx1"/>
            </w14:solidFill>
          </w14:textFill>
        </w:rPr>
        <w:t>、主要试验（或验证）的分析、综述报告，技术经济论证，预期的经济效果</w:t>
      </w:r>
    </w:p>
    <w:p w14:paraId="0B852153">
      <w:pPr>
        <w:widowControl w:val="0"/>
        <w:ind w:leftChars="0" w:firstLine="560" w:firstLineChars="200"/>
        <w:jc w:val="both"/>
        <w:rPr>
          <w:rFonts w:hint="eastAsia" w:ascii="Times New Roman" w:hAnsi="Times New Roman" w:eastAsia="宋体" w:cs="Times New Roman"/>
          <w:color w:val="000000" w:themeColor="text1"/>
          <w:kern w:val="2"/>
          <w:sz w:val="28"/>
          <w:szCs w:val="28"/>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8"/>
          <w:szCs w:val="28"/>
          <w:lang w:val="en-US" w:eastAsia="zh-CN" w:bidi="ar-SA"/>
          <w14:textFill>
            <w14:solidFill>
              <w14:schemeClr w14:val="tx1"/>
            </w14:solidFill>
          </w14:textFill>
        </w:rPr>
        <w:t>港口是国民经济发展的“晴雨表”和“压舱石”，也是链接全球贸易的关键枢纽。据统计，2024年我国海港城市港口经济增加值已高达6.7万亿元，沿海港口每万吨货物吞吐量可创造GDP约194万元，每亿元建设资金投入可实现近万人就业。作为水陆交通的咽喉，港口不仅承载着国家能源与物资供应链的安全，更是推动区域经济协同发展、参与全球竞争的核心战略资源。</w:t>
      </w:r>
    </w:p>
    <w:p w14:paraId="7E74F26A">
      <w:pPr>
        <w:widowControl w:val="0"/>
        <w:ind w:leftChars="0" w:firstLine="560" w:firstLineChars="200"/>
        <w:jc w:val="both"/>
        <w:rPr>
          <w:rFonts w:hint="eastAsia" w:ascii="Times New Roman" w:hAnsi="Times New Roman" w:eastAsia="宋体" w:cs="Times New Roman"/>
          <w:color w:val="000000" w:themeColor="text1"/>
          <w:kern w:val="2"/>
          <w:sz w:val="28"/>
          <w:szCs w:val="28"/>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8"/>
          <w:szCs w:val="28"/>
          <w:lang w:val="en-US" w:eastAsia="zh-CN" w:bidi="ar-SA"/>
          <w14:textFill>
            <w14:solidFill>
              <w14:schemeClr w14:val="tx1"/>
            </w14:solidFill>
          </w14:textFill>
        </w:rPr>
        <w:t>岸边集装箱起重机（岸桥）作为港口装卸作业的核心装备，被誉为“钢铁巨臂”，其运行效率直接决定了港口的吞吐能力。在港口向自动化、智能化转型的当下，岸桥的单机效率和作业连续性至关重要。然而，岸桥的大车行走机构（负责岸桥在轨道上水平移动）在高速运转中面临着严峻的安全挑战。由于港口作业环境复杂、设备密集，一旦大车行走机构发生误判或失控，极易引发两台同轨运行的岸桥相互碰撞，或岸桥与轨道内的集卡、场桥等障碍物碰撞，导致严重的机损事故甚至人身伤亡。</w:t>
      </w:r>
    </w:p>
    <w:p w14:paraId="5A357D6F">
      <w:pPr>
        <w:widowControl w:val="0"/>
        <w:ind w:leftChars="0" w:firstLine="560" w:firstLineChars="200"/>
        <w:jc w:val="both"/>
        <w:rPr>
          <w:rFonts w:hint="eastAsia" w:ascii="Times New Roman" w:hAnsi="Times New Roman" w:eastAsia="宋体" w:cs="Times New Roman"/>
          <w:color w:val="000000" w:themeColor="text1"/>
          <w:kern w:val="2"/>
          <w:sz w:val="28"/>
          <w:szCs w:val="28"/>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8"/>
          <w:szCs w:val="28"/>
          <w:lang w:val="en-US" w:eastAsia="zh-CN" w:bidi="ar-SA"/>
          <w14:textFill>
            <w14:solidFill>
              <w14:schemeClr w14:val="tx1"/>
            </w14:solidFill>
          </w14:textFill>
        </w:rPr>
        <w:t>在过往的作业案例中，由于防碰撞装置性能不一或缺乏统一规范，因操作视线盲区、响应迟滞或极端天气影响导致的碰撞事故时有发生。例如，行业内曾发生因外集卡违章突然插入轨道，导致正在行进的岸桥避让不及相撞的严重机损事故。这些事故不仅造成巨额财产损失、中断码头生产，更对一线作业人员的生命安全构成直接威胁。</w:t>
      </w:r>
    </w:p>
    <w:p w14:paraId="2D563151">
      <w:pPr>
        <w:widowControl w:val="0"/>
        <w:ind w:leftChars="0" w:firstLine="560" w:firstLineChars="200"/>
        <w:jc w:val="both"/>
        <w:rPr>
          <w:rFonts w:hint="eastAsia" w:ascii="Times New Roman" w:hAnsi="Times New Roman" w:eastAsia="宋体" w:cs="Times New Roman"/>
          <w:color w:val="000000" w:themeColor="text1"/>
          <w:kern w:val="2"/>
          <w:sz w:val="28"/>
          <w:szCs w:val="28"/>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8"/>
          <w:szCs w:val="28"/>
          <w:lang w:val="en-US" w:eastAsia="zh-CN" w:bidi="ar-SA"/>
          <w14:textFill>
            <w14:solidFill>
              <w14:schemeClr w14:val="tx1"/>
            </w14:solidFill>
          </w14:textFill>
        </w:rPr>
        <w:t>当前，行业内关于岸桥大车防碰撞装置的产品规格、功能等级、安装规范及测试方法尚缺乏统一且权威的技术依据，导致市场上产品质量参差不齐，用户选型无所适从，“防碰撞”在实际应用中常大打折扣。</w:t>
      </w:r>
    </w:p>
    <w:p w14:paraId="3FF60117">
      <w:pPr>
        <w:widowControl w:val="0"/>
        <w:ind w:leftChars="0" w:firstLine="560" w:firstLineChars="200"/>
        <w:jc w:val="both"/>
        <w:rPr>
          <w:rFonts w:hint="eastAsia" w:ascii="Times New Roman" w:hAnsi="Times New Roman" w:eastAsia="宋体" w:cs="Times New Roman"/>
          <w:color w:val="000000" w:themeColor="text1"/>
          <w:kern w:val="2"/>
          <w:sz w:val="28"/>
          <w:szCs w:val="28"/>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8"/>
          <w:szCs w:val="28"/>
          <w:lang w:val="en-US" w:eastAsia="zh-CN" w:bidi="ar-SA"/>
          <w14:textFill>
            <w14:solidFill>
              <w14:schemeClr w14:val="tx1"/>
            </w14:solidFill>
          </w14:textFill>
        </w:rPr>
        <w:t>《岸边集装箱起重机大车行走机构防碰撞装置技术要求》团体标准明确防碰撞装置的探测精度、响应速度、环境适应性（如温度、抗干扰）及自诊断功能等核心技术指标，为产品的设计、使用提供科学依据，引导行业从“有无”向“优劣”跨越。通过标准化手段强制提升装置的安全冗余和可靠性，有效消除大车行走时的视觉盲区和操控延时，实现从“被动撞击”到“主动防护”的转变，从根本上遏制同轨碰撞及撞障事故的发生，保障港区人员与设备安全。</w:t>
      </w:r>
    </w:p>
    <w:p w14:paraId="77AD0268">
      <w:pPr>
        <w:widowControl w:val="0"/>
        <w:ind w:leftChars="0" w:firstLine="560" w:firstLineChars="200"/>
        <w:jc w:val="both"/>
        <w:rPr>
          <w:rFonts w:hint="eastAsia" w:ascii="Times New Roman" w:hAnsi="Times New Roman" w:eastAsia="宋体" w:cs="Times New Roman"/>
          <w:color w:val="000000" w:themeColor="text1"/>
          <w:kern w:val="2"/>
          <w:sz w:val="28"/>
          <w:szCs w:val="28"/>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8"/>
          <w:szCs w:val="28"/>
          <w:lang w:val="en-US" w:eastAsia="zh-CN" w:bidi="ar-SA"/>
          <w14:textFill>
            <w14:solidFill>
              <w14:schemeClr w14:val="tx1"/>
            </w14:solidFill>
          </w14:textFill>
        </w:rPr>
        <w:t>综上所述，本标准的制定是应对港口大型装备智能化、安全化发展需求的必要举措，它将通过技术标准化手段，将安全生产的“被动防守”转化为“主动技防”，对于提升我国港口装备的国际竞争力、护航国民经济大动脉具有显著的经济效益和社会效益。</w:t>
      </w:r>
    </w:p>
    <w:p w14:paraId="7377B19E">
      <w:pPr>
        <w:outlineLvl w:val="0"/>
        <w:rPr>
          <w:rFonts w:ascii="Times New Roman" w:hAnsi="Times New Roman" w:eastAsia="宋体" w:cs="Times New Roman"/>
          <w:b/>
          <w:color w:val="000000" w:themeColor="text1"/>
          <w:sz w:val="28"/>
          <w:szCs w:val="28"/>
          <w14:textFill>
            <w14:solidFill>
              <w14:schemeClr w14:val="tx1"/>
            </w14:solidFill>
          </w14:textFill>
        </w:rPr>
      </w:pPr>
      <w:r>
        <w:rPr>
          <w:rFonts w:hint="eastAsia" w:ascii="Times New Roman" w:hAnsi="Times New Roman" w:eastAsia="宋体" w:cs="Times New Roman"/>
          <w:b/>
          <w:color w:val="000000" w:themeColor="text1"/>
          <w:sz w:val="28"/>
          <w:szCs w:val="28"/>
          <w14:textFill>
            <w14:solidFill>
              <w14:schemeClr w14:val="tx1"/>
            </w14:solidFill>
          </w14:textFill>
        </w:rPr>
        <w:t>四</w:t>
      </w:r>
      <w:r>
        <w:rPr>
          <w:rFonts w:ascii="Times New Roman" w:hAnsi="Times New Roman" w:eastAsia="宋体" w:cs="Times New Roman"/>
          <w:b/>
          <w:color w:val="000000" w:themeColor="text1"/>
          <w:sz w:val="28"/>
          <w:szCs w:val="28"/>
          <w14:textFill>
            <w14:solidFill>
              <w14:schemeClr w14:val="tx1"/>
            </w14:solidFill>
          </w14:textFill>
        </w:rPr>
        <w:t>、与现行有关法律法规和强制性标准的关系</w:t>
      </w:r>
    </w:p>
    <w:p w14:paraId="4FCF04E7">
      <w:pPr>
        <w:ind w:firstLine="560" w:firstLineChars="200"/>
        <w:rPr>
          <w:rFonts w:ascii="Times New Roman" w:hAnsi="Times New Roman" w:eastAsia="宋体" w:cs="Times New Roman"/>
          <w:color w:val="000000" w:themeColor="text1"/>
          <w:sz w:val="28"/>
          <w:szCs w:val="28"/>
          <w14:textFill>
            <w14:solidFill>
              <w14:schemeClr w14:val="tx1"/>
            </w14:solidFill>
          </w14:textFill>
        </w:rPr>
      </w:pPr>
      <w:r>
        <w:rPr>
          <w:rFonts w:hint="eastAsia" w:ascii="Times New Roman" w:hAnsi="Times New Roman" w:eastAsia="宋体" w:cs="Times New Roman"/>
          <w:color w:val="000000" w:themeColor="text1"/>
          <w:sz w:val="28"/>
          <w:szCs w:val="28"/>
          <w14:textFill>
            <w14:solidFill>
              <w14:schemeClr w14:val="tx1"/>
            </w14:solidFill>
          </w14:textFill>
        </w:rPr>
        <w:t>本标准</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符合</w:t>
      </w:r>
      <w:r>
        <w:rPr>
          <w:rFonts w:hint="eastAsia" w:ascii="Times New Roman" w:hAnsi="Times New Roman" w:eastAsia="宋体" w:cs="Times New Roman"/>
          <w:color w:val="000000" w:themeColor="text1"/>
          <w:sz w:val="28"/>
          <w:szCs w:val="28"/>
          <w14:textFill>
            <w14:solidFill>
              <w14:schemeClr w14:val="tx1"/>
            </w14:solidFill>
          </w14:textFill>
        </w:rPr>
        <w:t>《中华人民共和国标准化法》、《中华人民共和国安全生产法》、</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中华人民共和国</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特种设备安全法</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lang w:val="en-US" w:eastAsia="zh-CN"/>
          <w14:textFill>
            <w14:solidFill>
              <w14:schemeClr w14:val="tx1"/>
            </w14:solidFill>
          </w14:textFill>
        </w:rPr>
        <w:t>等法律法规的要求，与</w:t>
      </w:r>
      <w:r>
        <w:rPr>
          <w:rFonts w:hint="eastAsia" w:ascii="Times New Roman" w:hAnsi="Times New Roman" w:eastAsia="宋体" w:cs="Times New Roman"/>
          <w:color w:val="000000" w:themeColor="text1"/>
          <w:sz w:val="28"/>
          <w:szCs w:val="28"/>
          <w14:textFill>
            <w14:solidFill>
              <w14:schemeClr w14:val="tx1"/>
            </w14:solidFill>
          </w14:textFill>
        </w:rPr>
        <w:t>GB/T 3811</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起重机设计规范</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GB/T 4208</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外壳防护等级(IP代码)</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ascii="Times New Roman" w:hAnsi="Times New Roman" w:eastAsia="宋体" w:cs="Times New Roman"/>
          <w:color w:val="000000" w:themeColor="text1"/>
          <w:sz w:val="28"/>
          <w:szCs w:val="28"/>
          <w14:textFill>
            <w14:solidFill>
              <w14:schemeClr w14:val="tx1"/>
            </w14:solidFill>
          </w14:textFill>
        </w:rPr>
        <w:t>GB/T 6587</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ascii="Times New Roman" w:hAnsi="Times New Roman" w:eastAsia="宋体" w:cs="Times New Roman"/>
          <w:color w:val="000000" w:themeColor="text1"/>
          <w:sz w:val="28"/>
          <w:szCs w:val="28"/>
          <w14:textFill>
            <w14:solidFill>
              <w14:schemeClr w14:val="tx1"/>
            </w14:solidFill>
          </w14:textFill>
        </w:rPr>
        <w:t>电子测量仪器通用规范</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GB/T 15361</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岸边集装箱起重机</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GB/T 20271</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信息系统通用安全技术要求</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GB/T 21920</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岸边集装箱起重机安全规程</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GB/T 22239</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信息安全技术 网络安全等级保护基本要求</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GB/T 25070</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信息系统等级保护安全设计技术要求</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JT/T 90</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港口装卸机械风载荷计算及防风安全要求</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JT/T 1485.1</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自动化集装箱起重机远程操控安全作业规程 第1部分：岸边集装箱起重机</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等标准规范的要求保持一致。</w:t>
      </w:r>
    </w:p>
    <w:p w14:paraId="7DA3A4EF">
      <w:pPr>
        <w:jc w:val="left"/>
        <w:outlineLvl w:val="0"/>
        <w:rPr>
          <w:rFonts w:ascii="Times New Roman" w:hAnsi="Times New Roman" w:cs="Times New Roman"/>
          <w:b/>
          <w:color w:val="000000" w:themeColor="text1"/>
          <w:sz w:val="28"/>
          <w:szCs w:val="28"/>
          <w14:textFill>
            <w14:solidFill>
              <w14:schemeClr w14:val="tx1"/>
            </w14:solidFill>
          </w14:textFill>
        </w:rPr>
      </w:pPr>
      <w:r>
        <w:rPr>
          <w:rFonts w:hint="eastAsia" w:ascii="Times New Roman" w:hAnsi="Times New Roman" w:cs="Times New Roman"/>
          <w:b/>
          <w:color w:val="000000" w:themeColor="text1"/>
          <w:sz w:val="28"/>
          <w:szCs w:val="28"/>
          <w14:textFill>
            <w14:solidFill>
              <w14:schemeClr w14:val="tx1"/>
            </w14:solidFill>
          </w14:textFill>
        </w:rPr>
        <w:t>五</w:t>
      </w:r>
      <w:r>
        <w:rPr>
          <w:rFonts w:ascii="Times New Roman" w:hAnsi="Times New Roman" w:cs="Times New Roman"/>
          <w:b/>
          <w:color w:val="000000" w:themeColor="text1"/>
          <w:sz w:val="28"/>
          <w:szCs w:val="28"/>
          <w14:textFill>
            <w14:solidFill>
              <w14:schemeClr w14:val="tx1"/>
            </w14:solidFill>
          </w14:textFill>
        </w:rPr>
        <w:t>、重大意见分歧的处理结果和依据</w:t>
      </w:r>
    </w:p>
    <w:p w14:paraId="09FB670E">
      <w:pPr>
        <w:ind w:firstLine="560" w:firstLineChars="200"/>
        <w:jc w:val="left"/>
        <w:rPr>
          <w:rFonts w:ascii="Times New Roman" w:hAnsi="Times New Roman" w:eastAsia="仿宋" w:cs="Times New Roman"/>
          <w:color w:val="000000" w:themeColor="text1"/>
          <w:sz w:val="28"/>
          <w:szCs w:val="28"/>
          <w14:textFill>
            <w14:solidFill>
              <w14:schemeClr w14:val="tx1"/>
            </w14:solidFill>
          </w14:textFill>
        </w:rPr>
      </w:pPr>
      <w:r>
        <w:rPr>
          <w:rFonts w:ascii="Times New Roman" w:hAnsi="Times New Roman" w:eastAsia="仿宋" w:cs="Times New Roman"/>
          <w:color w:val="000000" w:themeColor="text1"/>
          <w:sz w:val="28"/>
          <w:szCs w:val="28"/>
          <w14:textFill>
            <w14:solidFill>
              <w14:schemeClr w14:val="tx1"/>
            </w14:solidFill>
          </w14:textFill>
        </w:rPr>
        <w:t>无。</w:t>
      </w:r>
    </w:p>
    <w:p w14:paraId="0CAD2BE0">
      <w:pPr>
        <w:outlineLvl w:val="0"/>
        <w:rPr>
          <w:rFonts w:ascii="Times New Roman" w:hAnsi="Times New Roman" w:cs="Times New Roman"/>
          <w:b/>
          <w:color w:val="000000" w:themeColor="text1"/>
          <w:sz w:val="28"/>
          <w:szCs w:val="28"/>
          <w14:textFill>
            <w14:solidFill>
              <w14:schemeClr w14:val="tx1"/>
            </w14:solidFill>
          </w14:textFill>
        </w:rPr>
      </w:pPr>
      <w:r>
        <w:rPr>
          <w:rFonts w:hint="eastAsia" w:ascii="Times New Roman" w:hAnsi="Times New Roman" w:cs="Times New Roman"/>
          <w:b/>
          <w:color w:val="000000" w:themeColor="text1"/>
          <w:sz w:val="28"/>
          <w:szCs w:val="28"/>
          <w14:textFill>
            <w14:solidFill>
              <w14:schemeClr w14:val="tx1"/>
            </w14:solidFill>
          </w14:textFill>
        </w:rPr>
        <w:t>六</w:t>
      </w:r>
      <w:r>
        <w:rPr>
          <w:rFonts w:ascii="Times New Roman" w:hAnsi="Times New Roman" w:cs="Times New Roman"/>
          <w:b/>
          <w:color w:val="000000" w:themeColor="text1"/>
          <w:sz w:val="28"/>
          <w:szCs w:val="28"/>
          <w14:textFill>
            <w14:solidFill>
              <w14:schemeClr w14:val="tx1"/>
            </w14:solidFill>
          </w14:textFill>
        </w:rPr>
        <w:t>、标准性质（强制性、推荐性）的建议</w:t>
      </w:r>
    </w:p>
    <w:p w14:paraId="18DD6CD0">
      <w:pPr>
        <w:ind w:firstLine="560"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w:t>
      </w:r>
      <w:sdt>
        <w:sdtPr>
          <w:rPr>
            <w:rFonts w:ascii="Times New Roman" w:hAnsi="Times New Roman" w:cs="Times New Roman"/>
            <w:color w:val="000000" w:themeColor="text1"/>
            <w:sz w:val="28"/>
            <w:szCs w:val="28"/>
            <w14:textFill>
              <w14:solidFill>
                <w14:schemeClr w14:val="tx1"/>
              </w14:solidFill>
            </w14:textFill>
          </w:rPr>
          <w:tag w:val="NEW_STAND_NAME"/>
          <w:id w:val="595910757"/>
          <w:lock w:val="sdtLocked"/>
          <w:placeholder>
            <w:docPart w:val="{3da9498d-d3b3-4032-9ba0-db52d2383929}"/>
          </w:placeholder>
        </w:sdtPr>
        <w:sdtEndPr>
          <w:rPr>
            <w:rFonts w:ascii="Times New Roman" w:hAnsi="Times New Roman" w:cs="Times New Roman"/>
            <w:color w:val="000000" w:themeColor="text1"/>
            <w:sz w:val="28"/>
            <w:szCs w:val="28"/>
            <w14:textFill>
              <w14:solidFill>
                <w14:schemeClr w14:val="tx1"/>
              </w14:solidFill>
            </w14:textFill>
          </w:rPr>
        </w:sdtEndPr>
        <w:sdtContent>
          <w:sdt>
            <w:sdtPr>
              <w:rPr>
                <w:rFonts w:ascii="Times New Roman" w:hAnsi="Times New Roman" w:cs="Times New Roman"/>
                <w:color w:val="000000" w:themeColor="text1"/>
                <w:sz w:val="28"/>
                <w:szCs w:val="28"/>
                <w14:textFill>
                  <w14:solidFill>
                    <w14:schemeClr w14:val="tx1"/>
                  </w14:solidFill>
                </w14:textFill>
              </w:rPr>
              <w:tag w:val="NEW_STAND_NAME"/>
              <w:id w:val="147458610"/>
              <w:lock w:val="sdtLocked"/>
              <w:placeholder>
                <w:docPart w:val="{03e293bc-91fa-470c-b9e8-ff17c1fe697f}"/>
              </w:placeholder>
            </w:sdtPr>
            <w:sdtEndPr>
              <w:rPr>
                <w:rFonts w:ascii="Times New Roman" w:hAnsi="Times New Roman" w:cs="Times New Roman"/>
                <w:color w:val="000000" w:themeColor="text1"/>
                <w:sz w:val="28"/>
                <w:szCs w:val="28"/>
                <w14:textFill>
                  <w14:solidFill>
                    <w14:schemeClr w14:val="tx1"/>
                  </w14:solidFill>
                </w14:textFill>
              </w:rPr>
            </w:sdtEndPr>
            <w:sdtContent>
              <w:r>
                <w:rPr>
                  <w:rFonts w:hint="eastAsia" w:ascii="Times New Roman" w:hAnsi="Times New Roman" w:cs="Times New Roman"/>
                  <w:color w:val="000000" w:themeColor="text1"/>
                  <w:sz w:val="28"/>
                  <w:szCs w:val="28"/>
                  <w14:textFill>
                    <w14:solidFill>
                      <w14:schemeClr w14:val="tx1"/>
                    </w14:solidFill>
                  </w14:textFill>
                </w:rPr>
                <w:t>岸边集装箱起重机大车行走机构防碰撞装置技术要求</w:t>
              </w:r>
            </w:sdtContent>
          </w:sdt>
        </w:sdtContent>
      </w:sdt>
      <w:r>
        <w:rPr>
          <w:rFonts w:ascii="Times New Roman" w:hAnsi="Times New Roman" w:cs="Times New Roman"/>
          <w:color w:val="000000" w:themeColor="text1"/>
          <w:sz w:val="28"/>
          <w:szCs w:val="28"/>
          <w14:textFill>
            <w14:solidFill>
              <w14:schemeClr w14:val="tx1"/>
            </w14:solidFill>
          </w14:textFill>
        </w:rPr>
        <w:t>》</w:t>
      </w:r>
      <w:r>
        <w:rPr>
          <w:rFonts w:hint="eastAsia" w:ascii="Times New Roman" w:hAnsi="Times New Roman" w:cs="Times New Roman"/>
          <w:color w:val="000000" w:themeColor="text1"/>
          <w:sz w:val="28"/>
          <w:szCs w:val="28"/>
          <w14:textFill>
            <w14:solidFill>
              <w14:schemeClr w14:val="tx1"/>
            </w14:solidFill>
          </w14:textFill>
        </w:rPr>
        <w:t>的制定目的是</w:t>
      </w:r>
      <w:r>
        <w:rPr>
          <w:rFonts w:hint="eastAsia" w:ascii="Times New Roman" w:hAnsi="Times New Roman" w:cs="Times New Roman"/>
          <w:color w:val="000000" w:themeColor="text1"/>
          <w:sz w:val="28"/>
          <w:szCs w:val="28"/>
          <w:lang w:val="en-US" w:eastAsia="zh-CN"/>
          <w14:textFill>
            <w14:solidFill>
              <w14:schemeClr w14:val="tx1"/>
            </w14:solidFill>
          </w14:textFill>
        </w:rPr>
        <w:t>为岸边集装箱起重机大车行走机构防碰撞装置的设计和使用提供技术指导，</w:t>
      </w:r>
      <w:r>
        <w:rPr>
          <w:rFonts w:hint="eastAsia" w:ascii="Times New Roman" w:hAnsi="Times New Roman" w:cs="Times New Roman"/>
          <w:color w:val="000000" w:themeColor="text1"/>
          <w:sz w:val="28"/>
          <w:szCs w:val="28"/>
          <w14:textFill>
            <w14:solidFill>
              <w14:schemeClr w14:val="tx1"/>
            </w14:solidFill>
          </w14:textFill>
        </w:rPr>
        <w:t>保障港口企业</w:t>
      </w:r>
      <w:r>
        <w:rPr>
          <w:rFonts w:hint="eastAsia" w:ascii="Times New Roman" w:hAnsi="Times New Roman" w:cs="Times New Roman"/>
          <w:color w:val="000000" w:themeColor="text1"/>
          <w:sz w:val="28"/>
          <w:szCs w:val="28"/>
          <w:lang w:val="en-US" w:eastAsia="zh-CN"/>
          <w14:textFill>
            <w14:solidFill>
              <w14:schemeClr w14:val="tx1"/>
            </w14:solidFill>
          </w14:textFill>
        </w:rPr>
        <w:t>岸边集装箱起重机</w:t>
      </w:r>
      <w:r>
        <w:rPr>
          <w:rFonts w:hint="eastAsia" w:ascii="Times New Roman" w:hAnsi="Times New Roman" w:cs="Times New Roman"/>
          <w:color w:val="000000" w:themeColor="text1"/>
          <w:sz w:val="28"/>
          <w:szCs w:val="28"/>
          <w14:textFill>
            <w14:solidFill>
              <w14:schemeClr w14:val="tx1"/>
            </w14:solidFill>
          </w14:textFill>
        </w:rPr>
        <w:t>安全运行。考虑到各港口</w:t>
      </w:r>
      <w:r>
        <w:rPr>
          <w:rFonts w:hint="eastAsia" w:ascii="Times New Roman" w:hAnsi="Times New Roman" w:cs="Times New Roman"/>
          <w:color w:val="000000" w:themeColor="text1"/>
          <w:sz w:val="28"/>
          <w:szCs w:val="28"/>
          <w:lang w:val="en-US" w:eastAsia="zh-CN"/>
          <w14:textFill>
            <w14:solidFill>
              <w14:schemeClr w14:val="tx1"/>
            </w14:solidFill>
          </w14:textFill>
        </w:rPr>
        <w:t>设备</w:t>
      </w:r>
      <w:r>
        <w:rPr>
          <w:rFonts w:hint="eastAsia" w:ascii="Times New Roman" w:hAnsi="Times New Roman" w:cs="Times New Roman"/>
          <w:color w:val="000000" w:themeColor="text1"/>
          <w:sz w:val="28"/>
          <w:szCs w:val="28"/>
          <w14:textFill>
            <w14:solidFill>
              <w14:schemeClr w14:val="tx1"/>
            </w14:solidFill>
          </w14:textFill>
        </w:rPr>
        <w:t>条件差异和现有系统升级改造的渐进性，建议本标准定义为推荐性标准。</w:t>
      </w:r>
    </w:p>
    <w:p w14:paraId="7226F1C7">
      <w:pPr>
        <w:outlineLvl w:val="0"/>
        <w:rPr>
          <w:rFonts w:ascii="Times New Roman" w:hAnsi="Times New Roman" w:cs="Times New Roman"/>
          <w:b/>
          <w:color w:val="000000" w:themeColor="text1"/>
          <w:sz w:val="28"/>
          <w:szCs w:val="28"/>
          <w14:textFill>
            <w14:solidFill>
              <w14:schemeClr w14:val="tx1"/>
            </w14:solidFill>
          </w14:textFill>
        </w:rPr>
      </w:pPr>
      <w:r>
        <w:rPr>
          <w:rFonts w:hint="eastAsia" w:ascii="Times New Roman" w:hAnsi="Times New Roman" w:cs="Times New Roman"/>
          <w:b/>
          <w:color w:val="000000" w:themeColor="text1"/>
          <w:sz w:val="28"/>
          <w:szCs w:val="28"/>
          <w14:textFill>
            <w14:solidFill>
              <w14:schemeClr w14:val="tx1"/>
            </w14:solidFill>
          </w14:textFill>
        </w:rPr>
        <w:t>七</w:t>
      </w:r>
      <w:r>
        <w:rPr>
          <w:rFonts w:ascii="Times New Roman" w:hAnsi="Times New Roman" w:cs="Times New Roman"/>
          <w:b/>
          <w:color w:val="000000" w:themeColor="text1"/>
          <w:sz w:val="28"/>
          <w:szCs w:val="28"/>
          <w14:textFill>
            <w14:solidFill>
              <w14:schemeClr w14:val="tx1"/>
            </w14:solidFill>
          </w14:textFill>
        </w:rPr>
        <w:t>、贯彻标准的要求和措施建议</w:t>
      </w:r>
    </w:p>
    <w:p w14:paraId="5B165DB2">
      <w:pPr>
        <w:ind w:firstLine="560"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本标准主要规定了</w:t>
      </w:r>
      <w:r>
        <w:rPr>
          <w:rFonts w:hint="eastAsia" w:ascii="Times New Roman" w:hAnsi="Times New Roman" w:cs="Times New Roman"/>
          <w:color w:val="000000" w:themeColor="text1"/>
          <w:sz w:val="28"/>
          <w:szCs w:val="28"/>
          <w:lang w:val="en-US" w:eastAsia="zh-CN"/>
          <w14:textFill>
            <w14:solidFill>
              <w14:schemeClr w14:val="tx1"/>
            </w14:solidFill>
          </w14:textFill>
        </w:rPr>
        <w:t>岸边集装箱起重机</w:t>
      </w:r>
      <w:r>
        <w:rPr>
          <w:rFonts w:hint="eastAsia" w:ascii="Times New Roman" w:hAnsi="Times New Roman" w:cs="Times New Roman"/>
          <w:color w:val="000000" w:themeColor="text1"/>
          <w:sz w:val="28"/>
          <w:szCs w:val="28"/>
          <w14:textFill>
            <w14:solidFill>
              <w14:schemeClr w14:val="tx1"/>
            </w14:solidFill>
          </w14:textFill>
        </w:rPr>
        <w:t>大车行走机构防碰撞装置的技术</w:t>
      </w:r>
      <w:r>
        <w:rPr>
          <w:rFonts w:ascii="Times New Roman" w:hAnsi="Times New Roman" w:cs="Times New Roman"/>
          <w:color w:val="000000" w:themeColor="text1"/>
          <w:sz w:val="28"/>
          <w:szCs w:val="28"/>
          <w14:textFill>
            <w14:solidFill>
              <w14:schemeClr w14:val="tx1"/>
            </w14:solidFill>
          </w14:textFill>
        </w:rPr>
        <w:t>要求。标准发布后，需要进行广泛的宣贯和培训，使</w:t>
      </w:r>
      <w:r>
        <w:rPr>
          <w:rFonts w:hint="eastAsia" w:ascii="Times New Roman" w:hAnsi="Times New Roman" w:cs="Times New Roman"/>
          <w:color w:val="000000" w:themeColor="text1"/>
          <w:sz w:val="28"/>
          <w:szCs w:val="28"/>
          <w14:textFill>
            <w14:solidFill>
              <w14:schemeClr w14:val="tx1"/>
            </w14:solidFill>
          </w14:textFill>
        </w:rPr>
        <w:t>港口企业</w:t>
      </w:r>
      <w:r>
        <w:rPr>
          <w:rFonts w:ascii="Times New Roman" w:hAnsi="Times New Roman" w:cs="Times New Roman"/>
          <w:color w:val="000000" w:themeColor="text1"/>
          <w:sz w:val="28"/>
          <w:szCs w:val="28"/>
          <w14:textFill>
            <w14:solidFill>
              <w14:schemeClr w14:val="tx1"/>
            </w14:solidFill>
          </w14:textFill>
        </w:rPr>
        <w:t>及时掌握新标准，对本标准有正确的、统一的理解，便于本标准的操作、实施，</w:t>
      </w:r>
      <w:r>
        <w:rPr>
          <w:rFonts w:hint="eastAsia" w:ascii="Times New Roman" w:hAnsi="Times New Roman" w:cs="Times New Roman"/>
          <w:color w:val="000000" w:themeColor="text1"/>
          <w:sz w:val="28"/>
          <w:szCs w:val="28"/>
          <w14:textFill>
            <w14:solidFill>
              <w14:schemeClr w14:val="tx1"/>
            </w14:solidFill>
          </w14:textFill>
        </w:rPr>
        <w:t>以</w:t>
      </w:r>
      <w:r>
        <w:rPr>
          <w:rFonts w:ascii="Times New Roman" w:hAnsi="Times New Roman" w:cs="Times New Roman"/>
          <w:color w:val="000000" w:themeColor="text1"/>
          <w:sz w:val="28"/>
          <w:szCs w:val="28"/>
          <w14:textFill>
            <w14:solidFill>
              <w14:schemeClr w14:val="tx1"/>
            </w14:solidFill>
          </w14:textFill>
        </w:rPr>
        <w:t>进一步规范</w:t>
      </w:r>
      <w:r>
        <w:rPr>
          <w:rFonts w:hint="eastAsia" w:ascii="Times New Roman" w:hAnsi="Times New Roman" w:cs="Times New Roman"/>
          <w:color w:val="000000" w:themeColor="text1"/>
          <w:sz w:val="28"/>
          <w:szCs w:val="28"/>
          <w:lang w:val="en-US" w:eastAsia="zh-CN"/>
          <w14:textFill>
            <w14:solidFill>
              <w14:schemeClr w14:val="tx1"/>
            </w14:solidFill>
          </w14:textFill>
        </w:rPr>
        <w:t>岸边集装箱起重机</w:t>
      </w:r>
      <w:r>
        <w:rPr>
          <w:rFonts w:hint="eastAsia" w:ascii="Times New Roman" w:hAnsi="Times New Roman" w:cs="Times New Roman"/>
          <w:color w:val="000000" w:themeColor="text1"/>
          <w:sz w:val="28"/>
          <w:szCs w:val="28"/>
          <w14:textFill>
            <w14:solidFill>
              <w14:schemeClr w14:val="tx1"/>
            </w14:solidFill>
          </w14:textFill>
        </w:rPr>
        <w:t>大车行走机构防碰撞装置的</w:t>
      </w:r>
      <w:r>
        <w:rPr>
          <w:rFonts w:hint="eastAsia" w:ascii="Times New Roman" w:hAnsi="Times New Roman" w:cs="Times New Roman"/>
          <w:color w:val="000000" w:themeColor="text1"/>
          <w:sz w:val="28"/>
          <w:szCs w:val="28"/>
          <w:lang w:val="en-US" w:eastAsia="zh-CN"/>
          <w14:textFill>
            <w14:solidFill>
              <w14:schemeClr w14:val="tx1"/>
            </w14:solidFill>
          </w14:textFill>
        </w:rPr>
        <w:t>设计和使用</w:t>
      </w:r>
      <w:r>
        <w:rPr>
          <w:rFonts w:hint="eastAsia" w:ascii="Times New Roman" w:hAnsi="Times New Roman" w:cs="Times New Roman"/>
          <w:color w:val="000000" w:themeColor="text1"/>
          <w:sz w:val="28"/>
          <w:szCs w:val="28"/>
          <w14:textFill>
            <w14:solidFill>
              <w14:schemeClr w14:val="tx1"/>
            </w14:solidFill>
          </w14:textFill>
        </w:rPr>
        <w:t>要求。</w:t>
      </w:r>
    </w:p>
    <w:p w14:paraId="04155FFE">
      <w:pPr>
        <w:outlineLvl w:val="0"/>
        <w:rPr>
          <w:rFonts w:ascii="Times New Roman" w:hAnsi="Times New Roman" w:cs="Times New Roman"/>
          <w:b/>
          <w:color w:val="000000" w:themeColor="text1"/>
          <w:sz w:val="28"/>
          <w:szCs w:val="28"/>
          <w14:textFill>
            <w14:solidFill>
              <w14:schemeClr w14:val="tx1"/>
            </w14:solidFill>
          </w14:textFill>
        </w:rPr>
      </w:pPr>
      <w:r>
        <w:rPr>
          <w:rFonts w:hint="eastAsia" w:ascii="Times New Roman" w:hAnsi="Times New Roman" w:cs="Times New Roman"/>
          <w:b/>
          <w:color w:val="000000" w:themeColor="text1"/>
          <w:sz w:val="28"/>
          <w:szCs w:val="28"/>
          <w14:textFill>
            <w14:solidFill>
              <w14:schemeClr w14:val="tx1"/>
            </w14:solidFill>
          </w14:textFill>
        </w:rPr>
        <w:t>八</w:t>
      </w:r>
      <w:r>
        <w:rPr>
          <w:rFonts w:ascii="Times New Roman" w:hAnsi="Times New Roman" w:cs="Times New Roman"/>
          <w:b/>
          <w:color w:val="000000" w:themeColor="text1"/>
          <w:sz w:val="28"/>
          <w:szCs w:val="28"/>
          <w14:textFill>
            <w14:solidFill>
              <w14:schemeClr w14:val="tx1"/>
            </w14:solidFill>
          </w14:textFill>
        </w:rPr>
        <w:t>、其他应予说明的事项</w:t>
      </w:r>
    </w:p>
    <w:p w14:paraId="43103D15">
      <w:pPr>
        <w:ind w:firstLine="560"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无。</w:t>
      </w:r>
    </w:p>
    <w:p w14:paraId="04209D65">
      <w:pPr>
        <w:ind w:firstLine="560" w:firstLineChars="200"/>
        <w:rPr>
          <w:rFonts w:ascii="Times New Roman" w:hAnsi="Times New Roman" w:cs="Times New Roman"/>
          <w:color w:val="000000" w:themeColor="text1"/>
          <w:sz w:val="28"/>
          <w:szCs w:val="28"/>
          <w14:textFill>
            <w14:solidFill>
              <w14:schemeClr w14:val="tx1"/>
            </w14:solidFill>
          </w14:textFill>
        </w:rPr>
      </w:pPr>
    </w:p>
    <w:p w14:paraId="0DE794CA">
      <w:pPr>
        <w:ind w:firstLine="560" w:firstLineChars="200"/>
        <w:jc w:val="left"/>
        <w:rPr>
          <w:rFonts w:ascii="Times New Roman" w:hAnsi="Times New Roman" w:eastAsia="仿宋" w:cs="Times New Roman"/>
          <w:color w:val="000000" w:themeColor="text1"/>
          <w:sz w:val="28"/>
          <w:szCs w:val="28"/>
          <w14:textFill>
            <w14:solidFill>
              <w14:schemeClr w14:val="tx1"/>
            </w14:solidFill>
          </w14:textFill>
        </w:rPr>
      </w:pPr>
    </w:p>
    <w:p w14:paraId="6104361A">
      <w:pPr>
        <w:ind w:firstLine="560" w:firstLineChars="200"/>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标准起草小组</w:t>
      </w:r>
    </w:p>
    <w:p w14:paraId="799C7DBA">
      <w:pPr>
        <w:ind w:firstLine="560" w:firstLineChars="200"/>
        <w:jc w:val="right"/>
        <w:rPr>
          <w:rFonts w:ascii="Times New Roman" w:hAnsi="Times New Roman" w:cs="Times New Roman"/>
          <w:sz w:val="28"/>
          <w:szCs w:val="28"/>
        </w:rPr>
      </w:pPr>
      <w:r>
        <w:rPr>
          <w:rFonts w:hint="eastAsia" w:ascii="Times New Roman" w:hAnsi="Times New Roman" w:cs="Times New Roman"/>
          <w:sz w:val="28"/>
          <w:szCs w:val="28"/>
        </w:rPr>
        <w:t>202</w:t>
      </w:r>
      <w:r>
        <w:rPr>
          <w:rFonts w:hint="eastAsia" w:ascii="Times New Roman" w:hAnsi="Times New Roman" w:cs="Times New Roman"/>
          <w:sz w:val="28"/>
          <w:szCs w:val="28"/>
          <w:lang w:val="en-US" w:eastAsia="zh-CN"/>
        </w:rPr>
        <w:t>6</w:t>
      </w:r>
      <w:r>
        <w:rPr>
          <w:rFonts w:hint="eastAsia" w:ascii="Times New Roman" w:hAnsi="Times New Roman" w:cs="Times New Roman"/>
          <w:sz w:val="28"/>
          <w:szCs w:val="28"/>
        </w:rPr>
        <w:t>年</w:t>
      </w:r>
      <w:r>
        <w:rPr>
          <w:rFonts w:hint="eastAsia" w:ascii="Times New Roman" w:hAnsi="Times New Roman" w:cs="Times New Roman"/>
          <w:sz w:val="28"/>
          <w:szCs w:val="28"/>
          <w:lang w:val="en-US" w:eastAsia="zh-CN"/>
        </w:rPr>
        <w:t>2</w:t>
      </w:r>
      <w:r>
        <w:rPr>
          <w:rFonts w:hint="eastAsia" w:ascii="Times New Roman" w:hAnsi="Times New Roman" w:cs="Times New Roman"/>
          <w:sz w:val="28"/>
          <w:szCs w:val="28"/>
        </w:rPr>
        <w:t>月</w:t>
      </w:r>
    </w:p>
    <w:bookmarkEnd w:id="0"/>
    <w:bookmarkEnd w:id="1"/>
    <w:p w14:paraId="03903333">
      <w:pPr>
        <w:jc w:val="center"/>
        <w:rPr>
          <w:rFonts w:ascii="Times New Roman" w:hAnsi="Times New Roman" w:cs="Times New Roman"/>
          <w:color w:val="FF0000"/>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29350700"/>
      <w:docPartObj>
        <w:docPartGallery w:val="autotext"/>
      </w:docPartObj>
    </w:sdtPr>
    <w:sdtContent>
      <w:p w14:paraId="1825612A">
        <w:pPr>
          <w:pStyle w:val="8"/>
          <w:jc w:val="center"/>
        </w:pPr>
        <w:r>
          <w:fldChar w:fldCharType="begin"/>
        </w:r>
        <w:r>
          <w:instrText xml:space="preserve">PAGE   \* MERGEFORMAT</w:instrText>
        </w:r>
        <w:r>
          <w:fldChar w:fldCharType="separate"/>
        </w:r>
        <w:r>
          <w:rPr>
            <w:lang w:val="zh-CN"/>
          </w:rPr>
          <w:t>8</w:t>
        </w:r>
        <w:r>
          <w:rPr>
            <w:lang w:val="zh-CN"/>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39"/>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40"/>
      <w:suff w:val="nothing"/>
      <w:lvlText w:val="%1.%2.%3　"/>
      <w:lvlJc w:val="left"/>
      <w:pPr>
        <w:ind w:left="709"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42"/>
      <w:suff w:val="nothing"/>
      <w:lvlText w:val="%1.%2.%3.%4.%5　"/>
      <w:lvlJc w:val="left"/>
      <w:pPr>
        <w:ind w:left="0" w:firstLine="0"/>
      </w:pPr>
      <w:rPr>
        <w:rFonts w:hint="eastAsia" w:ascii="黑体" w:hAnsi="Times New Roman" w:eastAsia="黑体"/>
        <w:b w:val="0"/>
        <w:i w:val="0"/>
        <w:sz w:val="21"/>
      </w:rPr>
    </w:lvl>
    <w:lvl w:ilvl="5" w:tentative="0">
      <w:start w:val="1"/>
      <w:numFmt w:val="decimal"/>
      <w:pStyle w:val="43"/>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30E50CCB"/>
    <w:multiLevelType w:val="multilevel"/>
    <w:tmpl w:val="30E50CCB"/>
    <w:lvl w:ilvl="0" w:tentative="0">
      <w:start w:val="1"/>
      <w:numFmt w:val="decimal"/>
      <w:pStyle w:val="45"/>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
    <w:nsid w:val="75E07666"/>
    <w:multiLevelType w:val="multilevel"/>
    <w:tmpl w:val="75E07666"/>
    <w:lvl w:ilvl="0" w:tentative="0">
      <w:start w:val="1"/>
      <w:numFmt w:val="decimal"/>
      <w:pStyle w:val="30"/>
      <w:lvlText w:val="%1"/>
      <w:lvlJc w:val="left"/>
      <w:pPr>
        <w:ind w:left="0" w:firstLine="0"/>
      </w:pPr>
      <w:rPr>
        <w:rFonts w:hint="default" w:ascii="Times New Roman" w:hAnsi="Times New Roman" w:eastAsia="黑体"/>
        <w:b w:val="0"/>
        <w:i w:val="0"/>
        <w:sz w:val="24"/>
      </w:rPr>
    </w:lvl>
    <w:lvl w:ilvl="1" w:tentative="0">
      <w:start w:val="1"/>
      <w:numFmt w:val="decimal"/>
      <w:pStyle w:val="33"/>
      <w:lvlText w:val="%1.%2"/>
      <w:lvlJc w:val="left"/>
      <w:pPr>
        <w:ind w:left="284" w:firstLine="0"/>
      </w:pPr>
      <w:rPr>
        <w:rFonts w:hint="default" w:ascii="Times New Roman" w:hAnsi="Times New Roman" w:eastAsia="黑体"/>
        <w:b w:val="0"/>
        <w:i w:val="0"/>
        <w:sz w:val="24"/>
      </w:rPr>
    </w:lvl>
    <w:lvl w:ilvl="2" w:tentative="0">
      <w:start w:val="1"/>
      <w:numFmt w:val="decimal"/>
      <w:lvlText w:val="%1.%2.%3"/>
      <w:lvlJc w:val="left"/>
      <w:pPr>
        <w:ind w:left="0" w:firstLine="0"/>
      </w:pPr>
      <w:rPr>
        <w:rFonts w:hint="default" w:ascii="Times New Roman" w:hAnsi="Times New Roman" w:eastAsia="黑体"/>
        <w:b w:val="0"/>
        <w:i w:val="0"/>
        <w:sz w:val="24"/>
      </w:rPr>
    </w:lvl>
    <w:lvl w:ilvl="3" w:tentative="0">
      <w:start w:val="1"/>
      <w:numFmt w:val="decimal"/>
      <w:lvlText w:val="%1.%2.%3.%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3026"/>
    <w:rsid w:val="00003891"/>
    <w:rsid w:val="00004C97"/>
    <w:rsid w:val="00004FFB"/>
    <w:rsid w:val="000050EA"/>
    <w:rsid w:val="0000663D"/>
    <w:rsid w:val="0001391A"/>
    <w:rsid w:val="00016264"/>
    <w:rsid w:val="00016B66"/>
    <w:rsid w:val="00024ADC"/>
    <w:rsid w:val="00030669"/>
    <w:rsid w:val="00030FDA"/>
    <w:rsid w:val="000354B9"/>
    <w:rsid w:val="0003759B"/>
    <w:rsid w:val="00037B27"/>
    <w:rsid w:val="000429C4"/>
    <w:rsid w:val="00044AF2"/>
    <w:rsid w:val="00044F29"/>
    <w:rsid w:val="000519A0"/>
    <w:rsid w:val="00053F15"/>
    <w:rsid w:val="000609F7"/>
    <w:rsid w:val="00061CD4"/>
    <w:rsid w:val="0006735B"/>
    <w:rsid w:val="00073A8E"/>
    <w:rsid w:val="0007514D"/>
    <w:rsid w:val="00077C5C"/>
    <w:rsid w:val="00077E41"/>
    <w:rsid w:val="00090183"/>
    <w:rsid w:val="00090870"/>
    <w:rsid w:val="00092A83"/>
    <w:rsid w:val="0009429A"/>
    <w:rsid w:val="00094871"/>
    <w:rsid w:val="0009693D"/>
    <w:rsid w:val="000A109C"/>
    <w:rsid w:val="000A1B83"/>
    <w:rsid w:val="000A2106"/>
    <w:rsid w:val="000B1822"/>
    <w:rsid w:val="000D112F"/>
    <w:rsid w:val="000D19D6"/>
    <w:rsid w:val="000D533A"/>
    <w:rsid w:val="000D5564"/>
    <w:rsid w:val="000E0E49"/>
    <w:rsid w:val="000E2788"/>
    <w:rsid w:val="000E474F"/>
    <w:rsid w:val="000E5995"/>
    <w:rsid w:val="000F32A2"/>
    <w:rsid w:val="000F3AC8"/>
    <w:rsid w:val="000F3E82"/>
    <w:rsid w:val="000F7062"/>
    <w:rsid w:val="00100D91"/>
    <w:rsid w:val="0010397F"/>
    <w:rsid w:val="00103DE4"/>
    <w:rsid w:val="0010437B"/>
    <w:rsid w:val="00104F04"/>
    <w:rsid w:val="0011025A"/>
    <w:rsid w:val="00110CCB"/>
    <w:rsid w:val="001171F8"/>
    <w:rsid w:val="001179EB"/>
    <w:rsid w:val="00126F3F"/>
    <w:rsid w:val="00133BEF"/>
    <w:rsid w:val="00133F5D"/>
    <w:rsid w:val="00134033"/>
    <w:rsid w:val="00135189"/>
    <w:rsid w:val="00137E5D"/>
    <w:rsid w:val="00141F3F"/>
    <w:rsid w:val="00142530"/>
    <w:rsid w:val="00145B37"/>
    <w:rsid w:val="00145FB7"/>
    <w:rsid w:val="0014608F"/>
    <w:rsid w:val="00146C62"/>
    <w:rsid w:val="00156708"/>
    <w:rsid w:val="0016006B"/>
    <w:rsid w:val="001607FA"/>
    <w:rsid w:val="00171640"/>
    <w:rsid w:val="001745D8"/>
    <w:rsid w:val="0017757A"/>
    <w:rsid w:val="00180308"/>
    <w:rsid w:val="00181655"/>
    <w:rsid w:val="00187675"/>
    <w:rsid w:val="00193D58"/>
    <w:rsid w:val="00194D31"/>
    <w:rsid w:val="00195984"/>
    <w:rsid w:val="001971E6"/>
    <w:rsid w:val="001A1C62"/>
    <w:rsid w:val="001A1F6B"/>
    <w:rsid w:val="001A2E62"/>
    <w:rsid w:val="001A3DD0"/>
    <w:rsid w:val="001A6F8C"/>
    <w:rsid w:val="001B155A"/>
    <w:rsid w:val="001B4EFF"/>
    <w:rsid w:val="001C102F"/>
    <w:rsid w:val="001C184A"/>
    <w:rsid w:val="001C4C2F"/>
    <w:rsid w:val="001D1C39"/>
    <w:rsid w:val="001D1F4F"/>
    <w:rsid w:val="001D7994"/>
    <w:rsid w:val="001E2A7A"/>
    <w:rsid w:val="00200B2F"/>
    <w:rsid w:val="002014BD"/>
    <w:rsid w:val="00202EFC"/>
    <w:rsid w:val="002043D4"/>
    <w:rsid w:val="002220A6"/>
    <w:rsid w:val="0022465D"/>
    <w:rsid w:val="00224D8A"/>
    <w:rsid w:val="0023397F"/>
    <w:rsid w:val="002356FF"/>
    <w:rsid w:val="00235C14"/>
    <w:rsid w:val="002403A3"/>
    <w:rsid w:val="00243A7F"/>
    <w:rsid w:val="00245E55"/>
    <w:rsid w:val="00251DCE"/>
    <w:rsid w:val="00255E65"/>
    <w:rsid w:val="00267F7A"/>
    <w:rsid w:val="00270F45"/>
    <w:rsid w:val="00273D66"/>
    <w:rsid w:val="00285F6A"/>
    <w:rsid w:val="00291EF8"/>
    <w:rsid w:val="002A49F3"/>
    <w:rsid w:val="002B5F6A"/>
    <w:rsid w:val="002C1D80"/>
    <w:rsid w:val="002C3C21"/>
    <w:rsid w:val="002C3FDA"/>
    <w:rsid w:val="002C4F8B"/>
    <w:rsid w:val="002C5431"/>
    <w:rsid w:val="002D2EFA"/>
    <w:rsid w:val="002E224D"/>
    <w:rsid w:val="002E3B6D"/>
    <w:rsid w:val="002E7C86"/>
    <w:rsid w:val="00302FF8"/>
    <w:rsid w:val="00306849"/>
    <w:rsid w:val="00306857"/>
    <w:rsid w:val="0031458D"/>
    <w:rsid w:val="00317C5A"/>
    <w:rsid w:val="003215E2"/>
    <w:rsid w:val="00322E95"/>
    <w:rsid w:val="003253E9"/>
    <w:rsid w:val="00330A9A"/>
    <w:rsid w:val="00335493"/>
    <w:rsid w:val="0033785D"/>
    <w:rsid w:val="00341C7C"/>
    <w:rsid w:val="00341FF1"/>
    <w:rsid w:val="00347796"/>
    <w:rsid w:val="0035151E"/>
    <w:rsid w:val="00355BA2"/>
    <w:rsid w:val="003579EE"/>
    <w:rsid w:val="00357F20"/>
    <w:rsid w:val="00361452"/>
    <w:rsid w:val="00366996"/>
    <w:rsid w:val="00373FB0"/>
    <w:rsid w:val="00377D63"/>
    <w:rsid w:val="003806FD"/>
    <w:rsid w:val="00382F6B"/>
    <w:rsid w:val="00383738"/>
    <w:rsid w:val="00385EF5"/>
    <w:rsid w:val="00387B64"/>
    <w:rsid w:val="003907F8"/>
    <w:rsid w:val="003936E3"/>
    <w:rsid w:val="00397576"/>
    <w:rsid w:val="003A178D"/>
    <w:rsid w:val="003A4730"/>
    <w:rsid w:val="003A6BD0"/>
    <w:rsid w:val="003B7A6C"/>
    <w:rsid w:val="003C1D5C"/>
    <w:rsid w:val="003C4353"/>
    <w:rsid w:val="003C6FC2"/>
    <w:rsid w:val="003D0548"/>
    <w:rsid w:val="003D28A4"/>
    <w:rsid w:val="003D326D"/>
    <w:rsid w:val="003D4035"/>
    <w:rsid w:val="003D507B"/>
    <w:rsid w:val="003D536C"/>
    <w:rsid w:val="003D7D26"/>
    <w:rsid w:val="003E0D03"/>
    <w:rsid w:val="003E1F20"/>
    <w:rsid w:val="003E47C3"/>
    <w:rsid w:val="003E73F8"/>
    <w:rsid w:val="00401C66"/>
    <w:rsid w:val="00402C55"/>
    <w:rsid w:val="00405649"/>
    <w:rsid w:val="0041314F"/>
    <w:rsid w:val="004132BD"/>
    <w:rsid w:val="00415508"/>
    <w:rsid w:val="00417738"/>
    <w:rsid w:val="00425A9E"/>
    <w:rsid w:val="00430190"/>
    <w:rsid w:val="004357C6"/>
    <w:rsid w:val="00436A25"/>
    <w:rsid w:val="00436EC1"/>
    <w:rsid w:val="00437173"/>
    <w:rsid w:val="00444F62"/>
    <w:rsid w:val="00445721"/>
    <w:rsid w:val="00446605"/>
    <w:rsid w:val="00447CEA"/>
    <w:rsid w:val="00457E7E"/>
    <w:rsid w:val="0046262D"/>
    <w:rsid w:val="00462842"/>
    <w:rsid w:val="004662A4"/>
    <w:rsid w:val="00470C56"/>
    <w:rsid w:val="00472142"/>
    <w:rsid w:val="004724F7"/>
    <w:rsid w:val="0048234C"/>
    <w:rsid w:val="0048369D"/>
    <w:rsid w:val="004854E9"/>
    <w:rsid w:val="00485672"/>
    <w:rsid w:val="00491F93"/>
    <w:rsid w:val="00492B79"/>
    <w:rsid w:val="00496532"/>
    <w:rsid w:val="004967BD"/>
    <w:rsid w:val="004978CF"/>
    <w:rsid w:val="004A1E99"/>
    <w:rsid w:val="004A3054"/>
    <w:rsid w:val="004B119C"/>
    <w:rsid w:val="004C1D52"/>
    <w:rsid w:val="004C6413"/>
    <w:rsid w:val="004C7D69"/>
    <w:rsid w:val="004D26D7"/>
    <w:rsid w:val="004E0BE1"/>
    <w:rsid w:val="004E7663"/>
    <w:rsid w:val="004E7C12"/>
    <w:rsid w:val="004F34FC"/>
    <w:rsid w:val="004F57E5"/>
    <w:rsid w:val="004F651F"/>
    <w:rsid w:val="004F74A1"/>
    <w:rsid w:val="00504E3F"/>
    <w:rsid w:val="00506D53"/>
    <w:rsid w:val="00506D9C"/>
    <w:rsid w:val="00507358"/>
    <w:rsid w:val="00515376"/>
    <w:rsid w:val="00522224"/>
    <w:rsid w:val="00523EEA"/>
    <w:rsid w:val="00535091"/>
    <w:rsid w:val="005353B6"/>
    <w:rsid w:val="00545505"/>
    <w:rsid w:val="0055211D"/>
    <w:rsid w:val="00555AD5"/>
    <w:rsid w:val="005679CE"/>
    <w:rsid w:val="005735DC"/>
    <w:rsid w:val="005775EC"/>
    <w:rsid w:val="00580BE3"/>
    <w:rsid w:val="00582592"/>
    <w:rsid w:val="0058319A"/>
    <w:rsid w:val="005938D9"/>
    <w:rsid w:val="00593A33"/>
    <w:rsid w:val="005A20ED"/>
    <w:rsid w:val="005A45C5"/>
    <w:rsid w:val="005B1B46"/>
    <w:rsid w:val="005B69DD"/>
    <w:rsid w:val="005B7A7E"/>
    <w:rsid w:val="005C76FA"/>
    <w:rsid w:val="005D443D"/>
    <w:rsid w:val="005D4641"/>
    <w:rsid w:val="005E0051"/>
    <w:rsid w:val="005E6538"/>
    <w:rsid w:val="005F0196"/>
    <w:rsid w:val="005F19E8"/>
    <w:rsid w:val="005F24DE"/>
    <w:rsid w:val="005F2B51"/>
    <w:rsid w:val="0060714C"/>
    <w:rsid w:val="0061444A"/>
    <w:rsid w:val="0062741A"/>
    <w:rsid w:val="00636015"/>
    <w:rsid w:val="00640572"/>
    <w:rsid w:val="0064357E"/>
    <w:rsid w:val="006445E4"/>
    <w:rsid w:val="00645915"/>
    <w:rsid w:val="00656F61"/>
    <w:rsid w:val="0065738C"/>
    <w:rsid w:val="0066221B"/>
    <w:rsid w:val="00665E5D"/>
    <w:rsid w:val="00670AF5"/>
    <w:rsid w:val="00671F65"/>
    <w:rsid w:val="00672EBF"/>
    <w:rsid w:val="00673B8E"/>
    <w:rsid w:val="00676EB8"/>
    <w:rsid w:val="006770DD"/>
    <w:rsid w:val="0068313E"/>
    <w:rsid w:val="00684222"/>
    <w:rsid w:val="00685A2B"/>
    <w:rsid w:val="006904FC"/>
    <w:rsid w:val="00690BAB"/>
    <w:rsid w:val="00695935"/>
    <w:rsid w:val="006A5927"/>
    <w:rsid w:val="006A7C2C"/>
    <w:rsid w:val="006B1EFA"/>
    <w:rsid w:val="006B32B7"/>
    <w:rsid w:val="006B7953"/>
    <w:rsid w:val="006C1121"/>
    <w:rsid w:val="006C53C3"/>
    <w:rsid w:val="006C5AF9"/>
    <w:rsid w:val="006C7926"/>
    <w:rsid w:val="006D5C52"/>
    <w:rsid w:val="006D6317"/>
    <w:rsid w:val="006D666F"/>
    <w:rsid w:val="006F04B3"/>
    <w:rsid w:val="006F2BA8"/>
    <w:rsid w:val="006F303D"/>
    <w:rsid w:val="006F5D4D"/>
    <w:rsid w:val="006F6037"/>
    <w:rsid w:val="00701DA1"/>
    <w:rsid w:val="00702335"/>
    <w:rsid w:val="0070359B"/>
    <w:rsid w:val="00704173"/>
    <w:rsid w:val="00704254"/>
    <w:rsid w:val="00705995"/>
    <w:rsid w:val="00712D58"/>
    <w:rsid w:val="007177E5"/>
    <w:rsid w:val="00720D62"/>
    <w:rsid w:val="007252D9"/>
    <w:rsid w:val="0073144E"/>
    <w:rsid w:val="00732071"/>
    <w:rsid w:val="007351AC"/>
    <w:rsid w:val="00741192"/>
    <w:rsid w:val="0074191E"/>
    <w:rsid w:val="007420C0"/>
    <w:rsid w:val="007440C0"/>
    <w:rsid w:val="00746258"/>
    <w:rsid w:val="007506B6"/>
    <w:rsid w:val="00751F71"/>
    <w:rsid w:val="007552EC"/>
    <w:rsid w:val="00763B03"/>
    <w:rsid w:val="00764A5F"/>
    <w:rsid w:val="007667A9"/>
    <w:rsid w:val="007742CB"/>
    <w:rsid w:val="00774AFD"/>
    <w:rsid w:val="0078143C"/>
    <w:rsid w:val="00785C76"/>
    <w:rsid w:val="00786BD4"/>
    <w:rsid w:val="00787FCF"/>
    <w:rsid w:val="00792358"/>
    <w:rsid w:val="007A12AF"/>
    <w:rsid w:val="007A4DA1"/>
    <w:rsid w:val="007A653D"/>
    <w:rsid w:val="007B028F"/>
    <w:rsid w:val="007B096A"/>
    <w:rsid w:val="007B09C0"/>
    <w:rsid w:val="007B3C44"/>
    <w:rsid w:val="007B550A"/>
    <w:rsid w:val="007B5D09"/>
    <w:rsid w:val="007B71B1"/>
    <w:rsid w:val="007C16F6"/>
    <w:rsid w:val="007C35EE"/>
    <w:rsid w:val="007C4745"/>
    <w:rsid w:val="007C4BDA"/>
    <w:rsid w:val="007C593C"/>
    <w:rsid w:val="007D53BC"/>
    <w:rsid w:val="007E2441"/>
    <w:rsid w:val="007E3BA9"/>
    <w:rsid w:val="007E6082"/>
    <w:rsid w:val="007F10C2"/>
    <w:rsid w:val="007F4CD0"/>
    <w:rsid w:val="0080091F"/>
    <w:rsid w:val="00801637"/>
    <w:rsid w:val="00802704"/>
    <w:rsid w:val="00810BBC"/>
    <w:rsid w:val="008155FB"/>
    <w:rsid w:val="00817A85"/>
    <w:rsid w:val="00823C31"/>
    <w:rsid w:val="00834071"/>
    <w:rsid w:val="00835FE9"/>
    <w:rsid w:val="0084141A"/>
    <w:rsid w:val="0085180D"/>
    <w:rsid w:val="0085260E"/>
    <w:rsid w:val="00853165"/>
    <w:rsid w:val="00854A91"/>
    <w:rsid w:val="0085744C"/>
    <w:rsid w:val="00865AAD"/>
    <w:rsid w:val="00866280"/>
    <w:rsid w:val="0087337B"/>
    <w:rsid w:val="00875CE9"/>
    <w:rsid w:val="008777A0"/>
    <w:rsid w:val="00880904"/>
    <w:rsid w:val="008822C7"/>
    <w:rsid w:val="008858B7"/>
    <w:rsid w:val="00887F20"/>
    <w:rsid w:val="008904BA"/>
    <w:rsid w:val="00896087"/>
    <w:rsid w:val="008A1088"/>
    <w:rsid w:val="008A55FD"/>
    <w:rsid w:val="008A5894"/>
    <w:rsid w:val="008A7848"/>
    <w:rsid w:val="008A7FFC"/>
    <w:rsid w:val="008B0315"/>
    <w:rsid w:val="008B15F2"/>
    <w:rsid w:val="008B285F"/>
    <w:rsid w:val="008D2CCD"/>
    <w:rsid w:val="008E277A"/>
    <w:rsid w:val="008E5F34"/>
    <w:rsid w:val="008F02E7"/>
    <w:rsid w:val="008F3C1B"/>
    <w:rsid w:val="008F47D7"/>
    <w:rsid w:val="008F514D"/>
    <w:rsid w:val="0090249A"/>
    <w:rsid w:val="0090287B"/>
    <w:rsid w:val="0090458D"/>
    <w:rsid w:val="00906270"/>
    <w:rsid w:val="00906F10"/>
    <w:rsid w:val="00910FFD"/>
    <w:rsid w:val="009118C3"/>
    <w:rsid w:val="00911F41"/>
    <w:rsid w:val="00914B11"/>
    <w:rsid w:val="00917BD0"/>
    <w:rsid w:val="00917E9E"/>
    <w:rsid w:val="00920834"/>
    <w:rsid w:val="00922213"/>
    <w:rsid w:val="009344E2"/>
    <w:rsid w:val="0094061C"/>
    <w:rsid w:val="0094509E"/>
    <w:rsid w:val="0094532D"/>
    <w:rsid w:val="00945787"/>
    <w:rsid w:val="00952FCB"/>
    <w:rsid w:val="00957272"/>
    <w:rsid w:val="00962ED1"/>
    <w:rsid w:val="009641AD"/>
    <w:rsid w:val="00965B7A"/>
    <w:rsid w:val="00974205"/>
    <w:rsid w:val="00976F4A"/>
    <w:rsid w:val="00977F45"/>
    <w:rsid w:val="00986A8C"/>
    <w:rsid w:val="009A15E9"/>
    <w:rsid w:val="009A1F76"/>
    <w:rsid w:val="009A207F"/>
    <w:rsid w:val="009A42E2"/>
    <w:rsid w:val="009B11C5"/>
    <w:rsid w:val="009B3550"/>
    <w:rsid w:val="009C0F50"/>
    <w:rsid w:val="009C47DE"/>
    <w:rsid w:val="009C725A"/>
    <w:rsid w:val="009D16FE"/>
    <w:rsid w:val="009D4489"/>
    <w:rsid w:val="009D7048"/>
    <w:rsid w:val="009D7D92"/>
    <w:rsid w:val="009E65AD"/>
    <w:rsid w:val="009F6AA1"/>
    <w:rsid w:val="00A01B63"/>
    <w:rsid w:val="00A03319"/>
    <w:rsid w:val="00A07340"/>
    <w:rsid w:val="00A10889"/>
    <w:rsid w:val="00A11E03"/>
    <w:rsid w:val="00A127C9"/>
    <w:rsid w:val="00A20ABB"/>
    <w:rsid w:val="00A23B58"/>
    <w:rsid w:val="00A25053"/>
    <w:rsid w:val="00A27020"/>
    <w:rsid w:val="00A354B3"/>
    <w:rsid w:val="00A37936"/>
    <w:rsid w:val="00A400B5"/>
    <w:rsid w:val="00A4065B"/>
    <w:rsid w:val="00A43293"/>
    <w:rsid w:val="00A43ECE"/>
    <w:rsid w:val="00A45600"/>
    <w:rsid w:val="00A46F4F"/>
    <w:rsid w:val="00A6211C"/>
    <w:rsid w:val="00A64BEA"/>
    <w:rsid w:val="00A6546D"/>
    <w:rsid w:val="00A709E6"/>
    <w:rsid w:val="00A7330D"/>
    <w:rsid w:val="00A81E93"/>
    <w:rsid w:val="00A86EC6"/>
    <w:rsid w:val="00A8700F"/>
    <w:rsid w:val="00A91017"/>
    <w:rsid w:val="00A91C95"/>
    <w:rsid w:val="00A9340F"/>
    <w:rsid w:val="00A96998"/>
    <w:rsid w:val="00A96F00"/>
    <w:rsid w:val="00AA1F29"/>
    <w:rsid w:val="00AA2AA0"/>
    <w:rsid w:val="00AA3026"/>
    <w:rsid w:val="00AA4423"/>
    <w:rsid w:val="00AA754B"/>
    <w:rsid w:val="00AC45D5"/>
    <w:rsid w:val="00AC71D1"/>
    <w:rsid w:val="00AD3D5F"/>
    <w:rsid w:val="00AD45EE"/>
    <w:rsid w:val="00AD61FC"/>
    <w:rsid w:val="00AD6737"/>
    <w:rsid w:val="00AD7DC1"/>
    <w:rsid w:val="00AE7C9B"/>
    <w:rsid w:val="00AE7E35"/>
    <w:rsid w:val="00AF050D"/>
    <w:rsid w:val="00AF61D2"/>
    <w:rsid w:val="00B01B76"/>
    <w:rsid w:val="00B03F27"/>
    <w:rsid w:val="00B05B0E"/>
    <w:rsid w:val="00B05E17"/>
    <w:rsid w:val="00B1025F"/>
    <w:rsid w:val="00B1034E"/>
    <w:rsid w:val="00B11AA1"/>
    <w:rsid w:val="00B13164"/>
    <w:rsid w:val="00B165C4"/>
    <w:rsid w:val="00B171D6"/>
    <w:rsid w:val="00B25A61"/>
    <w:rsid w:val="00B27457"/>
    <w:rsid w:val="00B30D6C"/>
    <w:rsid w:val="00B33E3D"/>
    <w:rsid w:val="00B37467"/>
    <w:rsid w:val="00B45E4E"/>
    <w:rsid w:val="00B45E64"/>
    <w:rsid w:val="00B47D3B"/>
    <w:rsid w:val="00B47E98"/>
    <w:rsid w:val="00B51E4D"/>
    <w:rsid w:val="00B55234"/>
    <w:rsid w:val="00B64A40"/>
    <w:rsid w:val="00B66A19"/>
    <w:rsid w:val="00B75F30"/>
    <w:rsid w:val="00B777CD"/>
    <w:rsid w:val="00B80215"/>
    <w:rsid w:val="00B806F6"/>
    <w:rsid w:val="00B83325"/>
    <w:rsid w:val="00B85525"/>
    <w:rsid w:val="00BA4775"/>
    <w:rsid w:val="00BA6EA6"/>
    <w:rsid w:val="00BA7BE7"/>
    <w:rsid w:val="00BB4F09"/>
    <w:rsid w:val="00BB56A1"/>
    <w:rsid w:val="00BB6A3F"/>
    <w:rsid w:val="00BC59C7"/>
    <w:rsid w:val="00BE6D61"/>
    <w:rsid w:val="00BE7E5E"/>
    <w:rsid w:val="00BF1513"/>
    <w:rsid w:val="00BF23DA"/>
    <w:rsid w:val="00BF28D0"/>
    <w:rsid w:val="00C0166F"/>
    <w:rsid w:val="00C0416F"/>
    <w:rsid w:val="00C04980"/>
    <w:rsid w:val="00C073F2"/>
    <w:rsid w:val="00C16C3A"/>
    <w:rsid w:val="00C3041C"/>
    <w:rsid w:val="00C320CE"/>
    <w:rsid w:val="00C37411"/>
    <w:rsid w:val="00C46A0A"/>
    <w:rsid w:val="00C47799"/>
    <w:rsid w:val="00C532FC"/>
    <w:rsid w:val="00C56B59"/>
    <w:rsid w:val="00C56E71"/>
    <w:rsid w:val="00C60A17"/>
    <w:rsid w:val="00C63619"/>
    <w:rsid w:val="00C6396F"/>
    <w:rsid w:val="00C70E6F"/>
    <w:rsid w:val="00C718C8"/>
    <w:rsid w:val="00C71DE7"/>
    <w:rsid w:val="00C746D4"/>
    <w:rsid w:val="00C74BF7"/>
    <w:rsid w:val="00C76F70"/>
    <w:rsid w:val="00C76F72"/>
    <w:rsid w:val="00C811A9"/>
    <w:rsid w:val="00C81328"/>
    <w:rsid w:val="00C81733"/>
    <w:rsid w:val="00C840FC"/>
    <w:rsid w:val="00C84961"/>
    <w:rsid w:val="00C85991"/>
    <w:rsid w:val="00C859E9"/>
    <w:rsid w:val="00C91705"/>
    <w:rsid w:val="00C92B4C"/>
    <w:rsid w:val="00C95D54"/>
    <w:rsid w:val="00CA00AA"/>
    <w:rsid w:val="00CA41D5"/>
    <w:rsid w:val="00CB2867"/>
    <w:rsid w:val="00CB7041"/>
    <w:rsid w:val="00CC09B5"/>
    <w:rsid w:val="00CC181D"/>
    <w:rsid w:val="00CC2D85"/>
    <w:rsid w:val="00CC56DF"/>
    <w:rsid w:val="00CD2A01"/>
    <w:rsid w:val="00CD2A68"/>
    <w:rsid w:val="00CD4B6C"/>
    <w:rsid w:val="00CE28E9"/>
    <w:rsid w:val="00CE367E"/>
    <w:rsid w:val="00CE3C02"/>
    <w:rsid w:val="00CE4CB2"/>
    <w:rsid w:val="00CE7228"/>
    <w:rsid w:val="00CE7EFD"/>
    <w:rsid w:val="00CF4950"/>
    <w:rsid w:val="00CF4E7D"/>
    <w:rsid w:val="00D014F7"/>
    <w:rsid w:val="00D03312"/>
    <w:rsid w:val="00D04382"/>
    <w:rsid w:val="00D0600B"/>
    <w:rsid w:val="00D11146"/>
    <w:rsid w:val="00D16022"/>
    <w:rsid w:val="00D16827"/>
    <w:rsid w:val="00D174A4"/>
    <w:rsid w:val="00D2052E"/>
    <w:rsid w:val="00D2151C"/>
    <w:rsid w:val="00D22496"/>
    <w:rsid w:val="00D250D5"/>
    <w:rsid w:val="00D25D32"/>
    <w:rsid w:val="00D30D2A"/>
    <w:rsid w:val="00D324EF"/>
    <w:rsid w:val="00D357F7"/>
    <w:rsid w:val="00D37727"/>
    <w:rsid w:val="00D403B5"/>
    <w:rsid w:val="00D43B95"/>
    <w:rsid w:val="00D44735"/>
    <w:rsid w:val="00D44FCF"/>
    <w:rsid w:val="00D50BB7"/>
    <w:rsid w:val="00D528B0"/>
    <w:rsid w:val="00D53C16"/>
    <w:rsid w:val="00D54C9F"/>
    <w:rsid w:val="00D74FC8"/>
    <w:rsid w:val="00D84A1B"/>
    <w:rsid w:val="00D91B25"/>
    <w:rsid w:val="00D92503"/>
    <w:rsid w:val="00D9305F"/>
    <w:rsid w:val="00D955BD"/>
    <w:rsid w:val="00DA0514"/>
    <w:rsid w:val="00DA161B"/>
    <w:rsid w:val="00DA1EDD"/>
    <w:rsid w:val="00DA383E"/>
    <w:rsid w:val="00DA4302"/>
    <w:rsid w:val="00DA478E"/>
    <w:rsid w:val="00DB1AD1"/>
    <w:rsid w:val="00DB6B15"/>
    <w:rsid w:val="00DC418B"/>
    <w:rsid w:val="00DC6BBE"/>
    <w:rsid w:val="00DD41B4"/>
    <w:rsid w:val="00DD6373"/>
    <w:rsid w:val="00DD79CD"/>
    <w:rsid w:val="00DE4D68"/>
    <w:rsid w:val="00DF0D1D"/>
    <w:rsid w:val="00E007F4"/>
    <w:rsid w:val="00E00BF4"/>
    <w:rsid w:val="00E059C0"/>
    <w:rsid w:val="00E105E5"/>
    <w:rsid w:val="00E21A1F"/>
    <w:rsid w:val="00E24338"/>
    <w:rsid w:val="00E2545F"/>
    <w:rsid w:val="00E2764B"/>
    <w:rsid w:val="00E32691"/>
    <w:rsid w:val="00E34D31"/>
    <w:rsid w:val="00E371FC"/>
    <w:rsid w:val="00E421AE"/>
    <w:rsid w:val="00E430AA"/>
    <w:rsid w:val="00E4342B"/>
    <w:rsid w:val="00E443BD"/>
    <w:rsid w:val="00E50756"/>
    <w:rsid w:val="00E57F18"/>
    <w:rsid w:val="00E6091D"/>
    <w:rsid w:val="00E60B70"/>
    <w:rsid w:val="00E62B96"/>
    <w:rsid w:val="00E7074F"/>
    <w:rsid w:val="00E70764"/>
    <w:rsid w:val="00E74246"/>
    <w:rsid w:val="00E751F4"/>
    <w:rsid w:val="00E76A6E"/>
    <w:rsid w:val="00E773D2"/>
    <w:rsid w:val="00E825E2"/>
    <w:rsid w:val="00E8689D"/>
    <w:rsid w:val="00E86BF8"/>
    <w:rsid w:val="00E9637A"/>
    <w:rsid w:val="00EA2922"/>
    <w:rsid w:val="00EA2F86"/>
    <w:rsid w:val="00EA3EDA"/>
    <w:rsid w:val="00EA7991"/>
    <w:rsid w:val="00EB0A20"/>
    <w:rsid w:val="00EB47B1"/>
    <w:rsid w:val="00EB6E97"/>
    <w:rsid w:val="00EC1585"/>
    <w:rsid w:val="00EC19B1"/>
    <w:rsid w:val="00EC7238"/>
    <w:rsid w:val="00EC78B0"/>
    <w:rsid w:val="00EC7A40"/>
    <w:rsid w:val="00ED0106"/>
    <w:rsid w:val="00ED0EE7"/>
    <w:rsid w:val="00ED65AD"/>
    <w:rsid w:val="00EE4CA3"/>
    <w:rsid w:val="00EE5F7D"/>
    <w:rsid w:val="00EE6312"/>
    <w:rsid w:val="00EE7E45"/>
    <w:rsid w:val="00EF2275"/>
    <w:rsid w:val="00EF3542"/>
    <w:rsid w:val="00EF4107"/>
    <w:rsid w:val="00EF5729"/>
    <w:rsid w:val="00EF778E"/>
    <w:rsid w:val="00F02B73"/>
    <w:rsid w:val="00F037B8"/>
    <w:rsid w:val="00F0561A"/>
    <w:rsid w:val="00F155CA"/>
    <w:rsid w:val="00F27A46"/>
    <w:rsid w:val="00F27E2F"/>
    <w:rsid w:val="00F31B88"/>
    <w:rsid w:val="00F3554E"/>
    <w:rsid w:val="00F363D6"/>
    <w:rsid w:val="00F406C8"/>
    <w:rsid w:val="00F42F2B"/>
    <w:rsid w:val="00F4334A"/>
    <w:rsid w:val="00F60ED8"/>
    <w:rsid w:val="00F637F5"/>
    <w:rsid w:val="00F65726"/>
    <w:rsid w:val="00F70153"/>
    <w:rsid w:val="00F70649"/>
    <w:rsid w:val="00F74950"/>
    <w:rsid w:val="00F74B9C"/>
    <w:rsid w:val="00F75BAF"/>
    <w:rsid w:val="00F76F3E"/>
    <w:rsid w:val="00F82A2F"/>
    <w:rsid w:val="00F841D1"/>
    <w:rsid w:val="00F91394"/>
    <w:rsid w:val="00F92007"/>
    <w:rsid w:val="00F931A5"/>
    <w:rsid w:val="00F947EC"/>
    <w:rsid w:val="00FA0D30"/>
    <w:rsid w:val="00FA19E4"/>
    <w:rsid w:val="00FA3941"/>
    <w:rsid w:val="00FA670C"/>
    <w:rsid w:val="00FB5A11"/>
    <w:rsid w:val="00FC3BF5"/>
    <w:rsid w:val="00FC5EB1"/>
    <w:rsid w:val="00FC5F86"/>
    <w:rsid w:val="00FD3F7C"/>
    <w:rsid w:val="00FD6DAD"/>
    <w:rsid w:val="00FE029F"/>
    <w:rsid w:val="00FE043A"/>
    <w:rsid w:val="00FE3491"/>
    <w:rsid w:val="00FE54A9"/>
    <w:rsid w:val="00FF1605"/>
    <w:rsid w:val="00FF2217"/>
    <w:rsid w:val="06472EB6"/>
    <w:rsid w:val="0A773392"/>
    <w:rsid w:val="0ADC375E"/>
    <w:rsid w:val="12253D6A"/>
    <w:rsid w:val="1AE6371B"/>
    <w:rsid w:val="1B1B4AA6"/>
    <w:rsid w:val="1D4031D7"/>
    <w:rsid w:val="20FF7332"/>
    <w:rsid w:val="2C1B3C2F"/>
    <w:rsid w:val="314C7DEC"/>
    <w:rsid w:val="340A6274"/>
    <w:rsid w:val="42A13EBC"/>
    <w:rsid w:val="44CF7B2D"/>
    <w:rsid w:val="45EE7030"/>
    <w:rsid w:val="47102CF4"/>
    <w:rsid w:val="4F650BB6"/>
    <w:rsid w:val="59A4399C"/>
    <w:rsid w:val="625E22BE"/>
    <w:rsid w:val="67A23AF2"/>
    <w:rsid w:val="6DBB3483"/>
    <w:rsid w:val="74D9465B"/>
    <w:rsid w:val="7F14492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6"/>
    <w:qFormat/>
    <w:uiPriority w:val="9"/>
    <w:pPr>
      <w:keepNext/>
      <w:keepLines/>
      <w:spacing w:before="340" w:after="330" w:line="578" w:lineRule="auto"/>
      <w:outlineLvl w:val="0"/>
    </w:pPr>
    <w:rPr>
      <w:b/>
      <w:bCs/>
      <w:kern w:val="44"/>
      <w:sz w:val="44"/>
      <w:szCs w:val="44"/>
    </w:rPr>
  </w:style>
  <w:style w:type="paragraph" w:styleId="3">
    <w:name w:val="heading 3"/>
    <w:basedOn w:val="1"/>
    <w:next w:val="1"/>
    <w:link w:val="38"/>
    <w:semiHidden/>
    <w:unhideWhenUsed/>
    <w:qFormat/>
    <w:uiPriority w:val="9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25"/>
    <w:semiHidden/>
    <w:unhideWhenUsed/>
    <w:qFormat/>
    <w:uiPriority w:val="99"/>
    <w:rPr>
      <w:rFonts w:ascii="宋体" w:eastAsia="宋体"/>
      <w:sz w:val="18"/>
      <w:szCs w:val="18"/>
    </w:rPr>
  </w:style>
  <w:style w:type="paragraph" w:styleId="5">
    <w:name w:val="annotation text"/>
    <w:basedOn w:val="1"/>
    <w:link w:val="46"/>
    <w:unhideWhenUsed/>
    <w:qFormat/>
    <w:uiPriority w:val="0"/>
    <w:pPr>
      <w:jc w:val="left"/>
    </w:pPr>
  </w:style>
  <w:style w:type="paragraph" w:styleId="6">
    <w:name w:val="Body Text"/>
    <w:basedOn w:val="1"/>
    <w:link w:val="48"/>
    <w:qFormat/>
    <w:uiPriority w:val="1"/>
    <w:pPr>
      <w:ind w:left="120" w:firstLine="559"/>
      <w:jc w:val="left"/>
    </w:pPr>
    <w:rPr>
      <w:rFonts w:ascii="宋体" w:hAnsi="宋体" w:eastAsia="宋体" w:cs="黑体"/>
      <w:kern w:val="0"/>
      <w:sz w:val="28"/>
      <w:szCs w:val="28"/>
      <w:lang w:eastAsia="en-US"/>
    </w:rPr>
  </w:style>
  <w:style w:type="paragraph" w:styleId="7">
    <w:name w:val="Balloon Text"/>
    <w:basedOn w:val="1"/>
    <w:link w:val="37"/>
    <w:semiHidden/>
    <w:unhideWhenUsed/>
    <w:qFormat/>
    <w:uiPriority w:val="99"/>
    <w:rPr>
      <w:sz w:val="18"/>
      <w:szCs w:val="18"/>
    </w:rPr>
  </w:style>
  <w:style w:type="paragraph" w:styleId="8">
    <w:name w:val="footer"/>
    <w:basedOn w:val="1"/>
    <w:link w:val="22"/>
    <w:unhideWhenUsed/>
    <w:qFormat/>
    <w:uiPriority w:val="99"/>
    <w:pPr>
      <w:tabs>
        <w:tab w:val="center" w:pos="4153"/>
        <w:tab w:val="right" w:pos="8306"/>
      </w:tabs>
      <w:snapToGrid w:val="0"/>
      <w:jc w:val="left"/>
    </w:pPr>
    <w:rPr>
      <w:sz w:val="18"/>
      <w:szCs w:val="18"/>
    </w:rPr>
  </w:style>
  <w:style w:type="paragraph" w:styleId="9">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autoRedefine/>
    <w:unhideWhenUsed/>
    <w:uiPriority w:val="39"/>
  </w:style>
  <w:style w:type="paragraph" w:styleId="11">
    <w:name w:val="toc 2"/>
    <w:basedOn w:val="1"/>
    <w:next w:val="1"/>
    <w:autoRedefine/>
    <w:unhideWhenUsed/>
    <w:qFormat/>
    <w:uiPriority w:val="39"/>
    <w:pPr>
      <w:ind w:left="420" w:leftChars="200"/>
    </w:pPr>
  </w:style>
  <w:style w:type="paragraph" w:styleId="12">
    <w:name w:val="Normal (Web)"/>
    <w:basedOn w:val="1"/>
    <w:semiHidden/>
    <w:unhideWhenUsed/>
    <w:qFormat/>
    <w:uiPriority w:val="99"/>
    <w:rPr>
      <w:sz w:val="24"/>
    </w:rPr>
  </w:style>
  <w:style w:type="paragraph" w:styleId="13">
    <w:name w:val="annotation subject"/>
    <w:basedOn w:val="5"/>
    <w:next w:val="5"/>
    <w:link w:val="47"/>
    <w:semiHidden/>
    <w:unhideWhenUsed/>
    <w:qFormat/>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22"/>
    <w:rPr>
      <w:b/>
    </w:rPr>
  </w:style>
  <w:style w:type="character" w:styleId="18">
    <w:name w:val="Emphasis"/>
    <w:basedOn w:val="16"/>
    <w:qFormat/>
    <w:uiPriority w:val="20"/>
    <w:rPr>
      <w:i/>
      <w:iCs/>
    </w:rPr>
  </w:style>
  <w:style w:type="character" w:styleId="19">
    <w:name w:val="Hyperlink"/>
    <w:basedOn w:val="16"/>
    <w:unhideWhenUsed/>
    <w:qFormat/>
    <w:uiPriority w:val="99"/>
    <w:rPr>
      <w:color w:val="0000FF" w:themeColor="hyperlink"/>
      <w:u w:val="single"/>
      <w14:textFill>
        <w14:solidFill>
          <w14:schemeClr w14:val="hlink"/>
        </w14:solidFill>
      </w14:textFill>
    </w:rPr>
  </w:style>
  <w:style w:type="character" w:styleId="20">
    <w:name w:val="annotation reference"/>
    <w:basedOn w:val="16"/>
    <w:unhideWhenUsed/>
    <w:qFormat/>
    <w:uiPriority w:val="0"/>
    <w:rPr>
      <w:sz w:val="21"/>
      <w:szCs w:val="21"/>
    </w:rPr>
  </w:style>
  <w:style w:type="character" w:customStyle="1" w:styleId="21">
    <w:name w:val="页眉 字符"/>
    <w:basedOn w:val="16"/>
    <w:link w:val="9"/>
    <w:qFormat/>
    <w:uiPriority w:val="99"/>
    <w:rPr>
      <w:sz w:val="18"/>
      <w:szCs w:val="18"/>
    </w:rPr>
  </w:style>
  <w:style w:type="character" w:customStyle="1" w:styleId="22">
    <w:name w:val="页脚 字符"/>
    <w:basedOn w:val="16"/>
    <w:link w:val="8"/>
    <w:qFormat/>
    <w:uiPriority w:val="99"/>
    <w:rPr>
      <w:sz w:val="18"/>
      <w:szCs w:val="18"/>
    </w:rPr>
  </w:style>
  <w:style w:type="paragraph" w:customStyle="1" w:styleId="23">
    <w:name w:val="Char Char Char Char Char Char Char Char Char"/>
    <w:basedOn w:val="1"/>
    <w:autoRedefine/>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24">
    <w:name w:val="目次、标准名称标题"/>
    <w:basedOn w:val="1"/>
    <w:next w:val="1"/>
    <w:qFormat/>
    <w:uiPriority w:val="0"/>
    <w:pPr>
      <w:widowControl/>
      <w:shd w:val="clear" w:color="FFFFFF" w:fill="FFFFFF"/>
      <w:tabs>
        <w:tab w:val="left" w:pos="720"/>
      </w:tabs>
      <w:spacing w:before="640" w:after="560" w:line="460" w:lineRule="exact"/>
      <w:ind w:left="720" w:hanging="720"/>
      <w:jc w:val="center"/>
      <w:outlineLvl w:val="0"/>
    </w:pPr>
    <w:rPr>
      <w:rFonts w:ascii="黑体" w:hAnsi="Times New Roman" w:eastAsia="黑体" w:cs="Times New Roman"/>
      <w:kern w:val="0"/>
      <w:sz w:val="32"/>
      <w:szCs w:val="20"/>
    </w:rPr>
  </w:style>
  <w:style w:type="character" w:customStyle="1" w:styleId="25">
    <w:name w:val="文档结构图 字符"/>
    <w:basedOn w:val="16"/>
    <w:link w:val="4"/>
    <w:semiHidden/>
    <w:qFormat/>
    <w:uiPriority w:val="99"/>
    <w:rPr>
      <w:rFonts w:ascii="宋体" w:eastAsia="宋体"/>
      <w:sz w:val="18"/>
      <w:szCs w:val="18"/>
    </w:rPr>
  </w:style>
  <w:style w:type="paragraph" w:styleId="26">
    <w:name w:val="List Paragraph"/>
    <w:basedOn w:val="1"/>
    <w:qFormat/>
    <w:uiPriority w:val="34"/>
    <w:pPr>
      <w:ind w:firstLine="420" w:firstLineChars="200"/>
    </w:pPr>
  </w:style>
  <w:style w:type="character" w:customStyle="1" w:styleId="27">
    <w:name w:val="copied"/>
    <w:basedOn w:val="16"/>
    <w:qFormat/>
    <w:uiPriority w:val="0"/>
  </w:style>
  <w:style w:type="paragraph" w:customStyle="1" w:styleId="28">
    <w:name w:val="段"/>
    <w:link w:val="29"/>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9">
    <w:name w:val="段 Char"/>
    <w:link w:val="28"/>
    <w:qFormat/>
    <w:uiPriority w:val="0"/>
    <w:rPr>
      <w:rFonts w:ascii="宋体" w:hAnsi="Times New Roman" w:eastAsia="宋体" w:cs="Times New Roman"/>
      <w:kern w:val="0"/>
      <w:szCs w:val="20"/>
    </w:rPr>
  </w:style>
  <w:style w:type="paragraph" w:customStyle="1" w:styleId="30">
    <w:name w:val="1级标题"/>
    <w:basedOn w:val="2"/>
    <w:next w:val="31"/>
    <w:link w:val="32"/>
    <w:qFormat/>
    <w:uiPriority w:val="0"/>
    <w:pPr>
      <w:keepNext w:val="0"/>
      <w:keepLines w:val="0"/>
      <w:numPr>
        <w:ilvl w:val="0"/>
        <w:numId w:val="1"/>
      </w:numPr>
      <w:tabs>
        <w:tab w:val="left" w:pos="240"/>
      </w:tabs>
      <w:adjustRightInd w:val="0"/>
      <w:snapToGrid w:val="0"/>
      <w:spacing w:before="260" w:after="260" w:line="240" w:lineRule="auto"/>
      <w:jc w:val="left"/>
    </w:pPr>
    <w:rPr>
      <w:rFonts w:ascii="Times New Roman" w:hAnsi="Times New Roman" w:eastAsia="黑体" w:cs="Times New Roman"/>
      <w:b w:val="0"/>
      <w:bCs w:val="0"/>
      <w:snapToGrid w:val="0"/>
      <w:sz w:val="24"/>
      <w:szCs w:val="24"/>
    </w:rPr>
  </w:style>
  <w:style w:type="paragraph" w:customStyle="1" w:styleId="31">
    <w:name w:val="报告正文"/>
    <w:link w:val="35"/>
    <w:qFormat/>
    <w:uiPriority w:val="0"/>
    <w:pPr>
      <w:adjustRightInd w:val="0"/>
      <w:snapToGrid w:val="0"/>
      <w:spacing w:line="360" w:lineRule="auto"/>
      <w:ind w:firstLine="480" w:firstLineChars="200"/>
    </w:pPr>
    <w:rPr>
      <w:rFonts w:ascii="Times New Roman" w:hAnsi="宋体" w:eastAsia="宋体" w:cs="宋体"/>
      <w:bCs/>
      <w:snapToGrid w:val="0"/>
      <w:sz w:val="24"/>
      <w:szCs w:val="24"/>
      <w:lang w:val="en-US" w:eastAsia="zh-CN" w:bidi="ar-SA"/>
    </w:rPr>
  </w:style>
  <w:style w:type="character" w:customStyle="1" w:styleId="32">
    <w:name w:val="1级标题 Char"/>
    <w:link w:val="30"/>
    <w:qFormat/>
    <w:uiPriority w:val="0"/>
    <w:rPr>
      <w:rFonts w:ascii="Times New Roman" w:hAnsi="Times New Roman" w:eastAsia="黑体" w:cs="Times New Roman"/>
      <w:snapToGrid w:val="0"/>
      <w:kern w:val="44"/>
      <w:sz w:val="24"/>
      <w:szCs w:val="24"/>
    </w:rPr>
  </w:style>
  <w:style w:type="paragraph" w:customStyle="1" w:styleId="33">
    <w:name w:val="2级标题"/>
    <w:basedOn w:val="2"/>
    <w:next w:val="31"/>
    <w:link w:val="34"/>
    <w:qFormat/>
    <w:uiPriority w:val="0"/>
    <w:pPr>
      <w:keepNext w:val="0"/>
      <w:keepLines w:val="0"/>
      <w:numPr>
        <w:ilvl w:val="1"/>
        <w:numId w:val="1"/>
      </w:numPr>
      <w:tabs>
        <w:tab w:val="left" w:pos="240"/>
      </w:tabs>
      <w:adjustRightInd w:val="0"/>
      <w:snapToGrid w:val="0"/>
      <w:spacing w:before="260" w:after="260" w:line="240" w:lineRule="auto"/>
      <w:jc w:val="left"/>
      <w:outlineLvl w:val="1"/>
    </w:pPr>
    <w:rPr>
      <w:rFonts w:ascii="Times New Roman" w:hAnsi="Times New Roman" w:eastAsia="黑体" w:cs="Times New Roman"/>
      <w:b w:val="0"/>
      <w:bCs w:val="0"/>
      <w:snapToGrid w:val="0"/>
      <w:sz w:val="24"/>
      <w:szCs w:val="24"/>
    </w:rPr>
  </w:style>
  <w:style w:type="character" w:customStyle="1" w:styleId="34">
    <w:name w:val="2级标题 Char"/>
    <w:link w:val="33"/>
    <w:qFormat/>
    <w:uiPriority w:val="0"/>
    <w:rPr>
      <w:rFonts w:ascii="Times New Roman" w:hAnsi="Times New Roman" w:eastAsia="黑体" w:cs="Times New Roman"/>
      <w:snapToGrid w:val="0"/>
      <w:kern w:val="44"/>
      <w:sz w:val="24"/>
      <w:szCs w:val="24"/>
    </w:rPr>
  </w:style>
  <w:style w:type="character" w:customStyle="1" w:styleId="35">
    <w:name w:val="报告正文 Char"/>
    <w:link w:val="31"/>
    <w:qFormat/>
    <w:uiPriority w:val="0"/>
    <w:rPr>
      <w:rFonts w:ascii="Times New Roman" w:hAnsi="宋体" w:eastAsia="宋体" w:cs="宋体"/>
      <w:bCs/>
      <w:snapToGrid w:val="0"/>
      <w:kern w:val="0"/>
      <w:sz w:val="24"/>
      <w:szCs w:val="24"/>
    </w:rPr>
  </w:style>
  <w:style w:type="character" w:customStyle="1" w:styleId="36">
    <w:name w:val="标题 1 字符"/>
    <w:basedOn w:val="16"/>
    <w:link w:val="2"/>
    <w:qFormat/>
    <w:uiPriority w:val="9"/>
    <w:rPr>
      <w:b/>
      <w:bCs/>
      <w:kern w:val="44"/>
      <w:sz w:val="44"/>
      <w:szCs w:val="44"/>
    </w:rPr>
  </w:style>
  <w:style w:type="character" w:customStyle="1" w:styleId="37">
    <w:name w:val="批注框文本 字符"/>
    <w:basedOn w:val="16"/>
    <w:link w:val="7"/>
    <w:semiHidden/>
    <w:qFormat/>
    <w:uiPriority w:val="99"/>
    <w:rPr>
      <w:sz w:val="18"/>
      <w:szCs w:val="18"/>
    </w:rPr>
  </w:style>
  <w:style w:type="character" w:customStyle="1" w:styleId="38">
    <w:name w:val="标题 3 字符"/>
    <w:basedOn w:val="16"/>
    <w:link w:val="3"/>
    <w:qFormat/>
    <w:uiPriority w:val="99"/>
    <w:rPr>
      <w:b/>
      <w:bCs/>
      <w:kern w:val="2"/>
      <w:sz w:val="32"/>
      <w:szCs w:val="32"/>
    </w:rPr>
  </w:style>
  <w:style w:type="paragraph" w:customStyle="1" w:styleId="39">
    <w:name w:val="一级条标题"/>
    <w:next w:val="28"/>
    <w:qFormat/>
    <w:uiPriority w:val="0"/>
    <w:pPr>
      <w:numPr>
        <w:ilvl w:val="0"/>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40">
    <w:name w:val="标准书脚_奇数页"/>
    <w:qFormat/>
    <w:uiPriority w:val="99"/>
    <w:pPr>
      <w:numPr>
        <w:ilvl w:val="2"/>
        <w:numId w:val="2"/>
      </w:numPr>
      <w:spacing w:before="120"/>
      <w:ind w:left="0" w:right="198"/>
      <w:jc w:val="right"/>
    </w:pPr>
    <w:rPr>
      <w:rFonts w:ascii="宋体" w:hAnsi="Times New Roman" w:eastAsia="宋体" w:cs="Times New Roman"/>
      <w:sz w:val="18"/>
      <w:szCs w:val="18"/>
      <w:lang w:val="en-US" w:eastAsia="zh-CN" w:bidi="ar-SA"/>
    </w:rPr>
  </w:style>
  <w:style w:type="paragraph" w:customStyle="1" w:styleId="41">
    <w:name w:val="章标题"/>
    <w:next w:val="28"/>
    <w:qFormat/>
    <w:uiPriority w:val="0"/>
    <w:pPr>
      <w:tabs>
        <w:tab w:val="left" w:pos="720"/>
      </w:tabs>
      <w:spacing w:beforeLines="100" w:afterLines="100"/>
      <w:ind w:left="720" w:hanging="720"/>
      <w:jc w:val="both"/>
      <w:outlineLvl w:val="1"/>
    </w:pPr>
    <w:rPr>
      <w:rFonts w:ascii="黑体" w:hAnsi="Times New Roman" w:eastAsia="黑体" w:cs="Times New Roman"/>
      <w:sz w:val="21"/>
      <w:lang w:val="en-US" w:eastAsia="zh-CN" w:bidi="ar-SA"/>
    </w:rPr>
  </w:style>
  <w:style w:type="paragraph" w:customStyle="1" w:styleId="42">
    <w:name w:val="三级条标题"/>
    <w:basedOn w:val="1"/>
    <w:next w:val="28"/>
    <w:qFormat/>
    <w:uiPriority w:val="0"/>
    <w:pPr>
      <w:widowControl/>
      <w:numPr>
        <w:ilvl w:val="4"/>
        <w:numId w:val="2"/>
      </w:numPr>
      <w:spacing w:beforeLines="50" w:afterLines="50"/>
      <w:jc w:val="left"/>
      <w:outlineLvl w:val="4"/>
    </w:pPr>
    <w:rPr>
      <w:rFonts w:ascii="黑体" w:hAnsi="Times New Roman" w:eastAsia="黑体" w:cs="Times New Roman"/>
      <w:kern w:val="0"/>
      <w:szCs w:val="21"/>
    </w:rPr>
  </w:style>
  <w:style w:type="paragraph" w:customStyle="1" w:styleId="43">
    <w:name w:val="示例"/>
    <w:next w:val="1"/>
    <w:qFormat/>
    <w:uiPriority w:val="0"/>
    <w:pPr>
      <w:widowControl w:val="0"/>
      <w:numPr>
        <w:ilvl w:val="5"/>
        <w:numId w:val="2"/>
      </w:numPr>
      <w:ind w:firstLine="363"/>
      <w:jc w:val="both"/>
    </w:pPr>
    <w:rPr>
      <w:rFonts w:ascii="宋体" w:hAnsi="Times New Roman" w:eastAsia="宋体" w:cs="Times New Roman"/>
      <w:sz w:val="18"/>
      <w:szCs w:val="18"/>
      <w:lang w:val="en-US" w:eastAsia="zh-CN" w:bidi="ar-SA"/>
    </w:rPr>
  </w:style>
  <w:style w:type="character" w:customStyle="1" w:styleId="44">
    <w:name w:val="标题 3 Char1"/>
    <w:basedOn w:val="16"/>
    <w:semiHidden/>
    <w:qFormat/>
    <w:uiPriority w:val="9"/>
    <w:rPr>
      <w:b/>
      <w:bCs/>
      <w:sz w:val="32"/>
      <w:szCs w:val="32"/>
    </w:rPr>
  </w:style>
  <w:style w:type="paragraph" w:customStyle="1" w:styleId="45">
    <w:name w:val="字母编号列项（一级）"/>
    <w:qFormat/>
    <w:uiPriority w:val="0"/>
    <w:pPr>
      <w:numPr>
        <w:ilvl w:val="0"/>
        <w:numId w:val="3"/>
      </w:numPr>
      <w:jc w:val="both"/>
    </w:pPr>
    <w:rPr>
      <w:rFonts w:ascii="宋体" w:hAnsi="Times New Roman" w:eastAsia="宋体" w:cs="Times New Roman"/>
      <w:sz w:val="21"/>
      <w:lang w:val="en-US" w:eastAsia="zh-CN" w:bidi="ar-SA"/>
    </w:rPr>
  </w:style>
  <w:style w:type="character" w:customStyle="1" w:styleId="46">
    <w:name w:val="批注文字 字符"/>
    <w:basedOn w:val="16"/>
    <w:link w:val="5"/>
    <w:qFormat/>
    <w:uiPriority w:val="0"/>
  </w:style>
  <w:style w:type="character" w:customStyle="1" w:styleId="47">
    <w:name w:val="批注主题 字符"/>
    <w:basedOn w:val="46"/>
    <w:link w:val="13"/>
    <w:semiHidden/>
    <w:qFormat/>
    <w:uiPriority w:val="99"/>
    <w:rPr>
      <w:b/>
      <w:bCs/>
    </w:rPr>
  </w:style>
  <w:style w:type="character" w:customStyle="1" w:styleId="48">
    <w:name w:val="正文文本 字符"/>
    <w:basedOn w:val="16"/>
    <w:link w:val="6"/>
    <w:qFormat/>
    <w:uiPriority w:val="1"/>
    <w:rPr>
      <w:rFonts w:ascii="宋体" w:hAnsi="宋体" w:eastAsia="宋体" w:cs="黑体"/>
      <w:kern w:val="0"/>
      <w:sz w:val="28"/>
      <w:szCs w:val="28"/>
      <w:lang w:eastAsia="en-US"/>
    </w:rPr>
  </w:style>
  <w:style w:type="character" w:customStyle="1" w:styleId="49">
    <w:name w:val="批注文字 Char"/>
    <w:qFormat/>
    <w:uiPriority w:val="0"/>
    <w:rPr>
      <w:kern w:val="2"/>
      <w:sz w:val="21"/>
      <w:szCs w:val="24"/>
    </w:rPr>
  </w:style>
  <w:style w:type="paragraph" w:customStyle="1" w:styleId="50">
    <w:name w:val="二级条标题"/>
    <w:basedOn w:val="39"/>
    <w:next w:val="28"/>
    <w:qFormat/>
    <w:uiPriority w:val="0"/>
    <w:pPr>
      <w:numPr>
        <w:numId w:val="0"/>
      </w:numPr>
      <w:spacing w:before="50" w:after="50"/>
      <w:outlineLvl w:val="3"/>
    </w:pPr>
  </w:style>
  <w:style w:type="paragraph" w:customStyle="1" w:styleId="51">
    <w:name w:val="二级无"/>
    <w:basedOn w:val="50"/>
    <w:qFormat/>
    <w:uiPriority w:val="0"/>
    <w:pPr>
      <w:spacing w:beforeLines="0" w:afterLines="0"/>
    </w:pPr>
    <w:rPr>
      <w:rFonts w:ascii="宋体" w:eastAsia="宋体"/>
    </w:rPr>
  </w:style>
  <w:style w:type="paragraph" w:customStyle="1" w:styleId="52">
    <w:name w:val="标准文件_二级条标题"/>
    <w:next w:val="53"/>
    <w:qFormat/>
    <w:uiPriority w:val="0"/>
    <w:pPr>
      <w:widowControl w:val="0"/>
      <w:spacing w:beforeLines="50" w:afterLines="50"/>
      <w:jc w:val="both"/>
      <w:outlineLvl w:val="2"/>
    </w:pPr>
    <w:rPr>
      <w:rFonts w:ascii="黑体" w:hAnsi="Times New Roman" w:eastAsia="黑体" w:cs="Times New Roman"/>
      <w:sz w:val="21"/>
      <w:lang w:val="en-US" w:eastAsia="zh-CN" w:bidi="ar-SA"/>
    </w:rPr>
  </w:style>
  <w:style w:type="paragraph" w:customStyle="1" w:styleId="5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4">
    <w:name w:val="标准文件_三级条标题"/>
    <w:basedOn w:val="52"/>
    <w:next w:val="53"/>
    <w:qFormat/>
    <w:uiPriority w:val="0"/>
    <w:pPr>
      <w:widowControl/>
      <w:outlineLvl w:val="3"/>
    </w:pPr>
  </w:style>
  <w:style w:type="paragraph" w:customStyle="1" w:styleId="55">
    <w:name w:val="标准文件_四级条标题"/>
    <w:next w:val="1"/>
    <w:qFormat/>
    <w:uiPriority w:val="0"/>
    <w:pPr>
      <w:widowControl w:val="0"/>
      <w:spacing w:beforeLines="50" w:afterLines="50"/>
      <w:jc w:val="both"/>
      <w:outlineLvl w:val="4"/>
    </w:pPr>
    <w:rPr>
      <w:rFonts w:ascii="黑体" w:hAnsi="Times New Roman" w:eastAsia="黑体" w:cs="Times New Roman"/>
      <w:sz w:val="21"/>
      <w:lang w:val="en-US" w:eastAsia="zh-CN" w:bidi="ar-SA"/>
    </w:rPr>
  </w:style>
  <w:style w:type="paragraph" w:customStyle="1" w:styleId="56">
    <w:name w:val="标准文件_五级条标题"/>
    <w:next w:val="1"/>
    <w:qFormat/>
    <w:uiPriority w:val="0"/>
    <w:pPr>
      <w:widowControl w:val="0"/>
      <w:spacing w:beforeLines="50" w:afterLines="50"/>
      <w:jc w:val="both"/>
      <w:outlineLvl w:val="5"/>
    </w:pPr>
    <w:rPr>
      <w:rFonts w:ascii="黑体" w:hAnsi="Times New Roman" w:eastAsia="黑体" w:cs="Times New Roman"/>
      <w:sz w:val="21"/>
      <w:lang w:val="en-US" w:eastAsia="zh-CN" w:bidi="ar-SA"/>
    </w:rPr>
  </w:style>
  <w:style w:type="paragraph" w:customStyle="1" w:styleId="57">
    <w:name w:val="标准文件_章标题"/>
    <w:next w:val="53"/>
    <w:qFormat/>
    <w:uiPriority w:val="0"/>
    <w:pPr>
      <w:spacing w:beforeLines="100" w:afterLines="100"/>
      <w:jc w:val="both"/>
      <w:outlineLvl w:val="0"/>
    </w:pPr>
    <w:rPr>
      <w:rFonts w:ascii="黑体" w:hAnsi="Times New Roman" w:eastAsia="黑体" w:cs="Times New Roman"/>
      <w:sz w:val="21"/>
      <w:lang w:val="en-US" w:eastAsia="zh-CN" w:bidi="ar-SA"/>
    </w:rPr>
  </w:style>
  <w:style w:type="paragraph" w:customStyle="1" w:styleId="58">
    <w:name w:val="标准文件_一级条标题"/>
    <w:basedOn w:val="57"/>
    <w:next w:val="53"/>
    <w:qFormat/>
    <w:uiPriority w:val="0"/>
    <w:pPr>
      <w:spacing w:beforeLines="50" w:afterLines="50"/>
      <w:outlineLvl w:val="1"/>
    </w:pPr>
  </w:style>
  <w:style w:type="paragraph" w:customStyle="1" w:styleId="59">
    <w:name w:val="前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60">
    <w:name w:val="标准文件_二级无标题"/>
    <w:basedOn w:val="52"/>
    <w:qFormat/>
    <w:uiPriority w:val="0"/>
    <w:pPr>
      <w:spacing w:beforeLines="0" w:afterLines="0"/>
      <w:outlineLvl w:val="9"/>
    </w:pPr>
    <w:rPr>
      <w:rFonts w:ascii="宋体" w:eastAsia="宋体"/>
    </w:rPr>
  </w:style>
</w:style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da9498d-d3b3-4032-9ba0-db52d2383929}"/>
        <w:style w:val=""/>
        <w:category>
          <w:name w:val="常规"/>
          <w:gallery w:val="placeholder"/>
        </w:category>
        <w:types>
          <w:type w:val="bbPlcHdr"/>
        </w:types>
        <w:behaviors>
          <w:behavior w:val="content"/>
        </w:behaviors>
        <w:description w:val=""/>
        <w:guid w:val="{3da9498d-d3b3-4032-9ba0-db52d2383929}"/>
      </w:docPartPr>
      <w:docPartBody>
        <w:p w14:paraId="664B216A">
          <w:pPr>
            <w:pStyle w:val="2"/>
            <w:rPr>
              <w:rFonts w:hint="eastAsia"/>
            </w:rPr>
          </w:pPr>
          <w:r>
            <w:rPr>
              <w:rStyle w:val="3"/>
              <w:rFonts w:hint="eastAsia"/>
            </w:rPr>
            <w:t>单击或点击此处输入文字。</w:t>
          </w:r>
        </w:p>
      </w:docPartBody>
    </w:docPart>
    <w:docPart>
      <w:docPartPr>
        <w:name w:val="{03e293bc-91fa-470c-b9e8-ff17c1fe697f}"/>
        <w:style w:val=""/>
        <w:category>
          <w:name w:val="常规"/>
          <w:gallery w:val="placeholder"/>
        </w:category>
        <w:types>
          <w:type w:val="bbPlcHdr"/>
        </w:types>
        <w:behaviors>
          <w:behavior w:val="content"/>
        </w:behaviors>
        <w:description w:val=""/>
        <w:guid w:val="{03e293bc-91fa-470c-b9e8-ff17c1fe697f}"/>
      </w:docPartPr>
      <w:docPartBody>
        <w:p w14:paraId="7D64F791">
          <w:pPr>
            <w:pStyle w:val="2"/>
            <w:rPr>
              <w:rFonts w:hint="eastAsia"/>
            </w:rPr>
          </w:pPr>
          <w:r>
            <w:rPr>
              <w:rStyle w:val="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1" w:name="Default Paragraph Font"/>
    <w:lsdException w:qFormat="1" w:unhideWhenUsed="0" w:uiPriority="99" w:name="Placeholder Text"/>
  </w:latentStyles>
  <w:style w:type="character" w:default="1" w:styleId="1">
    <w:name w:val="Default Paragraph Font"/>
    <w:semiHidden/>
    <w:unhideWhenUsed/>
    <w:qFormat/>
    <w:uiPriority w:val="1"/>
  </w:style>
  <w:style w:type="paragraph" w:customStyle="1" w:styleId="2">
    <w:name w:val="D7250F40563643DA9319304DAA81F33C"/>
    <w:qFormat/>
    <w:uiPriority w:val="0"/>
    <w:pPr>
      <w:widowControl w:val="0"/>
      <w:spacing w:after="160" w:line="278" w:lineRule="auto"/>
    </w:pPr>
    <w:rPr>
      <w:rFonts w:asciiTheme="minorHAnsi" w:hAnsiTheme="minorHAnsi" w:eastAsiaTheme="minorEastAsia" w:cstheme="minorBidi"/>
      <w:kern w:val="2"/>
      <w:sz w:val="22"/>
      <w:szCs w:val="24"/>
      <w:lang w:val="en-US" w:eastAsia="zh-CN" w:bidi="ar-SA"/>
    </w:rPr>
  </w:style>
  <w:style w:type="character" w:styleId="3">
    <w:name w:val="Placeholder Text"/>
    <w:basedOn w:val="1"/>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EF8BC-98F1-4183-B21E-7E4EC242BAE2}">
  <ds:schemaRefs/>
</ds:datastoreItem>
</file>

<file path=docProps/app.xml><?xml version="1.0" encoding="utf-8"?>
<Properties xmlns="http://schemas.openxmlformats.org/officeDocument/2006/extended-properties" xmlns:vt="http://schemas.openxmlformats.org/officeDocument/2006/docPropsVTypes">
  <Template>Normal</Template>
  <Pages>11</Pages>
  <Words>5100</Words>
  <Characters>5341</Characters>
  <Lines>48</Lines>
  <Paragraphs>13</Paragraphs>
  <TotalTime>6</TotalTime>
  <ScaleCrop>false</ScaleCrop>
  <LinksUpToDate>false</LinksUpToDate>
  <CharactersWithSpaces>5367</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2025-01-08T01:17:00Z</dcterms:created>
  <dc:creator>wangyukun</dc:creator>
  <cp:lastModifiedBy>枫宇</cp:lastModifiedBy>
  <cp:lastPrinted>2024-03-01T00:11:00Z</cp:lastPrinted>
  <dcterms:modified xsi:type="dcterms:W3CDTF">2026-04-24T01:53:21Z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2FFBF5CDAADC497792CE2C2FA81031D7_13</vt:lpwstr>
  </property>
  <property fmtid="{D5CDD505-2E9C-101B-9397-08002B2CF9AE}" pid="4" name="KSOTemplateDocerSaveRecord">
    <vt:lpwstr>eyJoZGlkIjoiYTBjYWUzOTczMmM1MWQ3NjRkNWMyODI0NmJlMmIxYjUiLCJ1c2VySWQiOiIxMTUwMDczMDMzIn0=</vt:lpwstr>
  </property>
</Properties>
</file>