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4BC13">
      <w:pPr>
        <w:widowControl/>
        <w:jc w:val="center"/>
        <w:rPr>
          <w:rFonts w:hint="eastAsia" w:eastAsia="黑体"/>
          <w:bCs/>
          <w:sz w:val="52"/>
          <w:szCs w:val="52"/>
        </w:rPr>
      </w:pPr>
    </w:p>
    <w:p w14:paraId="074AE209">
      <w:pPr>
        <w:widowControl/>
        <w:jc w:val="center"/>
        <w:rPr>
          <w:rFonts w:hint="eastAsia" w:eastAsia="黑体"/>
          <w:bCs/>
          <w:sz w:val="52"/>
          <w:szCs w:val="52"/>
        </w:rPr>
      </w:pPr>
    </w:p>
    <w:p w14:paraId="1AFC8D1F">
      <w:pPr>
        <w:widowControl/>
        <w:jc w:val="center"/>
        <w:rPr>
          <w:rFonts w:hint="eastAsia" w:eastAsia="黑体"/>
          <w:bCs/>
          <w:sz w:val="52"/>
          <w:szCs w:val="52"/>
        </w:rPr>
      </w:pPr>
    </w:p>
    <w:p w14:paraId="78342C11">
      <w:pPr>
        <w:widowControl/>
        <w:jc w:val="center"/>
        <w:rPr>
          <w:rFonts w:eastAsia="黑体"/>
          <w:bCs/>
          <w:sz w:val="52"/>
          <w:szCs w:val="52"/>
        </w:rPr>
      </w:pPr>
      <w:r>
        <w:rPr>
          <w:rFonts w:hint="eastAsia" w:eastAsia="黑体"/>
          <w:bCs/>
          <w:sz w:val="52"/>
          <w:szCs w:val="52"/>
        </w:rPr>
        <w:t>中国港口协会团体标准</w:t>
      </w:r>
    </w:p>
    <w:p w14:paraId="048B8F6D">
      <w:pPr>
        <w:widowControl/>
        <w:rPr>
          <w:rFonts w:eastAsia="黑体"/>
          <w:bCs/>
          <w:sz w:val="44"/>
          <w:szCs w:val="44"/>
        </w:rPr>
      </w:pPr>
    </w:p>
    <w:p w14:paraId="7909F6D3">
      <w:pPr>
        <w:widowControl/>
        <w:rPr>
          <w:rFonts w:eastAsia="黑体"/>
          <w:bCs/>
          <w:sz w:val="44"/>
          <w:szCs w:val="44"/>
        </w:rPr>
      </w:pPr>
    </w:p>
    <w:p w14:paraId="0E4EFFA1">
      <w:pPr>
        <w:widowControl/>
        <w:jc w:val="center"/>
        <w:rPr>
          <w:rFonts w:eastAsia="黑体"/>
          <w:bCs/>
          <w:sz w:val="44"/>
          <w:szCs w:val="44"/>
        </w:rPr>
      </w:pPr>
    </w:p>
    <w:p w14:paraId="07B18A73">
      <w:pPr>
        <w:spacing w:line="360" w:lineRule="auto"/>
        <w:jc w:val="center"/>
        <w:rPr>
          <w:rFonts w:hint="default" w:eastAsia="黑体"/>
          <w:bCs/>
          <w:sz w:val="44"/>
          <w:szCs w:val="44"/>
          <w:lang w:val="en-US" w:eastAsia="zh-CN"/>
        </w:rPr>
      </w:pPr>
      <w:r>
        <w:rPr>
          <w:rFonts w:hint="eastAsia" w:eastAsia="黑体"/>
          <w:bCs/>
          <w:sz w:val="44"/>
          <w:szCs w:val="44"/>
          <w:lang w:val="en-US" w:eastAsia="zh-CN"/>
        </w:rPr>
        <w:t>港口内河电动船舶充电设施</w:t>
      </w:r>
    </w:p>
    <w:p w14:paraId="411911C7">
      <w:pPr>
        <w:spacing w:line="360" w:lineRule="auto"/>
        <w:jc w:val="center"/>
        <w:rPr>
          <w:rFonts w:eastAsia="黑体"/>
          <w:bCs/>
          <w:sz w:val="44"/>
          <w:szCs w:val="44"/>
        </w:rPr>
      </w:pPr>
      <w:r>
        <w:rPr>
          <w:rFonts w:hint="eastAsia" w:eastAsia="黑体"/>
          <w:bCs/>
          <w:sz w:val="44"/>
          <w:szCs w:val="44"/>
        </w:rPr>
        <w:t>（</w:t>
      </w:r>
      <w:r>
        <w:rPr>
          <w:rFonts w:hint="eastAsia" w:eastAsia="黑体"/>
          <w:bCs/>
          <w:sz w:val="44"/>
          <w:szCs w:val="44"/>
          <w:lang w:val="en-US" w:eastAsia="zh-CN"/>
        </w:rPr>
        <w:t>征求意见稿</w:t>
      </w:r>
      <w:r>
        <w:rPr>
          <w:rFonts w:hint="eastAsia" w:eastAsia="黑体"/>
          <w:bCs/>
          <w:sz w:val="44"/>
          <w:szCs w:val="44"/>
        </w:rPr>
        <w:t>）</w:t>
      </w:r>
    </w:p>
    <w:p w14:paraId="79CBDB60">
      <w:pPr>
        <w:widowControl/>
        <w:jc w:val="center"/>
        <w:rPr>
          <w:rFonts w:eastAsia="黑体"/>
          <w:bCs/>
          <w:sz w:val="44"/>
          <w:szCs w:val="44"/>
        </w:rPr>
      </w:pPr>
      <w:r>
        <w:rPr>
          <w:rFonts w:eastAsia="黑体"/>
          <w:bCs/>
          <w:sz w:val="44"/>
          <w:szCs w:val="44"/>
        </w:rPr>
        <w:t>编制说明</w:t>
      </w:r>
    </w:p>
    <w:p w14:paraId="1CABFB25">
      <w:pPr>
        <w:widowControl/>
        <w:rPr>
          <w:szCs w:val="21"/>
        </w:rPr>
      </w:pPr>
    </w:p>
    <w:p w14:paraId="0CCE8B4B">
      <w:pPr>
        <w:widowControl/>
        <w:rPr>
          <w:szCs w:val="21"/>
        </w:rPr>
      </w:pPr>
    </w:p>
    <w:p w14:paraId="6AC26F58">
      <w:pPr>
        <w:widowControl/>
        <w:rPr>
          <w:szCs w:val="21"/>
        </w:rPr>
      </w:pPr>
    </w:p>
    <w:p w14:paraId="40367E87">
      <w:pPr>
        <w:widowControl/>
        <w:rPr>
          <w:szCs w:val="21"/>
        </w:rPr>
      </w:pPr>
    </w:p>
    <w:p w14:paraId="05A0C8AE">
      <w:pPr>
        <w:widowControl/>
        <w:rPr>
          <w:szCs w:val="21"/>
        </w:rPr>
      </w:pPr>
    </w:p>
    <w:p w14:paraId="043F6134">
      <w:pPr>
        <w:widowControl/>
        <w:rPr>
          <w:szCs w:val="21"/>
        </w:rPr>
      </w:pPr>
    </w:p>
    <w:p w14:paraId="0E80BEE4">
      <w:pPr>
        <w:widowControl/>
        <w:rPr>
          <w:szCs w:val="21"/>
        </w:rPr>
      </w:pPr>
    </w:p>
    <w:p w14:paraId="7C27F0BD">
      <w:pPr>
        <w:widowControl/>
        <w:rPr>
          <w:szCs w:val="21"/>
        </w:rPr>
      </w:pPr>
    </w:p>
    <w:p w14:paraId="234B808B">
      <w:pPr>
        <w:widowControl/>
        <w:rPr>
          <w:szCs w:val="21"/>
        </w:rPr>
      </w:pPr>
    </w:p>
    <w:p w14:paraId="228F0DF8">
      <w:pPr>
        <w:widowControl/>
        <w:rPr>
          <w:szCs w:val="21"/>
        </w:rPr>
      </w:pPr>
    </w:p>
    <w:p w14:paraId="6517A2C8">
      <w:pPr>
        <w:widowControl/>
        <w:rPr>
          <w:szCs w:val="21"/>
        </w:rPr>
      </w:pPr>
    </w:p>
    <w:p w14:paraId="56CCBBA1">
      <w:pPr>
        <w:widowControl/>
        <w:rPr>
          <w:szCs w:val="21"/>
        </w:rPr>
      </w:pPr>
    </w:p>
    <w:p w14:paraId="0746FBB0">
      <w:pPr>
        <w:widowControl/>
        <w:rPr>
          <w:szCs w:val="21"/>
        </w:rPr>
      </w:pPr>
    </w:p>
    <w:p w14:paraId="49324D81">
      <w:pPr>
        <w:widowControl/>
        <w:rPr>
          <w:szCs w:val="21"/>
        </w:rPr>
      </w:pPr>
    </w:p>
    <w:p w14:paraId="29D41B0B">
      <w:pPr>
        <w:widowControl/>
        <w:rPr>
          <w:szCs w:val="21"/>
        </w:rPr>
      </w:pPr>
    </w:p>
    <w:p w14:paraId="491E2BEB">
      <w:pPr>
        <w:widowControl/>
        <w:jc w:val="center"/>
        <w:rPr>
          <w:rFonts w:eastAsia="黑体"/>
          <w:b/>
          <w:sz w:val="32"/>
          <w:szCs w:val="32"/>
        </w:rPr>
      </w:pPr>
      <w:r>
        <w:rPr>
          <w:rFonts w:eastAsia="黑体"/>
          <w:b/>
          <w:sz w:val="32"/>
          <w:szCs w:val="32"/>
        </w:rPr>
        <w:t>标准起草组</w:t>
      </w:r>
    </w:p>
    <w:p w14:paraId="2587B5AF">
      <w:pPr>
        <w:widowControl/>
        <w:jc w:val="center"/>
        <w:rPr>
          <w:rFonts w:hint="default" w:eastAsia="黑体" w:cs="Arial"/>
          <w:b/>
          <w:sz w:val="32"/>
          <w:szCs w:val="32"/>
          <w:lang w:val="en-US" w:eastAsia="zh-CN"/>
        </w:rPr>
      </w:pPr>
      <w:r>
        <w:rPr>
          <w:rFonts w:eastAsia="黑体" w:cs="Arial"/>
          <w:b/>
          <w:sz w:val="32"/>
          <w:szCs w:val="32"/>
        </w:rPr>
        <w:t>202</w:t>
      </w:r>
      <w:r>
        <w:rPr>
          <w:rFonts w:hint="eastAsia" w:eastAsia="黑体" w:cs="Arial"/>
          <w:b/>
          <w:sz w:val="32"/>
          <w:szCs w:val="32"/>
          <w:lang w:val="en-US" w:eastAsia="zh-CN"/>
        </w:rPr>
        <w:t>6</w:t>
      </w:r>
      <w:r>
        <w:rPr>
          <w:rFonts w:eastAsia="黑体" w:cs="Arial"/>
          <w:b/>
          <w:sz w:val="32"/>
          <w:szCs w:val="32"/>
        </w:rPr>
        <w:t>年</w:t>
      </w:r>
      <w:r>
        <w:rPr>
          <w:rFonts w:hint="eastAsia" w:eastAsia="黑体" w:cs="Arial"/>
          <w:b/>
          <w:sz w:val="32"/>
          <w:szCs w:val="32"/>
          <w:lang w:val="en-US" w:eastAsia="zh-CN"/>
        </w:rPr>
        <w:t>6</w:t>
      </w:r>
      <w:r>
        <w:rPr>
          <w:rFonts w:eastAsia="黑体" w:cs="Arial"/>
          <w:b/>
          <w:sz w:val="32"/>
          <w:szCs w:val="32"/>
        </w:rPr>
        <w:t>月</w:t>
      </w:r>
      <w:r>
        <w:rPr>
          <w:rFonts w:hint="eastAsia" w:eastAsia="黑体" w:cs="Arial"/>
          <w:b/>
          <w:sz w:val="32"/>
          <w:szCs w:val="32"/>
          <w:lang w:val="en-US" w:eastAsia="zh-CN"/>
        </w:rPr>
        <w:t>26日</w:t>
      </w:r>
    </w:p>
    <w:p w14:paraId="6251AFD9"/>
    <w:p w14:paraId="4C7A698E">
      <w:pPr>
        <w:sectPr>
          <w:headerReference r:id="rId5" w:type="first"/>
          <w:footerReference r:id="rId8" w:type="first"/>
          <w:headerReference r:id="rId3" w:type="default"/>
          <w:footerReference r:id="rId6" w:type="default"/>
          <w:headerReference r:id="rId4" w:type="even"/>
          <w:footerReference r:id="rId7" w:type="even"/>
          <w:pgSz w:w="11906" w:h="16838"/>
          <w:pgMar w:top="1588" w:right="1814" w:bottom="1588" w:left="1814" w:header="851" w:footer="992" w:gutter="0"/>
          <w:cols w:space="425" w:num="1"/>
          <w:titlePg/>
          <w:docGrid w:type="lines" w:linePitch="312" w:charSpace="0"/>
        </w:sectPr>
      </w:pPr>
    </w:p>
    <w:sdt>
      <w:sdtPr>
        <w:rPr>
          <w:rFonts w:ascii="宋体" w:hAnsi="宋体" w:eastAsia="宋体" w:cs="Times New Roman"/>
          <w:kern w:val="2"/>
          <w:sz w:val="21"/>
          <w:lang w:val="en-US" w:eastAsia="zh-CN" w:bidi="ar-SA"/>
        </w:rPr>
        <w:id w:val="147462782"/>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3244FAA7">
          <w:pPr>
            <w:spacing w:before="0" w:beforeLines="0" w:after="0" w:afterLines="0" w:line="240" w:lineRule="auto"/>
            <w:ind w:left="0" w:leftChars="0" w:right="0" w:rightChars="0" w:firstLine="0" w:firstLineChars="0"/>
            <w:jc w:val="center"/>
            <w:rPr>
              <w:sz w:val="24"/>
              <w:szCs w:val="22"/>
            </w:rPr>
          </w:pPr>
          <w:r>
            <w:rPr>
              <w:rFonts w:ascii="宋体" w:hAnsi="宋体" w:eastAsia="宋体"/>
              <w:sz w:val="24"/>
              <w:szCs w:val="22"/>
            </w:rPr>
            <w:t>目录</w:t>
          </w:r>
        </w:p>
        <w:p w14:paraId="2E87A617">
          <w:pPr>
            <w:pStyle w:val="5"/>
            <w:tabs>
              <w:tab w:val="right" w:leader="dot" w:pos="8306"/>
            </w:tabs>
            <w:rPr>
              <w:sz w:val="24"/>
              <w:szCs w:val="22"/>
            </w:rPr>
          </w:pPr>
          <w:r>
            <w:rPr>
              <w:sz w:val="24"/>
              <w:szCs w:val="22"/>
            </w:rPr>
            <w:fldChar w:fldCharType="begin"/>
          </w:r>
          <w:r>
            <w:rPr>
              <w:sz w:val="24"/>
              <w:szCs w:val="22"/>
            </w:rPr>
            <w:instrText xml:space="preserve">TOC \o "1-1" \h \u </w:instrText>
          </w:r>
          <w:r>
            <w:rPr>
              <w:sz w:val="24"/>
              <w:szCs w:val="22"/>
            </w:rPr>
            <w:fldChar w:fldCharType="separate"/>
          </w:r>
          <w:r>
            <w:rPr>
              <w:sz w:val="24"/>
              <w:szCs w:val="22"/>
            </w:rPr>
            <w:fldChar w:fldCharType="begin"/>
          </w:r>
          <w:r>
            <w:rPr>
              <w:sz w:val="24"/>
              <w:szCs w:val="22"/>
            </w:rPr>
            <w:instrText xml:space="preserve"> HYPERLINK \l _Toc22965 </w:instrText>
          </w:r>
          <w:r>
            <w:rPr>
              <w:sz w:val="24"/>
              <w:szCs w:val="22"/>
            </w:rPr>
            <w:fldChar w:fldCharType="separate"/>
          </w:r>
          <w:r>
            <w:rPr>
              <w:rFonts w:hint="default" w:ascii="Times New Roman" w:hAnsi="Times New Roman" w:cs="Times New Roman" w:eastAsiaTheme="minorEastAsia"/>
              <w:sz w:val="24"/>
              <w:szCs w:val="32"/>
            </w:rPr>
            <w:t>一、工</w:t>
          </w:r>
          <w:r>
            <w:rPr>
              <w:rFonts w:hint="default" w:ascii="Times New Roman" w:hAnsi="Times New Roman" w:cs="Times New Roman" w:eastAsiaTheme="minorEastAsia"/>
              <w:sz w:val="24"/>
              <w:szCs w:val="32"/>
              <w:lang w:val="en-US" w:eastAsia="zh-CN"/>
            </w:rPr>
            <w:t>作简况</w:t>
          </w:r>
          <w:r>
            <w:rPr>
              <w:sz w:val="24"/>
              <w:szCs w:val="22"/>
            </w:rPr>
            <w:tab/>
          </w:r>
          <w:r>
            <w:rPr>
              <w:sz w:val="24"/>
              <w:szCs w:val="22"/>
            </w:rPr>
            <w:fldChar w:fldCharType="begin"/>
          </w:r>
          <w:r>
            <w:rPr>
              <w:sz w:val="24"/>
              <w:szCs w:val="22"/>
            </w:rPr>
            <w:instrText xml:space="preserve"> PAGEREF _Toc22965 \h </w:instrText>
          </w:r>
          <w:r>
            <w:rPr>
              <w:sz w:val="24"/>
              <w:szCs w:val="22"/>
            </w:rPr>
            <w:fldChar w:fldCharType="separate"/>
          </w:r>
          <w:r>
            <w:rPr>
              <w:sz w:val="24"/>
              <w:szCs w:val="22"/>
            </w:rPr>
            <w:t>3</w:t>
          </w:r>
          <w:r>
            <w:rPr>
              <w:sz w:val="24"/>
              <w:szCs w:val="22"/>
            </w:rPr>
            <w:fldChar w:fldCharType="end"/>
          </w:r>
          <w:r>
            <w:rPr>
              <w:sz w:val="24"/>
              <w:szCs w:val="22"/>
            </w:rPr>
            <w:fldChar w:fldCharType="end"/>
          </w:r>
        </w:p>
        <w:p w14:paraId="777551BC">
          <w:pPr>
            <w:pStyle w:val="5"/>
            <w:tabs>
              <w:tab w:val="right" w:leader="dot" w:pos="8306"/>
            </w:tabs>
            <w:rPr>
              <w:sz w:val="24"/>
              <w:szCs w:val="22"/>
            </w:rPr>
          </w:pPr>
          <w:r>
            <w:rPr>
              <w:sz w:val="24"/>
              <w:szCs w:val="22"/>
            </w:rPr>
            <w:fldChar w:fldCharType="begin"/>
          </w:r>
          <w:r>
            <w:rPr>
              <w:sz w:val="24"/>
              <w:szCs w:val="22"/>
            </w:rPr>
            <w:instrText xml:space="preserve"> HYPERLINK \l _Toc31040 </w:instrText>
          </w:r>
          <w:r>
            <w:rPr>
              <w:sz w:val="24"/>
              <w:szCs w:val="22"/>
            </w:rPr>
            <w:fldChar w:fldCharType="separate"/>
          </w:r>
          <w:r>
            <w:rPr>
              <w:rFonts w:hint="default" w:ascii="Times New Roman" w:hAnsi="Times New Roman" w:cs="Times New Roman" w:eastAsiaTheme="minorEastAsia"/>
              <w:sz w:val="24"/>
              <w:szCs w:val="32"/>
              <w:lang w:val="en-US" w:eastAsia="zh-CN"/>
            </w:rPr>
            <w:t>二、标准编制原则和确定标准主要内容的依据</w:t>
          </w:r>
          <w:r>
            <w:rPr>
              <w:sz w:val="24"/>
              <w:szCs w:val="22"/>
            </w:rPr>
            <w:tab/>
          </w:r>
          <w:r>
            <w:rPr>
              <w:sz w:val="24"/>
              <w:szCs w:val="22"/>
            </w:rPr>
            <w:fldChar w:fldCharType="begin"/>
          </w:r>
          <w:r>
            <w:rPr>
              <w:sz w:val="24"/>
              <w:szCs w:val="22"/>
            </w:rPr>
            <w:instrText xml:space="preserve"> PAGEREF _Toc31040 \h </w:instrText>
          </w:r>
          <w:r>
            <w:rPr>
              <w:sz w:val="24"/>
              <w:szCs w:val="22"/>
            </w:rPr>
            <w:fldChar w:fldCharType="separate"/>
          </w:r>
          <w:r>
            <w:rPr>
              <w:sz w:val="24"/>
              <w:szCs w:val="22"/>
            </w:rPr>
            <w:t>6</w:t>
          </w:r>
          <w:r>
            <w:rPr>
              <w:sz w:val="24"/>
              <w:szCs w:val="22"/>
            </w:rPr>
            <w:fldChar w:fldCharType="end"/>
          </w:r>
          <w:r>
            <w:rPr>
              <w:sz w:val="24"/>
              <w:szCs w:val="22"/>
            </w:rPr>
            <w:fldChar w:fldCharType="end"/>
          </w:r>
        </w:p>
        <w:p w14:paraId="03369670">
          <w:pPr>
            <w:pStyle w:val="5"/>
            <w:tabs>
              <w:tab w:val="right" w:leader="dot" w:pos="8306"/>
            </w:tabs>
            <w:rPr>
              <w:sz w:val="24"/>
              <w:szCs w:val="22"/>
            </w:rPr>
          </w:pPr>
          <w:r>
            <w:rPr>
              <w:sz w:val="24"/>
              <w:szCs w:val="22"/>
            </w:rPr>
            <w:fldChar w:fldCharType="begin"/>
          </w:r>
          <w:r>
            <w:rPr>
              <w:sz w:val="24"/>
              <w:szCs w:val="22"/>
            </w:rPr>
            <w:instrText xml:space="preserve"> HYPERLINK \l _Toc27528 </w:instrText>
          </w:r>
          <w:r>
            <w:rPr>
              <w:sz w:val="24"/>
              <w:szCs w:val="22"/>
            </w:rPr>
            <w:fldChar w:fldCharType="separate"/>
          </w:r>
          <w:r>
            <w:rPr>
              <w:rFonts w:hint="default" w:ascii="Times New Roman" w:hAnsi="Times New Roman" w:cs="Times New Roman" w:eastAsiaTheme="minorEastAsia"/>
              <w:sz w:val="24"/>
              <w:szCs w:val="32"/>
              <w:lang w:val="en-US" w:eastAsia="zh-CN"/>
            </w:rPr>
            <w:t>三、主要试验的分析综述报告、技术经济论证或预期的经济效果</w:t>
          </w:r>
          <w:r>
            <w:rPr>
              <w:sz w:val="24"/>
              <w:szCs w:val="22"/>
            </w:rPr>
            <w:tab/>
          </w:r>
          <w:r>
            <w:rPr>
              <w:sz w:val="24"/>
              <w:szCs w:val="22"/>
            </w:rPr>
            <w:fldChar w:fldCharType="begin"/>
          </w:r>
          <w:r>
            <w:rPr>
              <w:sz w:val="24"/>
              <w:szCs w:val="22"/>
            </w:rPr>
            <w:instrText xml:space="preserve"> PAGEREF _Toc27528 \h </w:instrText>
          </w:r>
          <w:r>
            <w:rPr>
              <w:sz w:val="24"/>
              <w:szCs w:val="22"/>
            </w:rPr>
            <w:fldChar w:fldCharType="separate"/>
          </w:r>
          <w:r>
            <w:rPr>
              <w:sz w:val="24"/>
              <w:szCs w:val="22"/>
            </w:rPr>
            <w:t>7</w:t>
          </w:r>
          <w:r>
            <w:rPr>
              <w:sz w:val="24"/>
              <w:szCs w:val="22"/>
            </w:rPr>
            <w:fldChar w:fldCharType="end"/>
          </w:r>
          <w:r>
            <w:rPr>
              <w:sz w:val="24"/>
              <w:szCs w:val="22"/>
            </w:rPr>
            <w:fldChar w:fldCharType="end"/>
          </w:r>
        </w:p>
        <w:p w14:paraId="15FE00DF">
          <w:pPr>
            <w:pStyle w:val="5"/>
            <w:tabs>
              <w:tab w:val="right" w:leader="dot" w:pos="8306"/>
            </w:tabs>
            <w:rPr>
              <w:sz w:val="24"/>
              <w:szCs w:val="22"/>
            </w:rPr>
          </w:pPr>
          <w:r>
            <w:rPr>
              <w:sz w:val="24"/>
              <w:szCs w:val="22"/>
            </w:rPr>
            <w:fldChar w:fldCharType="begin"/>
          </w:r>
          <w:r>
            <w:rPr>
              <w:sz w:val="24"/>
              <w:szCs w:val="22"/>
            </w:rPr>
            <w:instrText xml:space="preserve"> HYPERLINK \l _Toc24233 </w:instrText>
          </w:r>
          <w:r>
            <w:rPr>
              <w:sz w:val="24"/>
              <w:szCs w:val="22"/>
            </w:rPr>
            <w:fldChar w:fldCharType="separate"/>
          </w:r>
          <w:r>
            <w:rPr>
              <w:rFonts w:hint="default" w:ascii="Times New Roman" w:hAnsi="Times New Roman" w:cs="Times New Roman" w:eastAsiaTheme="minorEastAsia"/>
              <w:sz w:val="24"/>
              <w:szCs w:val="32"/>
              <w:lang w:val="en-US" w:eastAsia="zh-CN"/>
            </w:rPr>
            <w:t>四、采用国际标准和国外先进标准的程度</w:t>
          </w:r>
          <w:r>
            <w:rPr>
              <w:sz w:val="24"/>
              <w:szCs w:val="22"/>
            </w:rPr>
            <w:tab/>
          </w:r>
          <w:r>
            <w:rPr>
              <w:sz w:val="24"/>
              <w:szCs w:val="22"/>
            </w:rPr>
            <w:fldChar w:fldCharType="begin"/>
          </w:r>
          <w:r>
            <w:rPr>
              <w:sz w:val="24"/>
              <w:szCs w:val="22"/>
            </w:rPr>
            <w:instrText xml:space="preserve"> PAGEREF _Toc24233 \h </w:instrText>
          </w:r>
          <w:r>
            <w:rPr>
              <w:sz w:val="24"/>
              <w:szCs w:val="22"/>
            </w:rPr>
            <w:fldChar w:fldCharType="separate"/>
          </w:r>
          <w:r>
            <w:rPr>
              <w:sz w:val="24"/>
              <w:szCs w:val="22"/>
            </w:rPr>
            <w:t>8</w:t>
          </w:r>
          <w:r>
            <w:rPr>
              <w:sz w:val="24"/>
              <w:szCs w:val="22"/>
            </w:rPr>
            <w:fldChar w:fldCharType="end"/>
          </w:r>
          <w:r>
            <w:rPr>
              <w:sz w:val="24"/>
              <w:szCs w:val="22"/>
            </w:rPr>
            <w:fldChar w:fldCharType="end"/>
          </w:r>
        </w:p>
        <w:p w14:paraId="58C8C22A">
          <w:pPr>
            <w:pStyle w:val="5"/>
            <w:tabs>
              <w:tab w:val="right" w:leader="dot" w:pos="8306"/>
            </w:tabs>
            <w:rPr>
              <w:sz w:val="24"/>
              <w:szCs w:val="22"/>
            </w:rPr>
          </w:pPr>
          <w:r>
            <w:rPr>
              <w:sz w:val="24"/>
              <w:szCs w:val="22"/>
            </w:rPr>
            <w:fldChar w:fldCharType="begin"/>
          </w:r>
          <w:r>
            <w:rPr>
              <w:sz w:val="24"/>
              <w:szCs w:val="22"/>
            </w:rPr>
            <w:instrText xml:space="preserve"> HYPERLINK \l _Toc12618 </w:instrText>
          </w:r>
          <w:r>
            <w:rPr>
              <w:sz w:val="24"/>
              <w:szCs w:val="22"/>
            </w:rPr>
            <w:fldChar w:fldCharType="separate"/>
          </w:r>
          <w:r>
            <w:rPr>
              <w:rFonts w:hint="default" w:ascii="Times New Roman" w:hAnsi="Times New Roman" w:cs="Times New Roman" w:eastAsiaTheme="minorEastAsia"/>
              <w:sz w:val="24"/>
              <w:szCs w:val="32"/>
              <w:lang w:val="en-US" w:eastAsia="zh-CN"/>
            </w:rPr>
            <w:t>五、与有关的现行法律、法规和强制性标准的关系</w:t>
          </w:r>
          <w:r>
            <w:rPr>
              <w:sz w:val="24"/>
              <w:szCs w:val="22"/>
            </w:rPr>
            <w:tab/>
          </w:r>
          <w:r>
            <w:rPr>
              <w:sz w:val="24"/>
              <w:szCs w:val="22"/>
            </w:rPr>
            <w:fldChar w:fldCharType="begin"/>
          </w:r>
          <w:r>
            <w:rPr>
              <w:sz w:val="24"/>
              <w:szCs w:val="22"/>
            </w:rPr>
            <w:instrText xml:space="preserve"> PAGEREF _Toc12618 \h </w:instrText>
          </w:r>
          <w:r>
            <w:rPr>
              <w:sz w:val="24"/>
              <w:szCs w:val="22"/>
            </w:rPr>
            <w:fldChar w:fldCharType="separate"/>
          </w:r>
          <w:r>
            <w:rPr>
              <w:sz w:val="24"/>
              <w:szCs w:val="22"/>
            </w:rPr>
            <w:t>8</w:t>
          </w:r>
          <w:r>
            <w:rPr>
              <w:sz w:val="24"/>
              <w:szCs w:val="22"/>
            </w:rPr>
            <w:fldChar w:fldCharType="end"/>
          </w:r>
          <w:r>
            <w:rPr>
              <w:sz w:val="24"/>
              <w:szCs w:val="22"/>
            </w:rPr>
            <w:fldChar w:fldCharType="end"/>
          </w:r>
        </w:p>
        <w:p w14:paraId="6ECF2767">
          <w:pPr>
            <w:pStyle w:val="5"/>
            <w:tabs>
              <w:tab w:val="right" w:leader="dot" w:pos="8306"/>
            </w:tabs>
            <w:rPr>
              <w:sz w:val="24"/>
              <w:szCs w:val="22"/>
            </w:rPr>
          </w:pPr>
          <w:r>
            <w:rPr>
              <w:sz w:val="24"/>
              <w:szCs w:val="22"/>
            </w:rPr>
            <w:fldChar w:fldCharType="begin"/>
          </w:r>
          <w:r>
            <w:rPr>
              <w:sz w:val="24"/>
              <w:szCs w:val="22"/>
            </w:rPr>
            <w:instrText xml:space="preserve"> HYPERLINK \l _Toc22415 </w:instrText>
          </w:r>
          <w:r>
            <w:rPr>
              <w:sz w:val="24"/>
              <w:szCs w:val="22"/>
            </w:rPr>
            <w:fldChar w:fldCharType="separate"/>
          </w:r>
          <w:r>
            <w:rPr>
              <w:rFonts w:hint="default" w:ascii="Times New Roman" w:hAnsi="Times New Roman" w:cs="Times New Roman" w:eastAsiaTheme="minorEastAsia"/>
              <w:sz w:val="24"/>
              <w:szCs w:val="32"/>
              <w:lang w:val="en-US" w:eastAsia="zh-CN"/>
            </w:rPr>
            <w:t>六、重大分歧意见的处理经过和依据</w:t>
          </w:r>
          <w:r>
            <w:rPr>
              <w:sz w:val="24"/>
              <w:szCs w:val="22"/>
            </w:rPr>
            <w:tab/>
          </w:r>
          <w:r>
            <w:rPr>
              <w:sz w:val="24"/>
              <w:szCs w:val="22"/>
            </w:rPr>
            <w:fldChar w:fldCharType="begin"/>
          </w:r>
          <w:r>
            <w:rPr>
              <w:sz w:val="24"/>
              <w:szCs w:val="22"/>
            </w:rPr>
            <w:instrText xml:space="preserve"> PAGEREF _Toc22415 \h </w:instrText>
          </w:r>
          <w:r>
            <w:rPr>
              <w:sz w:val="24"/>
              <w:szCs w:val="22"/>
            </w:rPr>
            <w:fldChar w:fldCharType="separate"/>
          </w:r>
          <w:r>
            <w:rPr>
              <w:sz w:val="24"/>
              <w:szCs w:val="22"/>
            </w:rPr>
            <w:t>8</w:t>
          </w:r>
          <w:r>
            <w:rPr>
              <w:sz w:val="24"/>
              <w:szCs w:val="22"/>
            </w:rPr>
            <w:fldChar w:fldCharType="end"/>
          </w:r>
          <w:r>
            <w:rPr>
              <w:sz w:val="24"/>
              <w:szCs w:val="22"/>
            </w:rPr>
            <w:fldChar w:fldCharType="end"/>
          </w:r>
        </w:p>
        <w:p w14:paraId="28A2097B">
          <w:pPr>
            <w:pStyle w:val="5"/>
            <w:tabs>
              <w:tab w:val="right" w:leader="dot" w:pos="8306"/>
            </w:tabs>
            <w:rPr>
              <w:sz w:val="24"/>
              <w:szCs w:val="22"/>
            </w:rPr>
          </w:pPr>
          <w:r>
            <w:rPr>
              <w:sz w:val="24"/>
              <w:szCs w:val="22"/>
            </w:rPr>
            <w:fldChar w:fldCharType="begin"/>
          </w:r>
          <w:r>
            <w:rPr>
              <w:sz w:val="24"/>
              <w:szCs w:val="22"/>
            </w:rPr>
            <w:instrText xml:space="preserve"> HYPERLINK \l _Toc25528 </w:instrText>
          </w:r>
          <w:r>
            <w:rPr>
              <w:sz w:val="24"/>
              <w:szCs w:val="22"/>
            </w:rPr>
            <w:fldChar w:fldCharType="separate"/>
          </w:r>
          <w:r>
            <w:rPr>
              <w:rFonts w:hint="default" w:ascii="Times New Roman" w:hAnsi="Times New Roman" w:cs="Times New Roman" w:eastAsiaTheme="minorEastAsia"/>
              <w:sz w:val="24"/>
              <w:szCs w:val="32"/>
              <w:lang w:val="en-US" w:eastAsia="zh-CN"/>
            </w:rPr>
            <w:t>七、贯彻标准的要求和措施建议</w:t>
          </w:r>
          <w:r>
            <w:rPr>
              <w:sz w:val="24"/>
              <w:szCs w:val="22"/>
            </w:rPr>
            <w:tab/>
          </w:r>
          <w:r>
            <w:rPr>
              <w:sz w:val="24"/>
              <w:szCs w:val="22"/>
            </w:rPr>
            <w:fldChar w:fldCharType="begin"/>
          </w:r>
          <w:r>
            <w:rPr>
              <w:sz w:val="24"/>
              <w:szCs w:val="22"/>
            </w:rPr>
            <w:instrText xml:space="preserve"> PAGEREF _Toc25528 \h </w:instrText>
          </w:r>
          <w:r>
            <w:rPr>
              <w:sz w:val="24"/>
              <w:szCs w:val="22"/>
            </w:rPr>
            <w:fldChar w:fldCharType="separate"/>
          </w:r>
          <w:r>
            <w:rPr>
              <w:sz w:val="24"/>
              <w:szCs w:val="22"/>
            </w:rPr>
            <w:t>8</w:t>
          </w:r>
          <w:r>
            <w:rPr>
              <w:sz w:val="24"/>
              <w:szCs w:val="22"/>
            </w:rPr>
            <w:fldChar w:fldCharType="end"/>
          </w:r>
          <w:r>
            <w:rPr>
              <w:sz w:val="24"/>
              <w:szCs w:val="22"/>
            </w:rPr>
            <w:fldChar w:fldCharType="end"/>
          </w:r>
        </w:p>
        <w:p w14:paraId="156D5670">
          <w:pPr>
            <w:pStyle w:val="5"/>
            <w:tabs>
              <w:tab w:val="right" w:leader="dot" w:pos="8306"/>
            </w:tabs>
            <w:rPr>
              <w:sz w:val="24"/>
              <w:szCs w:val="22"/>
            </w:rPr>
          </w:pPr>
          <w:r>
            <w:rPr>
              <w:sz w:val="24"/>
              <w:szCs w:val="22"/>
            </w:rPr>
            <w:fldChar w:fldCharType="begin"/>
          </w:r>
          <w:r>
            <w:rPr>
              <w:sz w:val="24"/>
              <w:szCs w:val="22"/>
            </w:rPr>
            <w:instrText xml:space="preserve"> HYPERLINK \l _Toc30208 </w:instrText>
          </w:r>
          <w:r>
            <w:rPr>
              <w:sz w:val="24"/>
              <w:szCs w:val="22"/>
            </w:rPr>
            <w:fldChar w:fldCharType="separate"/>
          </w:r>
          <w:r>
            <w:rPr>
              <w:rFonts w:hint="default" w:ascii="Times New Roman" w:hAnsi="Times New Roman" w:cs="Times New Roman" w:eastAsiaTheme="minorEastAsia"/>
              <w:sz w:val="24"/>
              <w:szCs w:val="32"/>
              <w:lang w:val="en-US" w:eastAsia="zh-CN"/>
            </w:rPr>
            <w:t>八、废止现行有关标准的建议</w:t>
          </w:r>
          <w:r>
            <w:rPr>
              <w:sz w:val="24"/>
              <w:szCs w:val="22"/>
            </w:rPr>
            <w:tab/>
          </w:r>
          <w:r>
            <w:rPr>
              <w:sz w:val="24"/>
              <w:szCs w:val="22"/>
            </w:rPr>
            <w:fldChar w:fldCharType="begin"/>
          </w:r>
          <w:r>
            <w:rPr>
              <w:sz w:val="24"/>
              <w:szCs w:val="22"/>
            </w:rPr>
            <w:instrText xml:space="preserve"> PAGEREF _Toc30208 \h </w:instrText>
          </w:r>
          <w:r>
            <w:rPr>
              <w:sz w:val="24"/>
              <w:szCs w:val="22"/>
            </w:rPr>
            <w:fldChar w:fldCharType="separate"/>
          </w:r>
          <w:r>
            <w:rPr>
              <w:sz w:val="24"/>
              <w:szCs w:val="22"/>
            </w:rPr>
            <w:t>9</w:t>
          </w:r>
          <w:r>
            <w:rPr>
              <w:sz w:val="24"/>
              <w:szCs w:val="22"/>
            </w:rPr>
            <w:fldChar w:fldCharType="end"/>
          </w:r>
          <w:r>
            <w:rPr>
              <w:sz w:val="24"/>
              <w:szCs w:val="22"/>
            </w:rPr>
            <w:fldChar w:fldCharType="end"/>
          </w:r>
        </w:p>
        <w:p w14:paraId="3C0342CD">
          <w:pPr>
            <w:pStyle w:val="5"/>
            <w:tabs>
              <w:tab w:val="right" w:leader="dot" w:pos="8306"/>
            </w:tabs>
            <w:rPr>
              <w:sz w:val="24"/>
              <w:szCs w:val="22"/>
            </w:rPr>
          </w:pPr>
          <w:r>
            <w:rPr>
              <w:sz w:val="24"/>
              <w:szCs w:val="22"/>
            </w:rPr>
            <w:fldChar w:fldCharType="begin"/>
          </w:r>
          <w:r>
            <w:rPr>
              <w:sz w:val="24"/>
              <w:szCs w:val="22"/>
            </w:rPr>
            <w:instrText xml:space="preserve"> HYPERLINK \l _Toc16331 </w:instrText>
          </w:r>
          <w:r>
            <w:rPr>
              <w:sz w:val="24"/>
              <w:szCs w:val="22"/>
            </w:rPr>
            <w:fldChar w:fldCharType="separate"/>
          </w:r>
          <w:r>
            <w:rPr>
              <w:rFonts w:hint="default" w:ascii="Times New Roman" w:hAnsi="Times New Roman" w:cs="Times New Roman" w:eastAsiaTheme="minorEastAsia"/>
              <w:sz w:val="24"/>
              <w:szCs w:val="32"/>
              <w:lang w:val="en-US" w:eastAsia="zh-CN"/>
            </w:rPr>
            <w:t>九、其他应予说明的事项</w:t>
          </w:r>
          <w:r>
            <w:rPr>
              <w:sz w:val="24"/>
              <w:szCs w:val="22"/>
            </w:rPr>
            <w:tab/>
          </w:r>
          <w:r>
            <w:rPr>
              <w:sz w:val="24"/>
              <w:szCs w:val="22"/>
            </w:rPr>
            <w:fldChar w:fldCharType="begin"/>
          </w:r>
          <w:r>
            <w:rPr>
              <w:sz w:val="24"/>
              <w:szCs w:val="22"/>
            </w:rPr>
            <w:instrText xml:space="preserve"> PAGEREF _Toc16331 \h </w:instrText>
          </w:r>
          <w:r>
            <w:rPr>
              <w:sz w:val="24"/>
              <w:szCs w:val="22"/>
            </w:rPr>
            <w:fldChar w:fldCharType="separate"/>
          </w:r>
          <w:r>
            <w:rPr>
              <w:sz w:val="24"/>
              <w:szCs w:val="22"/>
            </w:rPr>
            <w:t>9</w:t>
          </w:r>
          <w:r>
            <w:rPr>
              <w:sz w:val="24"/>
              <w:szCs w:val="22"/>
            </w:rPr>
            <w:fldChar w:fldCharType="end"/>
          </w:r>
          <w:r>
            <w:rPr>
              <w:sz w:val="24"/>
              <w:szCs w:val="22"/>
            </w:rPr>
            <w:fldChar w:fldCharType="end"/>
          </w:r>
        </w:p>
        <w:p w14:paraId="1906C915">
          <w:pPr>
            <w:pStyle w:val="6"/>
            <w:keepNext w:val="0"/>
            <w:keepLines w:val="0"/>
            <w:widowControl/>
            <w:suppressLineNumbers w:val="0"/>
            <w:shd w:val="clear" w:fill="FFFFFF"/>
            <w:spacing w:before="120" w:beforeAutospacing="0" w:after="120" w:afterAutospacing="0"/>
            <w:ind w:left="0" w:right="0" w:firstLine="0"/>
            <w:jc w:val="left"/>
            <w:rPr>
              <w:rFonts w:ascii="Segoe UI" w:hAnsi="Segoe UI" w:eastAsia="Segoe UI" w:cs="Segoe UI"/>
              <w:i w:val="0"/>
              <w:iCs w:val="0"/>
              <w:caps w:val="0"/>
              <w:color w:val="0F1115"/>
              <w:spacing w:val="0"/>
              <w:sz w:val="21"/>
              <w:szCs w:val="21"/>
            </w:rPr>
          </w:pPr>
          <w:r>
            <w:rPr>
              <w:sz w:val="22"/>
              <w:szCs w:val="22"/>
            </w:rPr>
            <w:fldChar w:fldCharType="end"/>
          </w:r>
        </w:p>
      </w:sdtContent>
    </w:sdt>
    <w:p w14:paraId="081469F8">
      <w:pPr>
        <w:rPr>
          <w:rStyle w:val="9"/>
          <w:rFonts w:hint="default" w:ascii="Segoe UI" w:hAnsi="Segoe UI" w:eastAsia="Segoe UI" w:cs="Segoe UI"/>
          <w:caps w:val="0"/>
          <w:color w:val="0F1115"/>
          <w:spacing w:val="0"/>
          <w:sz w:val="21"/>
          <w:szCs w:val="21"/>
          <w:shd w:val="clear" w:fill="FFFFFF"/>
        </w:rPr>
      </w:pPr>
      <w:r>
        <w:rPr>
          <w:rStyle w:val="9"/>
          <w:rFonts w:hint="default" w:ascii="Segoe UI" w:hAnsi="Segoe UI" w:eastAsia="Segoe UI" w:cs="Segoe UI"/>
          <w:caps w:val="0"/>
          <w:color w:val="0F1115"/>
          <w:spacing w:val="0"/>
          <w:sz w:val="21"/>
          <w:szCs w:val="21"/>
          <w:shd w:val="clear" w:fill="FFFFFF"/>
        </w:rPr>
        <w:br w:type="page"/>
      </w:r>
    </w:p>
    <w:p w14:paraId="0AAE4373">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0" w:name="_Toc22965"/>
      <w:r>
        <w:rPr>
          <w:rFonts w:hint="default" w:ascii="Times New Roman" w:hAnsi="Times New Roman" w:cs="Times New Roman" w:eastAsiaTheme="minorEastAsia"/>
          <w:b/>
          <w:sz w:val="24"/>
          <w:szCs w:val="24"/>
        </w:rPr>
        <w:t>一、工</w:t>
      </w:r>
      <w:r>
        <w:rPr>
          <w:rFonts w:hint="default" w:ascii="Times New Roman" w:hAnsi="Times New Roman" w:cs="Times New Roman" w:eastAsiaTheme="minorEastAsia"/>
          <w:b/>
          <w:sz w:val="24"/>
          <w:szCs w:val="24"/>
          <w:lang w:val="en-US" w:eastAsia="zh-CN"/>
        </w:rPr>
        <w:t>作简况</w:t>
      </w:r>
      <w:bookmarkEnd w:id="0"/>
    </w:p>
    <w:p w14:paraId="08543898">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（一）背景</w:t>
      </w:r>
    </w:p>
    <w:p w14:paraId="5E075797">
      <w:pPr>
        <w:spacing w:before="156" w:beforeLines="50" w:line="360" w:lineRule="auto"/>
        <w:ind w:firstLine="480" w:firstLineChars="200"/>
        <w:rPr>
          <w:rFonts w:hint="default" w:eastAsiaTheme="minorEastAsia"/>
          <w:sz w:val="24"/>
          <w:szCs w:val="24"/>
          <w:lang w:val="en-US" w:eastAsia="zh-CN"/>
        </w:rPr>
      </w:pPr>
      <w:r>
        <w:rPr>
          <w:rFonts w:hint="eastAsia" w:eastAsiaTheme="minorEastAsia"/>
          <w:sz w:val="24"/>
          <w:szCs w:val="24"/>
          <w:lang w:val="en-US" w:eastAsia="zh-CN"/>
        </w:rPr>
        <w:t>2025年5月29日交通运输部、工业和信息化部、财政部、自然资源部、生态环境部、水利部联合印发了《关于推动内河航运高质量发展的意见》，对新能源清洁能源船舶发展提出了明确要求。电池动力船作为新能源船舶的重要组成部分，国家和地方在政策层面都给予了大力支持。《建设长三角内河航运高质量发展先行区行动方案（2025-2027年）》也即将由交通运输部和长三角三省一市联合印发。为更好地指导长三角区域新能源清洁能源船舶有序应用，避免重复区域内电动船舶投入运营充换电设施相互不兼容，从而导致设施设备的重复投资，积极推进长三角内河港口电动船舶充换电设施技术标准一体化协同这项基础性工作显得尤为重要，内河港口电动船舶充换电设施技术标准尚属空白。长江经济带多式联运中心也明确将其纳入2025年度重点任务。</w:t>
      </w:r>
    </w:p>
    <w:p w14:paraId="4BE2172B">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（二）任务来源</w:t>
      </w:r>
    </w:p>
    <w:p w14:paraId="64411358">
      <w:pPr>
        <w:spacing w:before="156" w:beforeLines="50" w:line="360" w:lineRule="auto"/>
        <w:ind w:firstLine="480" w:firstLineChars="200"/>
        <w:rPr>
          <w:rFonts w:hint="default" w:eastAsiaTheme="minorEastAsia"/>
          <w:sz w:val="24"/>
          <w:szCs w:val="24"/>
          <w:lang w:val="en-US" w:eastAsia="zh-CN"/>
        </w:rPr>
      </w:pPr>
      <w:r>
        <w:rPr>
          <w:rFonts w:hint="default" w:eastAsiaTheme="minorEastAsia"/>
          <w:sz w:val="24"/>
          <w:szCs w:val="24"/>
          <w:lang w:val="en-US" w:eastAsia="zh-CN"/>
        </w:rPr>
        <w:t>本标准由中国港口协会于202</w:t>
      </w:r>
      <w:r>
        <w:rPr>
          <w:rFonts w:hint="eastAsia" w:eastAsiaTheme="minorEastAsia"/>
          <w:sz w:val="24"/>
          <w:szCs w:val="24"/>
          <w:lang w:val="en-US" w:eastAsia="zh-CN"/>
        </w:rPr>
        <w:t>5</w:t>
      </w:r>
      <w:r>
        <w:rPr>
          <w:rFonts w:hint="default" w:eastAsiaTheme="minorEastAsia"/>
          <w:sz w:val="24"/>
          <w:szCs w:val="24"/>
          <w:lang w:val="en-US" w:eastAsia="zh-CN"/>
        </w:rPr>
        <w:t>年立项，</w:t>
      </w:r>
      <w:r>
        <w:rPr>
          <w:rFonts w:hint="eastAsia" w:eastAsiaTheme="minorEastAsia"/>
          <w:sz w:val="24"/>
          <w:szCs w:val="24"/>
          <w:lang w:val="en-US" w:eastAsia="zh-CN"/>
        </w:rPr>
        <w:t>计划</w:t>
      </w:r>
      <w:r>
        <w:rPr>
          <w:rFonts w:hint="default" w:eastAsiaTheme="minorEastAsia"/>
          <w:sz w:val="24"/>
          <w:szCs w:val="24"/>
          <w:lang w:val="en-US" w:eastAsia="zh-CN"/>
        </w:rPr>
        <w:t>编号为202</w:t>
      </w:r>
      <w:r>
        <w:rPr>
          <w:rFonts w:hint="eastAsia" w:eastAsiaTheme="minorEastAsia"/>
          <w:sz w:val="24"/>
          <w:szCs w:val="24"/>
          <w:lang w:val="en-US" w:eastAsia="zh-CN"/>
        </w:rPr>
        <w:t>5</w:t>
      </w:r>
      <w:r>
        <w:rPr>
          <w:rFonts w:hint="default" w:eastAsiaTheme="minorEastAsia"/>
          <w:sz w:val="24"/>
          <w:szCs w:val="24"/>
          <w:lang w:val="en-US" w:eastAsia="zh-CN"/>
        </w:rPr>
        <w:t>-</w:t>
      </w:r>
      <w:r>
        <w:rPr>
          <w:rFonts w:hint="eastAsia" w:eastAsiaTheme="minorEastAsia"/>
          <w:sz w:val="24"/>
          <w:szCs w:val="24"/>
          <w:lang w:val="en-US" w:eastAsia="zh-CN"/>
        </w:rPr>
        <w:t>38</w:t>
      </w:r>
      <w:r>
        <w:rPr>
          <w:rFonts w:hint="default" w:eastAsiaTheme="minorEastAsia"/>
          <w:sz w:val="24"/>
          <w:szCs w:val="24"/>
          <w:lang w:val="en-US" w:eastAsia="zh-CN"/>
        </w:rPr>
        <w:t>，列入《202</w:t>
      </w:r>
      <w:r>
        <w:rPr>
          <w:rFonts w:hint="eastAsia" w:eastAsiaTheme="minorEastAsia"/>
          <w:sz w:val="24"/>
          <w:szCs w:val="24"/>
          <w:lang w:val="en-US" w:eastAsia="zh-CN"/>
        </w:rPr>
        <w:t>5</w:t>
      </w:r>
      <w:r>
        <w:rPr>
          <w:rFonts w:hint="default" w:eastAsiaTheme="minorEastAsia"/>
          <w:sz w:val="24"/>
          <w:szCs w:val="24"/>
          <w:lang w:val="en-US" w:eastAsia="zh-CN"/>
        </w:rPr>
        <w:t>年中国港口协会团体标准</w:t>
      </w:r>
      <w:r>
        <w:rPr>
          <w:rFonts w:hint="eastAsia" w:eastAsiaTheme="minorEastAsia"/>
          <w:sz w:val="24"/>
          <w:szCs w:val="24"/>
          <w:lang w:val="en-US" w:eastAsia="zh-CN"/>
        </w:rPr>
        <w:t>化</w:t>
      </w:r>
      <w:r>
        <w:rPr>
          <w:rFonts w:hint="default" w:eastAsiaTheme="minorEastAsia"/>
          <w:sz w:val="24"/>
          <w:szCs w:val="24"/>
          <w:lang w:val="en-US" w:eastAsia="zh-CN"/>
        </w:rPr>
        <w:t>计划》。项目名称为《港口内河电动船舶充/换电设施技术要求》，旨在为长三角乃至全国的内河电动船舶充换电设施建设提供统一的技术依据。</w:t>
      </w:r>
    </w:p>
    <w:p w14:paraId="65CB2CFE">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（三）起草单位</w:t>
      </w:r>
    </w:p>
    <w:p w14:paraId="6294CFB0">
      <w:pPr>
        <w:spacing w:before="156" w:beforeLines="50" w:line="360" w:lineRule="auto"/>
        <w:ind w:firstLine="482" w:firstLineChars="200"/>
        <w:rPr>
          <w:rFonts w:hint="eastAsia" w:eastAsiaTheme="minorEastAsia"/>
          <w:sz w:val="24"/>
          <w:szCs w:val="24"/>
          <w:lang w:val="en-US" w:eastAsia="zh-CN"/>
        </w:rPr>
      </w:pPr>
      <w:r>
        <w:rPr>
          <w:rFonts w:hint="default" w:eastAsiaTheme="minorEastAsia"/>
          <w:b/>
          <w:bCs/>
          <w:sz w:val="24"/>
          <w:szCs w:val="24"/>
          <w:lang w:val="en-US" w:eastAsia="zh-CN"/>
        </w:rPr>
        <w:t>主编单位：</w:t>
      </w:r>
      <w:r>
        <w:rPr>
          <w:rFonts w:hint="default" w:eastAsiaTheme="minorEastAsia"/>
          <w:sz w:val="24"/>
          <w:szCs w:val="24"/>
          <w:lang w:val="en-US" w:eastAsia="zh-CN"/>
        </w:rPr>
        <w:t>中国船级社质量认证有限公司</w:t>
      </w:r>
    </w:p>
    <w:p w14:paraId="73FB377B">
      <w:pPr>
        <w:spacing w:before="156" w:beforeLines="50" w:line="360" w:lineRule="auto"/>
        <w:ind w:firstLine="482" w:firstLineChars="200"/>
        <w:rPr>
          <w:rFonts w:hint="default" w:eastAsiaTheme="minorEastAsia"/>
          <w:sz w:val="24"/>
          <w:szCs w:val="24"/>
          <w:lang w:val="en-US" w:eastAsia="zh-CN"/>
        </w:rPr>
      </w:pPr>
      <w:r>
        <w:rPr>
          <w:rFonts w:hint="default" w:eastAsiaTheme="minorEastAsia"/>
          <w:b/>
          <w:bCs/>
          <w:sz w:val="24"/>
          <w:szCs w:val="24"/>
          <w:lang w:val="en-US" w:eastAsia="zh-CN"/>
        </w:rPr>
        <w:t>参编单位：</w:t>
      </w:r>
      <w:r>
        <w:rPr>
          <w:rFonts w:hint="default" w:eastAsiaTheme="minorEastAsia"/>
          <w:sz w:val="24"/>
          <w:szCs w:val="24"/>
          <w:highlight w:val="none"/>
          <w:lang w:val="en-US" w:eastAsia="zh-CN"/>
        </w:rPr>
        <w:t>交通运输部水运科学研究院、上海组合港管理委员会办公室、上海国际港务（集团）股份有限公司、上海冠东国际集装箱码头有限公司、江苏远洋运输有限公司、国网浙江省电力有限公司湖州供电公司、上海冕电新能源科技有限公司、江苏健龙电器有限公司</w:t>
      </w:r>
      <w:r>
        <w:rPr>
          <w:rFonts w:hint="eastAsia" w:eastAsiaTheme="minorEastAsia"/>
          <w:sz w:val="24"/>
          <w:szCs w:val="24"/>
          <w:highlight w:val="none"/>
          <w:lang w:val="en-US" w:eastAsia="zh-CN"/>
        </w:rPr>
        <w:t>、苏州汇川技术有限公司</w:t>
      </w:r>
      <w:r>
        <w:rPr>
          <w:rFonts w:hint="default" w:eastAsiaTheme="minorEastAsia"/>
          <w:sz w:val="24"/>
          <w:szCs w:val="24"/>
          <w:highlight w:val="none"/>
          <w:lang w:val="en-US" w:eastAsia="zh-CN"/>
        </w:rPr>
        <w:t>。</w:t>
      </w:r>
    </w:p>
    <w:p w14:paraId="38E30BB0">
      <w:pPr>
        <w:spacing w:before="156" w:beforeLines="50" w:line="360" w:lineRule="auto"/>
        <w:outlineLvl w:val="9"/>
        <w:rPr>
          <w:rFonts w:hint="default" w:ascii="Times New Roman" w:hAnsi="Times New Roman" w:cs="Times New Roman" w:eastAsiaTheme="minorEastAsia"/>
          <w:b/>
          <w:sz w:val="24"/>
          <w:szCs w:val="24"/>
          <w:highlight w:val="none"/>
          <w:lang w:val="en-US" w:eastAsia="zh-CN"/>
        </w:rPr>
      </w:pPr>
      <w:r>
        <w:rPr>
          <w:rFonts w:hint="default" w:ascii="Times New Roman" w:hAnsi="Times New Roman" w:cs="Times New Roman" w:eastAsiaTheme="minorEastAsia"/>
          <w:b/>
          <w:sz w:val="24"/>
          <w:szCs w:val="24"/>
          <w:lang w:val="en-US" w:eastAsia="zh-CN"/>
        </w:rPr>
        <w:t>（四）</w:t>
      </w:r>
      <w:r>
        <w:rPr>
          <w:rFonts w:hint="default" w:ascii="Times New Roman" w:hAnsi="Times New Roman" w:cs="Times New Roman" w:eastAsiaTheme="minorEastAsia"/>
          <w:b/>
          <w:sz w:val="24"/>
          <w:szCs w:val="24"/>
          <w:highlight w:val="none"/>
          <w:lang w:val="en-US" w:eastAsia="zh-CN"/>
        </w:rPr>
        <w:t>主要起草人及其所做的工作</w:t>
      </w:r>
    </w:p>
    <w:p w14:paraId="384AEC3A">
      <w:pPr>
        <w:spacing w:before="156" w:beforeLines="50" w:line="360" w:lineRule="auto"/>
        <w:ind w:firstLine="480" w:firstLineChars="200"/>
        <w:rPr>
          <w:rFonts w:hint="default" w:ascii="Segoe UI" w:hAnsi="Segoe UI" w:eastAsia="Segoe UI" w:cs="Segoe UI"/>
          <w:i w:val="0"/>
          <w:iCs w:val="0"/>
          <w:caps w:val="0"/>
          <w:color w:val="0F1115"/>
          <w:spacing w:val="0"/>
          <w:sz w:val="21"/>
          <w:szCs w:val="21"/>
          <w:shd w:val="clear" w:fill="FFFFFF"/>
        </w:rPr>
      </w:pPr>
      <w:r>
        <w:rPr>
          <w:rFonts w:hint="default" w:eastAsiaTheme="minorEastAsia"/>
          <w:sz w:val="24"/>
          <w:szCs w:val="24"/>
          <w:lang w:val="en-US" w:eastAsia="zh-CN"/>
        </w:rPr>
        <w:t>标准主要起草人及其分工详见下表：</w:t>
      </w:r>
    </w:p>
    <w:tbl>
      <w:tblPr>
        <w:tblStyle w:val="7"/>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787"/>
        <w:gridCol w:w="2267"/>
        <w:gridCol w:w="1417"/>
        <w:gridCol w:w="1000"/>
        <w:gridCol w:w="3051"/>
      </w:tblGrid>
      <w:tr w14:paraId="185D7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Header/>
          <w:jc w:val="center"/>
        </w:trPr>
        <w:tc>
          <w:tcPr>
            <w:tcW w:w="787" w:type="dxa"/>
            <w:tcBorders>
              <w:top w:val="nil"/>
            </w:tcBorders>
            <w:shd w:val="clear" w:color="auto" w:fill="FFFFFF"/>
            <w:tcMar>
              <w:top w:w="75" w:type="dxa"/>
              <w:left w:w="0" w:type="dxa"/>
              <w:bottom w:w="75" w:type="dxa"/>
              <w:right w:w="120" w:type="dxa"/>
            </w:tcMar>
            <w:vAlign w:val="center"/>
          </w:tcPr>
          <w:p w14:paraId="52C98C86">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bCs/>
                <w:i w:val="0"/>
                <w:iCs w:val="0"/>
                <w:caps w:val="0"/>
                <w:color w:val="0F1115"/>
                <w:spacing w:val="0"/>
                <w:kern w:val="2"/>
                <w:sz w:val="21"/>
                <w:szCs w:val="21"/>
                <w:shd w:val="clear" w:fill="FFFFFF"/>
                <w:lang w:val="en-US" w:eastAsia="zh-CN" w:bidi="ar-SA"/>
              </w:rPr>
            </w:pPr>
            <w:r>
              <w:rPr>
                <w:rFonts w:hint="default" w:ascii="Segoe UI" w:hAnsi="Segoe UI" w:eastAsia="Segoe UI" w:cs="Segoe UI"/>
                <w:b/>
                <w:bCs/>
                <w:i w:val="0"/>
                <w:iCs w:val="0"/>
                <w:caps w:val="0"/>
                <w:color w:val="0F1115"/>
                <w:spacing w:val="0"/>
                <w:kern w:val="2"/>
                <w:sz w:val="21"/>
                <w:szCs w:val="21"/>
                <w:shd w:val="clear" w:fill="FFFFFF"/>
                <w:lang w:val="en-US" w:eastAsia="zh-CN" w:bidi="ar-SA"/>
              </w:rPr>
              <w:t>姓名</w:t>
            </w:r>
          </w:p>
        </w:tc>
        <w:tc>
          <w:tcPr>
            <w:tcW w:w="2267" w:type="dxa"/>
            <w:tcBorders>
              <w:top w:val="nil"/>
            </w:tcBorders>
            <w:shd w:val="clear" w:color="auto" w:fill="FFFFFF"/>
            <w:tcMar>
              <w:top w:w="75" w:type="dxa"/>
              <w:left w:w="120" w:type="dxa"/>
              <w:bottom w:w="75" w:type="dxa"/>
              <w:right w:w="120" w:type="dxa"/>
            </w:tcMar>
            <w:vAlign w:val="center"/>
          </w:tcPr>
          <w:p w14:paraId="57EC884E">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bCs/>
                <w:i w:val="0"/>
                <w:iCs w:val="0"/>
                <w:caps w:val="0"/>
                <w:color w:val="0F1115"/>
                <w:spacing w:val="0"/>
                <w:kern w:val="2"/>
                <w:sz w:val="21"/>
                <w:szCs w:val="21"/>
                <w:shd w:val="clear" w:fill="FFFFFF"/>
                <w:lang w:val="en-US" w:eastAsia="zh-CN" w:bidi="ar-SA"/>
              </w:rPr>
            </w:pPr>
            <w:r>
              <w:rPr>
                <w:rFonts w:hint="default" w:ascii="Segoe UI" w:hAnsi="Segoe UI" w:eastAsia="Segoe UI" w:cs="Segoe UI"/>
                <w:b/>
                <w:bCs/>
                <w:i w:val="0"/>
                <w:iCs w:val="0"/>
                <w:caps w:val="0"/>
                <w:color w:val="0F1115"/>
                <w:spacing w:val="0"/>
                <w:kern w:val="2"/>
                <w:sz w:val="21"/>
                <w:szCs w:val="21"/>
                <w:shd w:val="clear" w:fill="FFFFFF"/>
                <w:lang w:val="en-US" w:eastAsia="zh-CN" w:bidi="ar-SA"/>
              </w:rPr>
              <w:t>单位</w:t>
            </w:r>
          </w:p>
        </w:tc>
        <w:tc>
          <w:tcPr>
            <w:tcW w:w="1417" w:type="dxa"/>
            <w:tcBorders>
              <w:top w:val="nil"/>
            </w:tcBorders>
            <w:shd w:val="clear" w:color="auto" w:fill="FFFFFF"/>
            <w:tcMar>
              <w:top w:w="75" w:type="dxa"/>
              <w:left w:w="120" w:type="dxa"/>
              <w:bottom w:w="75" w:type="dxa"/>
              <w:right w:w="120" w:type="dxa"/>
            </w:tcMar>
            <w:vAlign w:val="center"/>
          </w:tcPr>
          <w:p w14:paraId="27F820A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bCs/>
                <w:i w:val="0"/>
                <w:iCs w:val="0"/>
                <w:caps w:val="0"/>
                <w:color w:val="0F1115"/>
                <w:spacing w:val="0"/>
                <w:kern w:val="2"/>
                <w:sz w:val="21"/>
                <w:szCs w:val="21"/>
                <w:shd w:val="clear" w:fill="FFFFFF"/>
                <w:lang w:val="en-US" w:eastAsia="zh-CN" w:bidi="ar-SA"/>
              </w:rPr>
            </w:pPr>
            <w:r>
              <w:rPr>
                <w:rFonts w:hint="default" w:ascii="Segoe UI" w:hAnsi="Segoe UI" w:eastAsia="Segoe UI" w:cs="Segoe UI"/>
                <w:b/>
                <w:bCs/>
                <w:i w:val="0"/>
                <w:iCs w:val="0"/>
                <w:caps w:val="0"/>
                <w:color w:val="0F1115"/>
                <w:spacing w:val="0"/>
                <w:kern w:val="2"/>
                <w:sz w:val="21"/>
                <w:szCs w:val="21"/>
                <w:shd w:val="clear" w:fill="FFFFFF"/>
                <w:lang w:val="en-US" w:eastAsia="zh-CN" w:bidi="ar-SA"/>
              </w:rPr>
              <w:t>职务/职称</w:t>
            </w:r>
          </w:p>
        </w:tc>
        <w:tc>
          <w:tcPr>
            <w:tcW w:w="1000" w:type="dxa"/>
            <w:tcBorders>
              <w:top w:val="nil"/>
            </w:tcBorders>
            <w:shd w:val="clear" w:color="auto" w:fill="FFFFFF"/>
            <w:tcMar>
              <w:top w:w="75" w:type="dxa"/>
              <w:left w:w="120" w:type="dxa"/>
              <w:bottom w:w="75" w:type="dxa"/>
              <w:right w:w="120" w:type="dxa"/>
            </w:tcMar>
            <w:vAlign w:val="center"/>
          </w:tcPr>
          <w:p w14:paraId="31E7EE92">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bCs/>
                <w:i w:val="0"/>
                <w:iCs w:val="0"/>
                <w:caps w:val="0"/>
                <w:color w:val="0F1115"/>
                <w:spacing w:val="0"/>
                <w:kern w:val="2"/>
                <w:sz w:val="21"/>
                <w:szCs w:val="21"/>
                <w:shd w:val="clear" w:fill="FFFFFF"/>
                <w:lang w:val="en-US" w:eastAsia="zh-CN" w:bidi="ar-SA"/>
              </w:rPr>
            </w:pPr>
            <w:r>
              <w:rPr>
                <w:rFonts w:hint="default" w:ascii="Segoe UI" w:hAnsi="Segoe UI" w:eastAsia="Segoe UI" w:cs="Segoe UI"/>
                <w:b/>
                <w:bCs/>
                <w:i w:val="0"/>
                <w:iCs w:val="0"/>
                <w:caps w:val="0"/>
                <w:color w:val="0F1115"/>
                <w:spacing w:val="0"/>
                <w:kern w:val="2"/>
                <w:sz w:val="21"/>
                <w:szCs w:val="21"/>
                <w:shd w:val="clear" w:fill="FFFFFF"/>
                <w:lang w:val="en-US" w:eastAsia="zh-CN" w:bidi="ar-SA"/>
              </w:rPr>
              <w:t>项目职务</w:t>
            </w:r>
          </w:p>
        </w:tc>
        <w:tc>
          <w:tcPr>
            <w:tcW w:w="3051" w:type="dxa"/>
            <w:tcBorders>
              <w:top w:val="nil"/>
            </w:tcBorders>
            <w:shd w:val="clear" w:color="auto" w:fill="FFFFFF"/>
            <w:tcMar>
              <w:top w:w="75" w:type="dxa"/>
              <w:left w:w="120" w:type="dxa"/>
              <w:bottom w:w="75" w:type="dxa"/>
              <w:right w:w="120" w:type="dxa"/>
            </w:tcMar>
            <w:vAlign w:val="center"/>
          </w:tcPr>
          <w:p w14:paraId="518726A5">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bCs/>
                <w:i w:val="0"/>
                <w:iCs w:val="0"/>
                <w:caps w:val="0"/>
                <w:color w:val="0F1115"/>
                <w:spacing w:val="0"/>
                <w:kern w:val="2"/>
                <w:sz w:val="21"/>
                <w:szCs w:val="21"/>
                <w:shd w:val="clear" w:fill="FFFFFF"/>
                <w:lang w:val="en-US" w:eastAsia="zh-CN" w:bidi="ar-SA"/>
              </w:rPr>
            </w:pPr>
            <w:r>
              <w:rPr>
                <w:rFonts w:hint="default" w:ascii="Segoe UI" w:hAnsi="Segoe UI" w:eastAsia="Segoe UI" w:cs="Segoe UI"/>
                <w:b/>
                <w:bCs/>
                <w:i w:val="0"/>
                <w:iCs w:val="0"/>
                <w:caps w:val="0"/>
                <w:color w:val="0F1115"/>
                <w:spacing w:val="0"/>
                <w:kern w:val="2"/>
                <w:sz w:val="21"/>
                <w:szCs w:val="21"/>
                <w:shd w:val="clear" w:fill="FFFFFF"/>
                <w:lang w:val="en-US" w:eastAsia="zh-CN" w:bidi="ar-SA"/>
              </w:rPr>
              <w:t>分工</w:t>
            </w:r>
          </w:p>
        </w:tc>
      </w:tr>
      <w:tr w14:paraId="073C5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2F5A0A7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项勇</w:t>
            </w:r>
          </w:p>
        </w:tc>
        <w:tc>
          <w:tcPr>
            <w:tcW w:w="2267" w:type="dxa"/>
            <w:shd w:val="clear" w:color="auto" w:fill="FFFFFF"/>
            <w:tcMar>
              <w:top w:w="75" w:type="dxa"/>
              <w:left w:w="120" w:type="dxa"/>
              <w:bottom w:w="75" w:type="dxa"/>
              <w:right w:w="120" w:type="dxa"/>
            </w:tcMar>
            <w:vAlign w:val="center"/>
          </w:tcPr>
          <w:p w14:paraId="665F4D75">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13272D48">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7BF8A846">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组长</w:t>
            </w:r>
          </w:p>
        </w:tc>
        <w:tc>
          <w:tcPr>
            <w:tcW w:w="3051" w:type="dxa"/>
            <w:shd w:val="clear" w:color="auto" w:fill="FFFFFF"/>
            <w:tcMar>
              <w:top w:w="75" w:type="dxa"/>
              <w:left w:w="120" w:type="dxa"/>
              <w:bottom w:w="75" w:type="dxa"/>
              <w:right w:w="0" w:type="dxa"/>
            </w:tcMar>
            <w:vAlign w:val="center"/>
          </w:tcPr>
          <w:p w14:paraId="24F89CD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负责组织、协调，并参与标准编写工作；标准总体策划</w:t>
            </w:r>
          </w:p>
        </w:tc>
      </w:tr>
      <w:tr w14:paraId="161CF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02F68CC2">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bookmarkStart w:id="9" w:name="_GoBack" w:colFirst="4" w:colLast="4"/>
            <w:r>
              <w:rPr>
                <w:rFonts w:hint="default" w:ascii="Segoe UI" w:hAnsi="Segoe UI" w:eastAsia="Segoe UI" w:cs="Segoe UI"/>
                <w:i w:val="0"/>
                <w:iCs w:val="0"/>
                <w:caps w:val="0"/>
                <w:color w:val="0F1115"/>
                <w:spacing w:val="0"/>
                <w:kern w:val="2"/>
                <w:sz w:val="21"/>
                <w:szCs w:val="21"/>
                <w:shd w:val="clear" w:fill="FFFFFF"/>
                <w:lang w:val="en-US" w:eastAsia="zh-CN" w:bidi="ar-SA"/>
              </w:rPr>
              <w:t>纪永波</w:t>
            </w:r>
          </w:p>
        </w:tc>
        <w:tc>
          <w:tcPr>
            <w:tcW w:w="2267" w:type="dxa"/>
            <w:shd w:val="clear" w:color="auto" w:fill="FFFFFF"/>
            <w:tcMar>
              <w:top w:w="75" w:type="dxa"/>
              <w:left w:w="120" w:type="dxa"/>
              <w:bottom w:w="75" w:type="dxa"/>
              <w:right w:w="120" w:type="dxa"/>
            </w:tcMar>
            <w:vAlign w:val="center"/>
          </w:tcPr>
          <w:p w14:paraId="3D376595">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交通运输部水运科学研究院</w:t>
            </w:r>
          </w:p>
        </w:tc>
        <w:tc>
          <w:tcPr>
            <w:tcW w:w="1417" w:type="dxa"/>
            <w:shd w:val="clear" w:color="auto" w:fill="FFFFFF"/>
            <w:tcMar>
              <w:top w:w="75" w:type="dxa"/>
              <w:left w:w="120" w:type="dxa"/>
              <w:bottom w:w="75" w:type="dxa"/>
              <w:right w:w="120" w:type="dxa"/>
            </w:tcMar>
            <w:vAlign w:val="center"/>
          </w:tcPr>
          <w:p w14:paraId="6B230FCB">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船舶中心主任</w:t>
            </w:r>
          </w:p>
        </w:tc>
        <w:tc>
          <w:tcPr>
            <w:tcW w:w="1000" w:type="dxa"/>
            <w:shd w:val="clear" w:color="auto" w:fill="FFFFFF"/>
            <w:tcMar>
              <w:top w:w="75" w:type="dxa"/>
              <w:left w:w="120" w:type="dxa"/>
              <w:bottom w:w="75" w:type="dxa"/>
              <w:right w:w="120" w:type="dxa"/>
            </w:tcMar>
            <w:vAlign w:val="center"/>
          </w:tcPr>
          <w:p w14:paraId="192A2520">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19C3243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负责第1章范围编写；参与调研，提供行业发展趋势指导</w:t>
            </w:r>
          </w:p>
        </w:tc>
      </w:tr>
      <w:tr w14:paraId="70069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1F8DA325">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可雪杰</w:t>
            </w:r>
          </w:p>
        </w:tc>
        <w:tc>
          <w:tcPr>
            <w:tcW w:w="2267" w:type="dxa"/>
            <w:shd w:val="clear" w:color="auto" w:fill="FFFFFF"/>
            <w:tcMar>
              <w:top w:w="75" w:type="dxa"/>
              <w:left w:w="120" w:type="dxa"/>
              <w:bottom w:w="75" w:type="dxa"/>
              <w:right w:w="120" w:type="dxa"/>
            </w:tcMar>
            <w:vAlign w:val="center"/>
          </w:tcPr>
          <w:p w14:paraId="1D945F84">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4EEB8407">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6A2EA975">
            <w:pPr>
              <w:keepNext/>
              <w:keepLines w:val="0"/>
              <w:widowControl/>
              <w:suppressLineNumbers w:val="0"/>
              <w:snapToGrid w:val="0"/>
              <w:spacing w:line="240" w:lineRule="auto"/>
              <w:ind w:left="0" w:leftChars="0" w:right="0" w:rightChars="0" w:firstLine="0" w:firstLineChars="0"/>
              <w:jc w:val="center"/>
              <w:rPr>
                <w:rFonts w:hint="eastAsia"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28139E95">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负责第2章规范性引用文件、第3章术语和定义编写</w:t>
            </w:r>
          </w:p>
        </w:tc>
      </w:tr>
      <w:tr w14:paraId="5148C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4A984830">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凌贵阳</w:t>
            </w:r>
          </w:p>
        </w:tc>
        <w:tc>
          <w:tcPr>
            <w:tcW w:w="2267" w:type="dxa"/>
            <w:shd w:val="clear" w:color="auto" w:fill="FFFFFF"/>
            <w:tcMar>
              <w:top w:w="75" w:type="dxa"/>
              <w:left w:w="120" w:type="dxa"/>
              <w:bottom w:w="75" w:type="dxa"/>
              <w:right w:w="120" w:type="dxa"/>
            </w:tcMar>
            <w:vAlign w:val="center"/>
          </w:tcPr>
          <w:p w14:paraId="7048CB6B">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上海组合港管理委员会办公室</w:t>
            </w:r>
          </w:p>
        </w:tc>
        <w:tc>
          <w:tcPr>
            <w:tcW w:w="1417" w:type="dxa"/>
            <w:shd w:val="clear" w:color="auto" w:fill="FFFFFF"/>
            <w:tcMar>
              <w:top w:w="75" w:type="dxa"/>
              <w:left w:w="120" w:type="dxa"/>
              <w:bottom w:w="75" w:type="dxa"/>
              <w:right w:w="120" w:type="dxa"/>
            </w:tcMar>
            <w:vAlign w:val="center"/>
          </w:tcPr>
          <w:p w14:paraId="7D0B352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副处长</w:t>
            </w:r>
          </w:p>
        </w:tc>
        <w:tc>
          <w:tcPr>
            <w:tcW w:w="1000" w:type="dxa"/>
            <w:shd w:val="clear" w:color="auto" w:fill="FFFFFF"/>
            <w:tcMar>
              <w:top w:w="75" w:type="dxa"/>
              <w:left w:w="120" w:type="dxa"/>
              <w:bottom w:w="75" w:type="dxa"/>
              <w:right w:w="120" w:type="dxa"/>
            </w:tcMar>
            <w:vAlign w:val="center"/>
          </w:tcPr>
          <w:p w14:paraId="60959C3A">
            <w:pPr>
              <w:keepNext/>
              <w:keepLines w:val="0"/>
              <w:widowControl/>
              <w:suppressLineNumbers w:val="0"/>
              <w:snapToGrid w:val="0"/>
              <w:spacing w:line="240" w:lineRule="auto"/>
              <w:ind w:left="0" w:leftChars="0" w:right="0" w:rightChars="0" w:firstLine="0" w:firstLineChars="0"/>
              <w:jc w:val="center"/>
              <w:rPr>
                <w:rFonts w:hint="eastAsia"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40300DA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负责第5章5.1环境要求编写；提供区域协同机制建议</w:t>
            </w:r>
          </w:p>
        </w:tc>
      </w:tr>
      <w:tr w14:paraId="3ED82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5DD21597">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练建国</w:t>
            </w:r>
          </w:p>
        </w:tc>
        <w:tc>
          <w:tcPr>
            <w:tcW w:w="2267" w:type="dxa"/>
            <w:shd w:val="clear" w:color="auto" w:fill="FFFFFF"/>
            <w:tcMar>
              <w:top w:w="75" w:type="dxa"/>
              <w:left w:w="120" w:type="dxa"/>
              <w:bottom w:w="75" w:type="dxa"/>
              <w:right w:w="120" w:type="dxa"/>
            </w:tcMar>
            <w:vAlign w:val="center"/>
          </w:tcPr>
          <w:p w14:paraId="15BB16CE">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江苏远洋运输有限公司</w:t>
            </w:r>
          </w:p>
        </w:tc>
        <w:tc>
          <w:tcPr>
            <w:tcW w:w="1417" w:type="dxa"/>
            <w:shd w:val="clear" w:color="auto" w:fill="FFFFFF"/>
            <w:tcMar>
              <w:top w:w="75" w:type="dxa"/>
              <w:left w:w="120" w:type="dxa"/>
              <w:bottom w:w="75" w:type="dxa"/>
              <w:right w:w="120" w:type="dxa"/>
            </w:tcMar>
            <w:vAlign w:val="center"/>
          </w:tcPr>
          <w:p w14:paraId="0040BE6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387A9D16">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00AE204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负责第5章5.2安全要求编写；提供运营需求建议</w:t>
            </w:r>
          </w:p>
        </w:tc>
      </w:tr>
      <w:tr w14:paraId="75313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078963A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郑松松</w:t>
            </w:r>
          </w:p>
        </w:tc>
        <w:tc>
          <w:tcPr>
            <w:tcW w:w="2267" w:type="dxa"/>
            <w:shd w:val="clear" w:color="auto" w:fill="FFFFFF"/>
            <w:tcMar>
              <w:top w:w="75" w:type="dxa"/>
              <w:left w:w="120" w:type="dxa"/>
              <w:bottom w:w="75" w:type="dxa"/>
              <w:right w:w="120" w:type="dxa"/>
            </w:tcMar>
            <w:vAlign w:val="center"/>
          </w:tcPr>
          <w:p w14:paraId="6AE716AB">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国网浙江省电力有限公司湖州供电公司</w:t>
            </w:r>
          </w:p>
        </w:tc>
        <w:tc>
          <w:tcPr>
            <w:tcW w:w="1417" w:type="dxa"/>
            <w:shd w:val="clear" w:color="auto" w:fill="FFFFFF"/>
            <w:tcMar>
              <w:top w:w="75" w:type="dxa"/>
              <w:left w:w="120" w:type="dxa"/>
              <w:bottom w:w="75" w:type="dxa"/>
              <w:right w:w="120" w:type="dxa"/>
            </w:tcMar>
            <w:vAlign w:val="center"/>
          </w:tcPr>
          <w:p w14:paraId="32A2D1C5">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465EA740">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17A5E0C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负责第5章5.3标志编写；提供电网接入技术要求</w:t>
            </w:r>
          </w:p>
        </w:tc>
      </w:tr>
      <w:tr w14:paraId="3319D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3360845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常国梅</w:t>
            </w:r>
          </w:p>
        </w:tc>
        <w:tc>
          <w:tcPr>
            <w:tcW w:w="2267" w:type="dxa"/>
            <w:shd w:val="clear" w:color="auto" w:fill="FFFFFF"/>
            <w:tcMar>
              <w:top w:w="75" w:type="dxa"/>
              <w:left w:w="120" w:type="dxa"/>
              <w:bottom w:w="75" w:type="dxa"/>
              <w:right w:w="120" w:type="dxa"/>
            </w:tcMar>
            <w:vAlign w:val="center"/>
          </w:tcPr>
          <w:p w14:paraId="1E290DF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中船赛思亿（无锡）电气科技有限公司</w:t>
            </w:r>
          </w:p>
        </w:tc>
        <w:tc>
          <w:tcPr>
            <w:tcW w:w="1417" w:type="dxa"/>
            <w:shd w:val="clear" w:color="auto" w:fill="FFFFFF"/>
            <w:tcMar>
              <w:top w:w="75" w:type="dxa"/>
              <w:left w:w="120" w:type="dxa"/>
              <w:bottom w:w="75" w:type="dxa"/>
              <w:right w:w="120" w:type="dxa"/>
            </w:tcMar>
            <w:vAlign w:val="center"/>
          </w:tcPr>
          <w:p w14:paraId="3BBB0397">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4E4EC32B">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018BE3C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负责第6章6.1变压器编写</w:t>
            </w:r>
          </w:p>
        </w:tc>
      </w:tr>
      <w:tr w14:paraId="17EF8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1FBFC083">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黄益斌</w:t>
            </w:r>
          </w:p>
        </w:tc>
        <w:tc>
          <w:tcPr>
            <w:tcW w:w="2267" w:type="dxa"/>
            <w:shd w:val="clear" w:color="auto" w:fill="FFFFFF"/>
            <w:tcMar>
              <w:top w:w="75" w:type="dxa"/>
              <w:left w:w="120" w:type="dxa"/>
              <w:bottom w:w="75" w:type="dxa"/>
              <w:right w:w="120" w:type="dxa"/>
            </w:tcMar>
            <w:vAlign w:val="center"/>
          </w:tcPr>
          <w:p w14:paraId="416D1424">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江苏健龙电器有限公司</w:t>
            </w:r>
          </w:p>
        </w:tc>
        <w:tc>
          <w:tcPr>
            <w:tcW w:w="1417" w:type="dxa"/>
            <w:shd w:val="clear" w:color="auto" w:fill="FFFFFF"/>
            <w:tcMar>
              <w:top w:w="75" w:type="dxa"/>
              <w:left w:w="120" w:type="dxa"/>
              <w:bottom w:w="75" w:type="dxa"/>
              <w:right w:w="120" w:type="dxa"/>
            </w:tcMar>
            <w:vAlign w:val="center"/>
          </w:tcPr>
          <w:p w14:paraId="7F63EC24">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685B4CEE">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57FAD07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负责第6章6.6连接装置编写；参与标准结构确定</w:t>
            </w:r>
          </w:p>
        </w:tc>
      </w:tr>
      <w:tr w14:paraId="51D35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44EA9D2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赵唯丞</w:t>
            </w:r>
          </w:p>
        </w:tc>
        <w:tc>
          <w:tcPr>
            <w:tcW w:w="2267" w:type="dxa"/>
            <w:shd w:val="clear" w:color="auto" w:fill="FFFFFF"/>
            <w:tcMar>
              <w:top w:w="75" w:type="dxa"/>
              <w:left w:w="120" w:type="dxa"/>
              <w:bottom w:w="75" w:type="dxa"/>
              <w:right w:w="120" w:type="dxa"/>
            </w:tcMar>
            <w:vAlign w:val="center"/>
          </w:tcPr>
          <w:p w14:paraId="0817D94C">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15FD1D4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工程师</w:t>
            </w:r>
          </w:p>
        </w:tc>
        <w:tc>
          <w:tcPr>
            <w:tcW w:w="1000" w:type="dxa"/>
            <w:shd w:val="clear" w:color="auto" w:fill="FFFFFF"/>
            <w:tcMar>
              <w:top w:w="75" w:type="dxa"/>
              <w:left w:w="120" w:type="dxa"/>
              <w:bottom w:w="75" w:type="dxa"/>
              <w:right w:w="120" w:type="dxa"/>
            </w:tcMar>
            <w:vAlign w:val="center"/>
          </w:tcPr>
          <w:p w14:paraId="29E9CBCA">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5F2DC5BB">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负责第6章6.3监控装置编写</w:t>
            </w:r>
          </w:p>
        </w:tc>
      </w:tr>
      <w:tr w14:paraId="01F1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4BF34CD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林诚</w:t>
            </w:r>
          </w:p>
        </w:tc>
        <w:tc>
          <w:tcPr>
            <w:tcW w:w="2267" w:type="dxa"/>
            <w:shd w:val="clear" w:color="auto" w:fill="FFFFFF"/>
            <w:tcMar>
              <w:top w:w="75" w:type="dxa"/>
              <w:left w:w="120" w:type="dxa"/>
              <w:bottom w:w="75" w:type="dxa"/>
              <w:right w:w="120" w:type="dxa"/>
            </w:tcMar>
            <w:vAlign w:val="center"/>
          </w:tcPr>
          <w:p w14:paraId="64161426">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69500489">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工程师</w:t>
            </w:r>
          </w:p>
        </w:tc>
        <w:tc>
          <w:tcPr>
            <w:tcW w:w="1000" w:type="dxa"/>
            <w:shd w:val="clear" w:color="auto" w:fill="FFFFFF"/>
            <w:tcMar>
              <w:top w:w="75" w:type="dxa"/>
              <w:left w:w="120" w:type="dxa"/>
              <w:bottom w:w="75" w:type="dxa"/>
              <w:right w:w="120" w:type="dxa"/>
            </w:tcMar>
            <w:vAlign w:val="center"/>
          </w:tcPr>
          <w:p w14:paraId="5C284F23">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73DE32C7">
            <w:pPr>
              <w:keepNext/>
              <w:keepLines w:val="0"/>
              <w:widowControl/>
              <w:suppressLineNumbers w:val="0"/>
              <w:snapToGrid w:val="0"/>
              <w:spacing w:line="240" w:lineRule="auto"/>
              <w:ind w:left="0" w:leftChars="0" w:right="0" w:rightChars="0" w:firstLine="0" w:firstLineChars="0"/>
              <w:jc w:val="left"/>
              <w:rPr>
                <w:rFonts w:hint="eastAsia"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负责第6章6.4开关柜及控制设备</w:t>
            </w:r>
            <w:r>
              <w:rPr>
                <w:rFonts w:hint="eastAsia" w:ascii="Segoe UI" w:hAnsi="Segoe UI" w:eastAsia="Segoe UI" w:cs="Segoe UI"/>
                <w:i w:val="0"/>
                <w:iCs w:val="0"/>
                <w:caps w:val="0"/>
                <w:color w:val="0F1115"/>
                <w:spacing w:val="0"/>
                <w:kern w:val="2"/>
                <w:sz w:val="21"/>
                <w:szCs w:val="21"/>
                <w:shd w:val="clear" w:fill="FFFFFF"/>
                <w:lang w:val="en-US" w:eastAsia="zh-CN" w:bidi="ar-SA"/>
              </w:rPr>
              <w:t>，</w:t>
            </w:r>
            <w:r>
              <w:rPr>
                <w:rFonts w:hint="default" w:ascii="Segoe UI" w:hAnsi="Segoe UI" w:eastAsia="Segoe UI" w:cs="Segoe UI"/>
                <w:i w:val="0"/>
                <w:iCs w:val="0"/>
                <w:caps w:val="0"/>
                <w:color w:val="0F1115"/>
                <w:spacing w:val="0"/>
                <w:kern w:val="2"/>
                <w:sz w:val="21"/>
                <w:szCs w:val="21"/>
                <w:shd w:val="clear" w:fill="FFFFFF"/>
                <w:lang w:val="en-US" w:eastAsia="zh-CN" w:bidi="ar-SA"/>
              </w:rPr>
              <w:t>附录E船岸通信协议编写</w:t>
            </w:r>
          </w:p>
        </w:tc>
      </w:tr>
      <w:tr w14:paraId="12DFD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5142006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梁尚昆</w:t>
            </w:r>
          </w:p>
        </w:tc>
        <w:tc>
          <w:tcPr>
            <w:tcW w:w="2267" w:type="dxa"/>
            <w:shd w:val="clear" w:color="auto" w:fill="FFFFFF"/>
            <w:tcMar>
              <w:top w:w="75" w:type="dxa"/>
              <w:left w:w="120" w:type="dxa"/>
              <w:bottom w:w="75" w:type="dxa"/>
              <w:right w:w="120" w:type="dxa"/>
            </w:tcMar>
            <w:vAlign w:val="center"/>
          </w:tcPr>
          <w:p w14:paraId="7613C86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5866CE3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工程师</w:t>
            </w:r>
          </w:p>
        </w:tc>
        <w:tc>
          <w:tcPr>
            <w:tcW w:w="1000" w:type="dxa"/>
            <w:shd w:val="clear" w:color="auto" w:fill="FFFFFF"/>
            <w:tcMar>
              <w:top w:w="75" w:type="dxa"/>
              <w:left w:w="120" w:type="dxa"/>
              <w:bottom w:w="75" w:type="dxa"/>
              <w:right w:w="120" w:type="dxa"/>
            </w:tcMar>
            <w:vAlign w:val="center"/>
          </w:tcPr>
          <w:p w14:paraId="1CC7278A">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6CBF53A7">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负责第6章6.5计量器具编写</w:t>
            </w:r>
          </w:p>
        </w:tc>
      </w:tr>
      <w:tr w14:paraId="7BD9C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6E834632">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王溯</w:t>
            </w:r>
          </w:p>
        </w:tc>
        <w:tc>
          <w:tcPr>
            <w:tcW w:w="2267" w:type="dxa"/>
            <w:shd w:val="clear" w:color="auto" w:fill="FFFFFF"/>
            <w:tcMar>
              <w:top w:w="75" w:type="dxa"/>
              <w:left w:w="120" w:type="dxa"/>
              <w:bottom w:w="75" w:type="dxa"/>
              <w:right w:w="120" w:type="dxa"/>
            </w:tcMar>
            <w:vAlign w:val="center"/>
          </w:tcPr>
          <w:p w14:paraId="6907794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中国船级社质量认证有限公司</w:t>
            </w:r>
          </w:p>
        </w:tc>
        <w:tc>
          <w:tcPr>
            <w:tcW w:w="1417" w:type="dxa"/>
            <w:shd w:val="clear" w:color="auto" w:fill="FFFFFF"/>
            <w:tcMar>
              <w:top w:w="75" w:type="dxa"/>
              <w:left w:w="120" w:type="dxa"/>
              <w:bottom w:w="75" w:type="dxa"/>
              <w:right w:w="120" w:type="dxa"/>
            </w:tcMar>
            <w:vAlign w:val="center"/>
          </w:tcPr>
          <w:p w14:paraId="63229BB4">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检验师</w:t>
            </w:r>
          </w:p>
        </w:tc>
        <w:tc>
          <w:tcPr>
            <w:tcW w:w="1000" w:type="dxa"/>
            <w:shd w:val="clear" w:color="auto" w:fill="FFFFFF"/>
            <w:tcMar>
              <w:top w:w="75" w:type="dxa"/>
              <w:left w:w="120" w:type="dxa"/>
              <w:bottom w:w="75" w:type="dxa"/>
              <w:right w:w="120" w:type="dxa"/>
            </w:tcMar>
            <w:vAlign w:val="center"/>
          </w:tcPr>
          <w:p w14:paraId="397FC544">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294B8BB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负责第4章分类与构成编写</w:t>
            </w:r>
          </w:p>
        </w:tc>
      </w:tr>
      <w:tr w14:paraId="4AA50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053D12DF">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何军良</w:t>
            </w:r>
          </w:p>
        </w:tc>
        <w:tc>
          <w:tcPr>
            <w:tcW w:w="2267" w:type="dxa"/>
            <w:shd w:val="clear" w:color="auto" w:fill="FFFFFF"/>
            <w:tcMar>
              <w:top w:w="75" w:type="dxa"/>
              <w:left w:w="120" w:type="dxa"/>
              <w:bottom w:w="75" w:type="dxa"/>
              <w:right w:w="120" w:type="dxa"/>
            </w:tcMar>
            <w:vAlign w:val="center"/>
          </w:tcPr>
          <w:p w14:paraId="36B35C59">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上海海事大学物流科学与工程研究院</w:t>
            </w:r>
          </w:p>
        </w:tc>
        <w:tc>
          <w:tcPr>
            <w:tcW w:w="1417" w:type="dxa"/>
            <w:shd w:val="clear" w:color="auto" w:fill="FFFFFF"/>
            <w:tcMar>
              <w:top w:w="75" w:type="dxa"/>
              <w:left w:w="120" w:type="dxa"/>
              <w:bottom w:w="75" w:type="dxa"/>
              <w:right w:w="120" w:type="dxa"/>
            </w:tcMar>
            <w:vAlign w:val="center"/>
          </w:tcPr>
          <w:p w14:paraId="3AAAEBF6">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教授</w:t>
            </w:r>
          </w:p>
        </w:tc>
        <w:tc>
          <w:tcPr>
            <w:tcW w:w="1000" w:type="dxa"/>
            <w:shd w:val="clear" w:color="auto" w:fill="FFFFFF"/>
            <w:tcMar>
              <w:top w:w="75" w:type="dxa"/>
              <w:left w:w="120" w:type="dxa"/>
              <w:bottom w:w="75" w:type="dxa"/>
              <w:right w:w="120" w:type="dxa"/>
            </w:tcMar>
            <w:vAlign w:val="center"/>
          </w:tcPr>
          <w:p w14:paraId="7B5254CD">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1C8C92F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负责第6章6.2整流装置编写</w:t>
            </w:r>
          </w:p>
        </w:tc>
      </w:tr>
      <w:tr w14:paraId="18EDB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4BE70889">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张英杰</w:t>
            </w:r>
          </w:p>
        </w:tc>
        <w:tc>
          <w:tcPr>
            <w:tcW w:w="2267" w:type="dxa"/>
            <w:shd w:val="clear" w:color="auto" w:fill="FFFFFF"/>
            <w:tcMar>
              <w:top w:w="75" w:type="dxa"/>
              <w:left w:w="120" w:type="dxa"/>
              <w:bottom w:w="75" w:type="dxa"/>
              <w:right w:w="120" w:type="dxa"/>
            </w:tcMar>
            <w:vAlign w:val="center"/>
          </w:tcPr>
          <w:p w14:paraId="00D70D52">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上海市交通委员会科技信息处</w:t>
            </w:r>
          </w:p>
        </w:tc>
        <w:tc>
          <w:tcPr>
            <w:tcW w:w="1417" w:type="dxa"/>
            <w:shd w:val="clear" w:color="auto" w:fill="FFFFFF"/>
            <w:tcMar>
              <w:top w:w="75" w:type="dxa"/>
              <w:left w:w="120" w:type="dxa"/>
              <w:bottom w:w="75" w:type="dxa"/>
              <w:right w:w="120" w:type="dxa"/>
            </w:tcMar>
            <w:vAlign w:val="center"/>
          </w:tcPr>
          <w:p w14:paraId="5B9F168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一级主任科员</w:t>
            </w:r>
          </w:p>
        </w:tc>
        <w:tc>
          <w:tcPr>
            <w:tcW w:w="1000" w:type="dxa"/>
            <w:shd w:val="clear" w:color="auto" w:fill="FFFFFF"/>
            <w:tcMar>
              <w:top w:w="75" w:type="dxa"/>
              <w:left w:w="120" w:type="dxa"/>
              <w:bottom w:w="75" w:type="dxa"/>
              <w:right w:w="120" w:type="dxa"/>
            </w:tcMar>
            <w:vAlign w:val="center"/>
          </w:tcPr>
          <w:p w14:paraId="63A66D9C">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73A242C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负责第6章6.7电缆编写；提供政策法规建议</w:t>
            </w:r>
          </w:p>
        </w:tc>
      </w:tr>
      <w:tr w14:paraId="75BDA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7BFBC414">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殷国祥</w:t>
            </w:r>
          </w:p>
        </w:tc>
        <w:tc>
          <w:tcPr>
            <w:tcW w:w="2267" w:type="dxa"/>
            <w:shd w:val="clear" w:color="auto" w:fill="FFFFFF"/>
            <w:tcMar>
              <w:top w:w="75" w:type="dxa"/>
              <w:left w:w="120" w:type="dxa"/>
              <w:bottom w:w="75" w:type="dxa"/>
              <w:right w:w="120" w:type="dxa"/>
            </w:tcMar>
            <w:vAlign w:val="center"/>
          </w:tcPr>
          <w:p w14:paraId="1260B127">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江苏省交通运输厅运输管理局</w:t>
            </w:r>
          </w:p>
        </w:tc>
        <w:tc>
          <w:tcPr>
            <w:tcW w:w="1417" w:type="dxa"/>
            <w:shd w:val="clear" w:color="auto" w:fill="FFFFFF"/>
            <w:tcMar>
              <w:top w:w="75" w:type="dxa"/>
              <w:left w:w="120" w:type="dxa"/>
              <w:bottom w:w="75" w:type="dxa"/>
              <w:right w:w="120" w:type="dxa"/>
            </w:tcMar>
            <w:vAlign w:val="center"/>
          </w:tcPr>
          <w:p w14:paraId="3F517CAD">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一级调研员</w:t>
            </w:r>
          </w:p>
        </w:tc>
        <w:tc>
          <w:tcPr>
            <w:tcW w:w="1000" w:type="dxa"/>
            <w:shd w:val="clear" w:color="auto" w:fill="FFFFFF"/>
            <w:tcMar>
              <w:top w:w="75" w:type="dxa"/>
              <w:left w:w="120" w:type="dxa"/>
              <w:bottom w:w="75" w:type="dxa"/>
              <w:right w:w="120" w:type="dxa"/>
            </w:tcMar>
            <w:vAlign w:val="center"/>
          </w:tcPr>
          <w:p w14:paraId="570D9AA5">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7F7B1128">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负责第6章6.8保护接地编写；提供政策法规建议</w:t>
            </w:r>
          </w:p>
        </w:tc>
      </w:tr>
      <w:tr w14:paraId="4D94C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7478CB26">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史旭初</w:t>
            </w:r>
          </w:p>
        </w:tc>
        <w:tc>
          <w:tcPr>
            <w:tcW w:w="2267" w:type="dxa"/>
            <w:shd w:val="clear" w:color="auto" w:fill="FFFFFF"/>
            <w:tcMar>
              <w:top w:w="75" w:type="dxa"/>
              <w:left w:w="120" w:type="dxa"/>
              <w:bottom w:w="75" w:type="dxa"/>
              <w:right w:w="120" w:type="dxa"/>
            </w:tcMar>
            <w:vAlign w:val="center"/>
          </w:tcPr>
          <w:p w14:paraId="1C666F3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湖州市港航管理中心</w:t>
            </w:r>
          </w:p>
        </w:tc>
        <w:tc>
          <w:tcPr>
            <w:tcW w:w="1417" w:type="dxa"/>
            <w:shd w:val="clear" w:color="auto" w:fill="FFFFFF"/>
            <w:tcMar>
              <w:top w:w="75" w:type="dxa"/>
              <w:left w:w="120" w:type="dxa"/>
              <w:bottom w:w="75" w:type="dxa"/>
              <w:right w:w="120" w:type="dxa"/>
            </w:tcMar>
            <w:vAlign w:val="center"/>
          </w:tcPr>
          <w:p w14:paraId="0D448C5D">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副主任</w:t>
            </w:r>
          </w:p>
        </w:tc>
        <w:tc>
          <w:tcPr>
            <w:tcW w:w="1000" w:type="dxa"/>
            <w:shd w:val="clear" w:color="auto" w:fill="FFFFFF"/>
            <w:tcMar>
              <w:top w:w="75" w:type="dxa"/>
              <w:left w:w="120" w:type="dxa"/>
              <w:bottom w:w="75" w:type="dxa"/>
              <w:right w:w="120" w:type="dxa"/>
            </w:tcMar>
            <w:vAlign w:val="center"/>
          </w:tcPr>
          <w:p w14:paraId="308AF0DF">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179C846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负责第6章6.9延长装置编写；提供水上服务区运营经验</w:t>
            </w:r>
          </w:p>
        </w:tc>
      </w:tr>
      <w:tr w14:paraId="49834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70887F06">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于聪</w:t>
            </w:r>
          </w:p>
        </w:tc>
        <w:tc>
          <w:tcPr>
            <w:tcW w:w="2267" w:type="dxa"/>
            <w:shd w:val="clear" w:color="auto" w:fill="FFFFFF"/>
            <w:tcMar>
              <w:top w:w="75" w:type="dxa"/>
              <w:left w:w="120" w:type="dxa"/>
              <w:bottom w:w="75" w:type="dxa"/>
              <w:right w:w="120" w:type="dxa"/>
            </w:tcMar>
            <w:vAlign w:val="center"/>
          </w:tcPr>
          <w:p w14:paraId="000A2344">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安徽省地方海事（港航）管理服务中心</w:t>
            </w:r>
          </w:p>
        </w:tc>
        <w:tc>
          <w:tcPr>
            <w:tcW w:w="1417" w:type="dxa"/>
            <w:shd w:val="clear" w:color="auto" w:fill="FFFFFF"/>
            <w:tcMar>
              <w:top w:w="75" w:type="dxa"/>
              <w:left w:w="120" w:type="dxa"/>
              <w:bottom w:w="75" w:type="dxa"/>
              <w:right w:w="120" w:type="dxa"/>
            </w:tcMar>
            <w:vAlign w:val="center"/>
          </w:tcPr>
          <w:p w14:paraId="5F170EB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副部长</w:t>
            </w:r>
          </w:p>
        </w:tc>
        <w:tc>
          <w:tcPr>
            <w:tcW w:w="1000" w:type="dxa"/>
            <w:shd w:val="clear" w:color="auto" w:fill="FFFFFF"/>
            <w:tcMar>
              <w:top w:w="75" w:type="dxa"/>
              <w:left w:w="120" w:type="dxa"/>
              <w:bottom w:w="75" w:type="dxa"/>
              <w:right w:w="120" w:type="dxa"/>
            </w:tcMar>
            <w:vAlign w:val="center"/>
          </w:tcPr>
          <w:p w14:paraId="12BCC16B">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0305D0C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负责第6章6.10转换装置编写；提供安徽省电动船舶发展情况</w:t>
            </w:r>
          </w:p>
        </w:tc>
      </w:tr>
      <w:tr w14:paraId="2A568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7F895021">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赵彦涛</w:t>
            </w:r>
          </w:p>
        </w:tc>
        <w:tc>
          <w:tcPr>
            <w:tcW w:w="2267" w:type="dxa"/>
            <w:shd w:val="clear" w:color="auto" w:fill="FFFFFF"/>
            <w:tcMar>
              <w:top w:w="75" w:type="dxa"/>
              <w:left w:w="120" w:type="dxa"/>
              <w:bottom w:w="75" w:type="dxa"/>
              <w:right w:w="120" w:type="dxa"/>
            </w:tcMar>
            <w:vAlign w:val="center"/>
          </w:tcPr>
          <w:p w14:paraId="5D50316A">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国电南瑞南京控制系统有限公司</w:t>
            </w:r>
          </w:p>
        </w:tc>
        <w:tc>
          <w:tcPr>
            <w:tcW w:w="1417" w:type="dxa"/>
            <w:shd w:val="clear" w:color="auto" w:fill="FFFFFF"/>
            <w:tcMar>
              <w:top w:w="75" w:type="dxa"/>
              <w:left w:w="120" w:type="dxa"/>
              <w:bottom w:w="75" w:type="dxa"/>
              <w:right w:w="120" w:type="dxa"/>
            </w:tcMar>
            <w:vAlign w:val="center"/>
          </w:tcPr>
          <w:p w14:paraId="08E56256">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205292F9">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71C4E225">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负责第7章7.1-7.4（概述、系统组成与拓扑结构、系统容量与输出要求、系统功能要求）编写</w:t>
            </w:r>
          </w:p>
        </w:tc>
      </w:tr>
      <w:tr w14:paraId="028E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5E3A933B">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徐理晟</w:t>
            </w:r>
          </w:p>
        </w:tc>
        <w:tc>
          <w:tcPr>
            <w:tcW w:w="2267" w:type="dxa"/>
            <w:shd w:val="clear" w:color="auto" w:fill="FFFFFF"/>
            <w:tcMar>
              <w:top w:w="75" w:type="dxa"/>
              <w:left w:w="120" w:type="dxa"/>
              <w:bottom w:w="75" w:type="dxa"/>
              <w:right w:w="120" w:type="dxa"/>
            </w:tcMar>
            <w:vAlign w:val="center"/>
          </w:tcPr>
          <w:p w14:paraId="573CC7D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上海冕电新能源科技有限公司</w:t>
            </w:r>
          </w:p>
        </w:tc>
        <w:tc>
          <w:tcPr>
            <w:tcW w:w="1417" w:type="dxa"/>
            <w:shd w:val="clear" w:color="auto" w:fill="FFFFFF"/>
            <w:tcMar>
              <w:top w:w="75" w:type="dxa"/>
              <w:left w:w="120" w:type="dxa"/>
              <w:bottom w:w="75" w:type="dxa"/>
              <w:right w:w="120" w:type="dxa"/>
            </w:tcMar>
            <w:vAlign w:val="center"/>
          </w:tcPr>
          <w:p w14:paraId="2D4C19B3">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工程师</w:t>
            </w:r>
          </w:p>
        </w:tc>
        <w:tc>
          <w:tcPr>
            <w:tcW w:w="1000" w:type="dxa"/>
            <w:shd w:val="clear" w:color="auto" w:fill="FFFFFF"/>
            <w:tcMar>
              <w:top w:w="75" w:type="dxa"/>
              <w:left w:w="120" w:type="dxa"/>
              <w:bottom w:w="75" w:type="dxa"/>
              <w:right w:w="120" w:type="dxa"/>
            </w:tcMar>
            <w:vAlign w:val="center"/>
          </w:tcPr>
          <w:p w14:paraId="42041FDB">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1AC042A1">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负责第7章7.5-7.7（安全与保护要求、兼容性与接口要求、环境适应性）编写</w:t>
            </w:r>
          </w:p>
        </w:tc>
      </w:tr>
      <w:tr w14:paraId="407B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05BB11AC">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孙岗</w:t>
            </w:r>
          </w:p>
        </w:tc>
        <w:tc>
          <w:tcPr>
            <w:tcW w:w="2267" w:type="dxa"/>
            <w:shd w:val="clear" w:color="auto" w:fill="FFFFFF"/>
            <w:tcMar>
              <w:top w:w="75" w:type="dxa"/>
              <w:left w:w="120" w:type="dxa"/>
              <w:bottom w:w="75" w:type="dxa"/>
              <w:right w:w="120" w:type="dxa"/>
            </w:tcMar>
            <w:vAlign w:val="center"/>
          </w:tcPr>
          <w:p w14:paraId="7E1A5A8F">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浙江瑞港绿能航运有限公司</w:t>
            </w:r>
          </w:p>
        </w:tc>
        <w:tc>
          <w:tcPr>
            <w:tcW w:w="1417" w:type="dxa"/>
            <w:shd w:val="clear" w:color="auto" w:fill="FFFFFF"/>
            <w:tcMar>
              <w:top w:w="75" w:type="dxa"/>
              <w:left w:w="120" w:type="dxa"/>
              <w:bottom w:w="75" w:type="dxa"/>
              <w:right w:w="120" w:type="dxa"/>
            </w:tcMar>
            <w:vAlign w:val="center"/>
          </w:tcPr>
          <w:p w14:paraId="3F5DFB38">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高级工程师</w:t>
            </w:r>
          </w:p>
        </w:tc>
        <w:tc>
          <w:tcPr>
            <w:tcW w:w="1000" w:type="dxa"/>
            <w:shd w:val="clear" w:color="auto" w:fill="FFFFFF"/>
            <w:tcMar>
              <w:top w:w="75" w:type="dxa"/>
              <w:left w:w="120" w:type="dxa"/>
              <w:bottom w:w="75" w:type="dxa"/>
              <w:right w:w="120" w:type="dxa"/>
            </w:tcMar>
            <w:vAlign w:val="center"/>
          </w:tcPr>
          <w:p w14:paraId="1F39F789">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6597B9BB">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负责第7章7.8计量与能效管理编写</w:t>
            </w:r>
          </w:p>
        </w:tc>
      </w:tr>
      <w:tr w14:paraId="6D001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0" w:hRule="atLeast"/>
          <w:jc w:val="center"/>
        </w:trPr>
        <w:tc>
          <w:tcPr>
            <w:tcW w:w="787" w:type="dxa"/>
            <w:shd w:val="clear" w:color="auto" w:fill="FFFFFF"/>
            <w:tcMar>
              <w:top w:w="75" w:type="dxa"/>
              <w:left w:w="0" w:type="dxa"/>
              <w:bottom w:w="75" w:type="dxa"/>
              <w:right w:w="120" w:type="dxa"/>
            </w:tcMar>
            <w:vAlign w:val="center"/>
          </w:tcPr>
          <w:p w14:paraId="34E0AF97">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李文东</w:t>
            </w:r>
          </w:p>
        </w:tc>
        <w:tc>
          <w:tcPr>
            <w:tcW w:w="2267" w:type="dxa"/>
            <w:shd w:val="clear" w:color="auto" w:fill="FFFFFF"/>
            <w:tcMar>
              <w:top w:w="75" w:type="dxa"/>
              <w:left w:w="120" w:type="dxa"/>
              <w:bottom w:w="75" w:type="dxa"/>
              <w:right w:w="120" w:type="dxa"/>
            </w:tcMar>
            <w:vAlign w:val="center"/>
          </w:tcPr>
          <w:p w14:paraId="78864726">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苏州汇川技术有限公司</w:t>
            </w:r>
          </w:p>
        </w:tc>
        <w:tc>
          <w:tcPr>
            <w:tcW w:w="1417" w:type="dxa"/>
            <w:shd w:val="clear" w:color="auto" w:fill="FFFFFF"/>
            <w:tcMar>
              <w:top w:w="75" w:type="dxa"/>
              <w:left w:w="120" w:type="dxa"/>
              <w:bottom w:w="75" w:type="dxa"/>
              <w:right w:w="120" w:type="dxa"/>
            </w:tcMar>
            <w:vAlign w:val="center"/>
          </w:tcPr>
          <w:p w14:paraId="73FA7C2C">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eastAsia" w:ascii="Segoe UI" w:hAnsi="Segoe UI" w:eastAsia="Segoe UI" w:cs="Segoe UI"/>
                <w:i w:val="0"/>
                <w:iCs w:val="0"/>
                <w:caps w:val="0"/>
                <w:color w:val="0F1115"/>
                <w:spacing w:val="0"/>
                <w:kern w:val="2"/>
                <w:sz w:val="21"/>
                <w:szCs w:val="21"/>
                <w:shd w:val="clear" w:fill="FFFFFF"/>
                <w:lang w:val="en-US" w:eastAsia="zh-CN" w:bidi="ar-SA"/>
              </w:rPr>
              <w:t>港口行业总工</w:t>
            </w:r>
          </w:p>
        </w:tc>
        <w:tc>
          <w:tcPr>
            <w:tcW w:w="1000" w:type="dxa"/>
            <w:shd w:val="clear" w:color="auto" w:fill="FFFFFF"/>
            <w:tcMar>
              <w:top w:w="75" w:type="dxa"/>
              <w:left w:w="120" w:type="dxa"/>
              <w:bottom w:w="75" w:type="dxa"/>
              <w:right w:w="120" w:type="dxa"/>
            </w:tcMar>
            <w:vAlign w:val="center"/>
          </w:tcPr>
          <w:p w14:paraId="4C1179CA">
            <w:pPr>
              <w:keepNext/>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组员</w:t>
            </w:r>
          </w:p>
        </w:tc>
        <w:tc>
          <w:tcPr>
            <w:tcW w:w="3051" w:type="dxa"/>
            <w:shd w:val="clear" w:color="auto" w:fill="FFFFFF"/>
            <w:tcMar>
              <w:top w:w="75" w:type="dxa"/>
              <w:left w:w="120" w:type="dxa"/>
              <w:bottom w:w="75" w:type="dxa"/>
              <w:right w:w="0" w:type="dxa"/>
            </w:tcMar>
            <w:vAlign w:val="center"/>
          </w:tcPr>
          <w:p w14:paraId="0C84FB5C">
            <w:pPr>
              <w:keepNext/>
              <w:keepLines w:val="0"/>
              <w:widowControl/>
              <w:suppressLineNumbers w:val="0"/>
              <w:snapToGrid w:val="0"/>
              <w:spacing w:line="240" w:lineRule="auto"/>
              <w:ind w:left="0" w:leftChars="0" w:right="0" w:rightChars="0" w:firstLine="0" w:firstLineChars="0"/>
              <w:jc w:val="left"/>
              <w:rPr>
                <w:rFonts w:hint="default" w:ascii="Segoe UI" w:hAnsi="Segoe UI" w:eastAsia="Segoe UI" w:cs="Segoe UI"/>
                <w:i w:val="0"/>
                <w:iCs w:val="0"/>
                <w:caps w:val="0"/>
                <w:color w:val="0F1115"/>
                <w:spacing w:val="0"/>
                <w:kern w:val="2"/>
                <w:sz w:val="21"/>
                <w:szCs w:val="21"/>
                <w:shd w:val="clear" w:fill="FFFFFF"/>
                <w:lang w:val="en-US" w:eastAsia="zh-CN" w:bidi="ar-SA"/>
              </w:rPr>
            </w:pPr>
            <w:r>
              <w:rPr>
                <w:rFonts w:hint="default" w:ascii="Segoe UI" w:hAnsi="Segoe UI" w:eastAsia="Segoe UI" w:cs="Segoe UI"/>
                <w:i w:val="0"/>
                <w:iCs w:val="0"/>
                <w:caps w:val="0"/>
                <w:color w:val="0F1115"/>
                <w:spacing w:val="0"/>
                <w:kern w:val="2"/>
                <w:sz w:val="21"/>
                <w:szCs w:val="21"/>
                <w:shd w:val="clear" w:fill="FFFFFF"/>
                <w:lang w:val="en-US" w:eastAsia="zh-CN" w:bidi="ar-SA"/>
              </w:rPr>
              <w:t>负责附录A典型充电设施结构示意图、附录B典型泊位充电设施布置技术方案图</w:t>
            </w:r>
            <w:r>
              <w:rPr>
                <w:rFonts w:hint="eastAsia" w:ascii="Segoe UI" w:hAnsi="Segoe UI" w:eastAsia="Segoe UI" w:cs="Segoe UI"/>
                <w:i w:val="0"/>
                <w:iCs w:val="0"/>
                <w:caps w:val="0"/>
                <w:color w:val="0F1115"/>
                <w:spacing w:val="0"/>
                <w:kern w:val="2"/>
                <w:sz w:val="21"/>
                <w:szCs w:val="21"/>
                <w:shd w:val="clear" w:fill="FFFFFF"/>
                <w:lang w:val="en-US" w:eastAsia="zh-CN" w:bidi="ar-SA"/>
              </w:rPr>
              <w:t>，</w:t>
            </w:r>
            <w:r>
              <w:rPr>
                <w:rFonts w:hint="default" w:ascii="Segoe UI" w:hAnsi="Segoe UI" w:eastAsia="Segoe UI" w:cs="Segoe UI"/>
                <w:i w:val="0"/>
                <w:iCs w:val="0"/>
                <w:caps w:val="0"/>
                <w:color w:val="0F1115"/>
                <w:spacing w:val="0"/>
                <w:kern w:val="2"/>
                <w:sz w:val="21"/>
                <w:szCs w:val="21"/>
                <w:shd w:val="clear" w:fill="FFFFFF"/>
                <w:lang w:val="en-US" w:eastAsia="zh-CN" w:bidi="ar-SA"/>
              </w:rPr>
              <w:t>附录C金属封闭开关设备设计等级、附录D连接装置插头布置及安全回路编写</w:t>
            </w:r>
          </w:p>
        </w:tc>
      </w:tr>
      <w:bookmarkEnd w:id="9"/>
    </w:tbl>
    <w:p w14:paraId="1DB8FDBF">
      <w:pPr>
        <w:pStyle w:val="6"/>
        <w:keepNext w:val="0"/>
        <w:keepLines w:val="0"/>
        <w:widowControl/>
        <w:suppressLineNumbers w:val="0"/>
        <w:shd w:val="clear" w:fill="FFFFFF"/>
        <w:spacing w:before="120" w:beforeAutospacing="0" w:after="120" w:afterAutospacing="0"/>
        <w:ind w:left="0" w:right="0" w:firstLine="0"/>
        <w:rPr>
          <w:rFonts w:hint="default" w:ascii="Segoe UI" w:hAnsi="Segoe UI" w:eastAsia="Segoe UI" w:cs="Segoe UI"/>
          <w:i w:val="0"/>
          <w:iCs w:val="0"/>
          <w:caps w:val="0"/>
          <w:color w:val="0F1115"/>
          <w:spacing w:val="0"/>
          <w:sz w:val="21"/>
          <w:szCs w:val="21"/>
          <w:shd w:val="clear" w:fill="FFFFFF"/>
        </w:rPr>
      </w:pPr>
    </w:p>
    <w:p w14:paraId="7529491C">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（五）主要工作过程</w:t>
      </w:r>
    </w:p>
    <w:p w14:paraId="1CF087CF">
      <w:pPr>
        <w:spacing w:before="156" w:beforeLines="50" w:line="360" w:lineRule="auto"/>
        <w:ind w:firstLine="480" w:firstLineChars="200"/>
        <w:rPr>
          <w:rFonts w:hint="default" w:eastAsiaTheme="minorEastAsia"/>
          <w:sz w:val="24"/>
          <w:szCs w:val="24"/>
        </w:rPr>
      </w:pPr>
      <w:r>
        <w:rPr>
          <w:rFonts w:hint="default" w:eastAsiaTheme="minorEastAsia"/>
          <w:sz w:val="24"/>
          <w:szCs w:val="24"/>
        </w:rPr>
        <w:t>中国船级社质量认证有限公司接到标准制定计划任务后，立即着手进行标准制定工作，主要工作过程如下：</w:t>
      </w:r>
    </w:p>
    <w:p w14:paraId="2B79E17D">
      <w:pPr>
        <w:spacing w:before="156" w:beforeLines="50" w:line="360" w:lineRule="auto"/>
        <w:ind w:firstLine="480" w:firstLineChars="200"/>
        <w:rPr>
          <w:rFonts w:hint="default" w:eastAsiaTheme="minorEastAsia"/>
          <w:sz w:val="24"/>
          <w:szCs w:val="24"/>
        </w:rPr>
      </w:pPr>
      <w:r>
        <w:rPr>
          <w:rFonts w:hint="default" w:eastAsiaTheme="minorEastAsia"/>
          <w:sz w:val="24"/>
          <w:szCs w:val="24"/>
        </w:rPr>
        <w:t>（1）2025年10月～2025年1</w:t>
      </w:r>
      <w:r>
        <w:rPr>
          <w:rFonts w:hint="eastAsia" w:eastAsiaTheme="minorEastAsia"/>
          <w:sz w:val="24"/>
          <w:szCs w:val="24"/>
          <w:lang w:val="en-US" w:eastAsia="zh-CN"/>
        </w:rPr>
        <w:t>2</w:t>
      </w:r>
      <w:r>
        <w:rPr>
          <w:rFonts w:hint="default" w:eastAsiaTheme="minorEastAsia"/>
          <w:sz w:val="24"/>
          <w:szCs w:val="24"/>
        </w:rPr>
        <w:t>月：广泛调研、掌握行业现状并分析研究</w:t>
      </w:r>
      <w:r>
        <w:rPr>
          <w:rFonts w:hint="eastAsia" w:eastAsiaTheme="minorEastAsia"/>
          <w:sz w:val="24"/>
          <w:szCs w:val="24"/>
          <w:lang w:eastAsia="zh-CN"/>
        </w:rPr>
        <w:t>。</w:t>
      </w:r>
      <w:r>
        <w:rPr>
          <w:rFonts w:hint="default" w:eastAsiaTheme="minorEastAsia"/>
          <w:sz w:val="24"/>
          <w:szCs w:val="24"/>
        </w:rPr>
        <w:t>项目启动后，标准起草组迅速成立，并按照工作大纲要求开展广泛调研。起草组对长三角三省一市的港航管理部门、船检部门、主要港口企业、航运公司、设备制造商及典型水上服务区进行了系统调研。重点走访了湖州交投、湖州国网等单位，并参加湖州电动船发展方案研讨会，深入了解湖州地区电动船舶发展规划。调研掌握了湖州交投主力船型（600吨与1000吨电动船，电池容量3000-4000度）、充电方式（高压直流快充）、充电站建设规划（南浔、练市、湖州、海宁等兆瓦级直流充电站）以及面临的技术挑战（40米长电缆下的发热、电损、谐波问题，船用与车用充电接口标准不统一等）。通过对湖州、上海、江苏等地实践案例的深入分析，起草组全面掌握了行业现状、存在问题和发展需求，为标准编制奠定了坚实基础。</w:t>
      </w:r>
    </w:p>
    <w:p w14:paraId="22BF5DA8">
      <w:pPr>
        <w:spacing w:before="156" w:beforeLines="50" w:line="360" w:lineRule="auto"/>
        <w:ind w:firstLine="480" w:firstLineChars="200"/>
        <w:rPr>
          <w:rFonts w:hint="default" w:eastAsiaTheme="minorEastAsia"/>
          <w:sz w:val="24"/>
          <w:szCs w:val="24"/>
          <w:lang w:val="en-US" w:eastAsia="zh-CN"/>
        </w:rPr>
      </w:pPr>
      <w:r>
        <w:rPr>
          <w:rFonts w:hint="default" w:eastAsiaTheme="minorEastAsia"/>
          <w:sz w:val="24"/>
          <w:szCs w:val="24"/>
        </w:rPr>
        <w:t>（2）2025年1</w:t>
      </w:r>
      <w:r>
        <w:rPr>
          <w:rFonts w:hint="eastAsia" w:eastAsiaTheme="minorEastAsia"/>
          <w:sz w:val="24"/>
          <w:szCs w:val="24"/>
          <w:lang w:val="en-US" w:eastAsia="zh-CN"/>
        </w:rPr>
        <w:t>2</w:t>
      </w:r>
      <w:r>
        <w:rPr>
          <w:rFonts w:hint="default" w:eastAsiaTheme="minorEastAsia"/>
          <w:sz w:val="24"/>
          <w:szCs w:val="24"/>
        </w:rPr>
        <w:t>月～2026年</w:t>
      </w:r>
      <w:r>
        <w:rPr>
          <w:rFonts w:hint="eastAsia" w:eastAsiaTheme="minorEastAsia"/>
          <w:sz w:val="24"/>
          <w:szCs w:val="24"/>
          <w:lang w:val="en-US" w:eastAsia="zh-CN"/>
        </w:rPr>
        <w:t>6</w:t>
      </w:r>
      <w:r>
        <w:rPr>
          <w:rFonts w:hint="default" w:eastAsiaTheme="minorEastAsia"/>
          <w:sz w:val="24"/>
          <w:szCs w:val="24"/>
        </w:rPr>
        <w:t>月：技术条款、编制说明、内部审核与修改</w:t>
      </w:r>
      <w:r>
        <w:rPr>
          <w:rFonts w:hint="eastAsia" w:eastAsiaTheme="minorEastAsia"/>
          <w:sz w:val="24"/>
          <w:szCs w:val="24"/>
          <w:lang w:eastAsia="zh-CN"/>
        </w:rPr>
        <w:t>。</w:t>
      </w:r>
      <w:r>
        <w:rPr>
          <w:rFonts w:hint="default" w:eastAsiaTheme="minorEastAsia"/>
          <w:sz w:val="24"/>
          <w:szCs w:val="24"/>
        </w:rPr>
        <w:t>在深入调研的基础上，起草组系统开展标准技术条款的研究与起草工作。围绕充电设施的系统构成、技术要求、安全防护、检验检测等核心内容，结合湖州实践提出的储能调峰配置（6000度储能支持2枪、10000度支持4枪、16000度支持6枪）、充电时间限制（单船2.5小时内）、充电接口技术方案（加粗电缆、增大插头面积）等实际需求，研究形成标准技术指标。同时，参考国内外相关标准和文献资料，完成标准草案和编制说明的编写。期间，起草组多次组织召开内部讨论会，对标准条款逐条进行审议和修改，确保技术内容的科学性、合理性和可操作性。2026年3月，完成标准初稿并组织内部审核，根据审核意见进行修改完善。</w:t>
      </w:r>
      <w:r>
        <w:rPr>
          <w:rFonts w:hint="eastAsia" w:eastAsiaTheme="minorEastAsia"/>
          <w:sz w:val="24"/>
          <w:szCs w:val="24"/>
          <w:lang w:val="en-US" w:eastAsia="zh-CN"/>
        </w:rPr>
        <w:t>2026年5月29日，召开大纲评审会，根据会议情况修改大纲并形成征求意见稿。</w:t>
      </w:r>
    </w:p>
    <w:p w14:paraId="700ECC52">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1" w:name="_Toc31040"/>
      <w:r>
        <w:rPr>
          <w:rFonts w:hint="default" w:ascii="Times New Roman" w:hAnsi="Times New Roman" w:cs="Times New Roman" w:eastAsiaTheme="minorEastAsia"/>
          <w:b/>
          <w:sz w:val="24"/>
          <w:szCs w:val="24"/>
          <w:lang w:val="en-US" w:eastAsia="zh-CN"/>
        </w:rPr>
        <w:t>二、标准编制原则和确定标准主要内容的依据</w:t>
      </w:r>
      <w:bookmarkEnd w:id="1"/>
    </w:p>
    <w:p w14:paraId="321DFC3D">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（一）编制原则</w:t>
      </w:r>
    </w:p>
    <w:p w14:paraId="7FB34DB4">
      <w:pPr>
        <w:spacing w:before="156" w:beforeLines="50" w:line="360" w:lineRule="auto"/>
        <w:ind w:firstLine="480" w:firstLineChars="200"/>
        <w:rPr>
          <w:rFonts w:hint="default" w:eastAsiaTheme="minorEastAsia"/>
          <w:sz w:val="24"/>
          <w:szCs w:val="24"/>
        </w:rPr>
      </w:pPr>
      <w:r>
        <w:rPr>
          <w:rFonts w:hint="eastAsia" w:eastAsiaTheme="minorEastAsia"/>
          <w:sz w:val="24"/>
          <w:szCs w:val="24"/>
        </w:rPr>
        <w:t>本标准按照GB/T 1.1—2020《标准化工作导则 第1部分：标准化文件的结构和起草规则》给出的规则编写。编制过程中遵循一致性、先进性、适用性等原则，</w:t>
      </w:r>
      <w:r>
        <w:rPr>
          <w:rFonts w:hint="default" w:eastAsiaTheme="minorEastAsia"/>
          <w:sz w:val="24"/>
          <w:szCs w:val="24"/>
        </w:rPr>
        <w:t>为构建区域一体化充换电网络奠定基础。</w:t>
      </w:r>
    </w:p>
    <w:p w14:paraId="39E023A5">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（二）确定标准主要内容的依据</w:t>
      </w:r>
    </w:p>
    <w:p w14:paraId="273DEFCC">
      <w:pPr>
        <w:keepNext w:val="0"/>
        <w:keepLines w:val="0"/>
        <w:pageBreakBefore w:val="0"/>
        <w:kinsoku/>
        <w:wordWrap/>
        <w:overflowPunct/>
        <w:topLinePunct w:val="0"/>
        <w:autoSpaceDE/>
        <w:autoSpaceDN/>
        <w:bidi w:val="0"/>
        <w:adjustRightInd/>
        <w:snapToGrid/>
        <w:spacing w:before="156" w:beforeLines="50" w:line="360" w:lineRule="auto"/>
        <w:ind w:firstLine="480" w:firstLineChars="200"/>
        <w:textAlignment w:val="auto"/>
        <w:rPr>
          <w:rFonts w:hint="eastAsia" w:eastAsiaTheme="minorEastAsia"/>
          <w:sz w:val="24"/>
          <w:szCs w:val="24"/>
        </w:rPr>
      </w:pPr>
      <w:r>
        <w:rPr>
          <w:rFonts w:hint="default" w:eastAsiaTheme="minorEastAsia"/>
          <w:sz w:val="24"/>
          <w:szCs w:val="24"/>
        </w:rPr>
        <w:t>本标准共分</w:t>
      </w:r>
      <w:r>
        <w:rPr>
          <w:rFonts w:hint="eastAsia" w:eastAsiaTheme="minorEastAsia"/>
          <w:sz w:val="24"/>
          <w:szCs w:val="24"/>
          <w:lang w:val="en-US" w:eastAsia="zh-CN"/>
        </w:rPr>
        <w:t>7</w:t>
      </w:r>
      <w:r>
        <w:rPr>
          <w:rFonts w:hint="default" w:eastAsiaTheme="minorEastAsia"/>
          <w:sz w:val="24"/>
          <w:szCs w:val="24"/>
        </w:rPr>
        <w:t>章，主要内容及确定依据如下：</w:t>
      </w:r>
    </w:p>
    <w:p w14:paraId="2AAAE4B5">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1、范围：明确本标准适用于港口内河电池动力船舶充电设施的新建、改建和使用。</w:t>
      </w:r>
    </w:p>
    <w:p w14:paraId="2621F728">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2、规范性引用文件：共引用国家标准、行业标准及中国船级社规范30余项，涵盖环境试验（GB/T 2423系列）、电气安全（GB/T 16895.3、GB/T 7251.1）、电磁兼容（GB/T 17626系列）、接口协议（GB/T 18487.1、GB/T 27930、DL/T 2804）、术语定义（GB/T 40031、GB/T 41999）等方面，以及CCS《船舶应用电池动力规范》2025、《纯电池动力船舶技术与检验暂行规则（2025）》、《船舶网络安全指南2025》等。</w:t>
      </w:r>
    </w:p>
    <w:p w14:paraId="1A14AFCD">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3、术语和定义：明确相关标准界定的术语适用于本文件，本标准不设专有定义术语。</w:t>
      </w:r>
    </w:p>
    <w:p w14:paraId="229AB672">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4、分类与构成：按建设形式分为土建变电所和集装箱式两种，按结构分为分体式和一体式两种，新建充电设施宜采用直流供电方式。明确充电设施构成包括变压器、整流装置、监控装置、开关柜及控制设备、计量器具、连接装置、电缆举升装置、电缆和保护接地等。</w:t>
      </w:r>
    </w:p>
    <w:p w14:paraId="1416E6EB">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5、一般要求：依据港口码头实际环境条件，规定充电设施的环境适应性要求（-25℃～+55℃，IP55/IP32防护等级，三防处理），安全管理制度与应急处置要求，以及安全标志和操作规程标牌的设置要求。</w:t>
      </w:r>
    </w:p>
    <w:p w14:paraId="238893ED">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6、技术要求：这是标准的重点章节，依据调研结果和行业实践制定。涵盖以下方面：</w:t>
      </w:r>
    </w:p>
    <w:p w14:paraId="5A354B7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变压器：参考GB/T 1094.11、GB/T 10228，规定能效等级不低于2级、负载率不宜大于85%等技术指标，并明确应配置绕组温度监测元件。</w:t>
      </w:r>
    </w:p>
    <w:p w14:paraId="2A6F333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整流装置：参考DL/T 2853-2024及CCS《船舶应用电池动力规范》，明确额定电压不超过DC1500V，优先选用DC750V或DC1000V；规定功率动态分配、电气隔离（II类设备）、绝缘电阻≥10MΩ、110%负荷持续时间≥60s等关键性能指标，内部通讯应采用光纤通讯。</w:t>
      </w:r>
    </w:p>
    <w:p w14:paraId="3B291AF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监控装置：参考DL/T 2854-2024，规定监控装置的硬件配置（工控机、PLC、HMI、UPS）、船岸通信方式（以太网为主）、监控功能（含视频监控与环境传感）及数据存储要求（运行数据≥半年，视频≥90天）；船岸通信协议在附录E中规定。</w:t>
      </w:r>
    </w:p>
    <w:p w14:paraId="511D439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开关柜及控制设备：依据GB 3906、GB 7251.1及JTS 155-2019，规定高压开关柜五防要求、防护等级IP4X，以及金属封闭开关设备按使用环境分为0类、1类、2类三个设计等级，港口码头户外环境一般不低于2类。</w:t>
      </w:r>
    </w:p>
    <w:p w14:paraId="6AE3C18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计量器具：依据《中华人民共和国计量法》及JJG 842-2017，规定直流电能表准确度不低于0.5级、数据远传功能及电能质量指标要求。</w:t>
      </w:r>
    </w:p>
    <w:p w14:paraId="1C93B90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连接装置：依据GB/T 11918.6及DL/T 2804，规定额定电压不超过DC1500V、插头规格1500V/1000A、锁止功能、插拔力≤240N、耦合后IP67等技术要求，以及电缆举升装置的恒张力控制和安全保护功能。插头触头布置及安全回路见附录D。</w:t>
      </w:r>
    </w:p>
    <w:p w14:paraId="4AA9BAE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电缆：规定主电缆选型及终端头制作应满足GB/T 50217、GB 50168的要求，敷设方式优先选用电缆桥架或电缆沟敷设。</w:t>
      </w:r>
    </w:p>
    <w:p w14:paraId="7FBC179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保护接地：依据GB 50057-2010《建筑物防雷设计规范》及GB/T 50065《交流电气装置的接地设计规范》，明确户外充电设施设置直击雷防护装置及接地要求。</w:t>
      </w:r>
    </w:p>
    <w:p w14:paraId="1D995F7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延长装置：依据调研中长距离大电流充电技术需求，规定延长装置的技术参数匹配性、防护等级、急停功能（≤100ms断电）、标准化接口（插拔≥10000次）、长度≤30m及过流/短路/漏电保护功能。</w:t>
      </w:r>
    </w:p>
    <w:p w14:paraId="077CC9B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转换装置：依据调研中船岸接口不匹配的实际问题，规定转换装置防护等级IP55、安全回路联锁、应急切断、带电显示和温度监控功能。</w:t>
      </w:r>
    </w:p>
    <w:p w14:paraId="29E1CACC">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360" w:lineRule="auto"/>
        <w:ind w:left="0" w:right="0"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7、交直两用船舶供电设施：针对部分已有交流供电设施的码头无法满足新建直流充电设施要求的实际情况，在第7章中规定交直两用供电设施的兼容性要求（兼容交流岸电与直流充电）、系统组成与拓扑结构、容量与输出要求（交流输出电压畸变率≤5%，直流优先750V/1000V，总效率≥93%）、功能要求（输出模式切换、恒流/恒压充电、PMS通信）、安全保护、兼容性与接口要求及计量与能效管理。</w:t>
      </w:r>
    </w:p>
    <w:p w14:paraId="09CFB1C1">
      <w:pPr>
        <w:spacing w:before="156" w:beforeLines="50" w:line="360" w:lineRule="auto"/>
        <w:ind w:firstLine="480" w:firstLineChars="200"/>
        <w:rPr>
          <w:rFonts w:hint="default" w:eastAsiaTheme="minorEastAsia"/>
          <w:sz w:val="24"/>
          <w:szCs w:val="24"/>
        </w:rPr>
      </w:pPr>
    </w:p>
    <w:p w14:paraId="334600C3">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2" w:name="_Toc27528"/>
      <w:r>
        <w:rPr>
          <w:rFonts w:hint="default" w:ascii="Times New Roman" w:hAnsi="Times New Roman" w:cs="Times New Roman" w:eastAsiaTheme="minorEastAsia"/>
          <w:b/>
          <w:sz w:val="24"/>
          <w:szCs w:val="24"/>
          <w:lang w:val="en-US" w:eastAsia="zh-CN"/>
        </w:rPr>
        <w:t>三、主要试验的分析综述报告、技术经济论证或预期的经济效果</w:t>
      </w:r>
      <w:bookmarkEnd w:id="2"/>
    </w:p>
    <w:p w14:paraId="3FBC2D7A">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（一）主要试验分析</w:t>
      </w:r>
    </w:p>
    <w:p w14:paraId="6DF034C2">
      <w:pPr>
        <w:spacing w:before="156" w:beforeLines="50" w:line="360" w:lineRule="auto"/>
        <w:ind w:firstLine="480" w:firstLineChars="200"/>
        <w:rPr>
          <w:rFonts w:hint="default" w:eastAsiaTheme="minorEastAsia"/>
          <w:sz w:val="24"/>
          <w:szCs w:val="24"/>
        </w:rPr>
      </w:pPr>
      <w:r>
        <w:rPr>
          <w:rFonts w:hint="default" w:eastAsiaTheme="minorEastAsia"/>
          <w:sz w:val="24"/>
          <w:szCs w:val="24"/>
        </w:rPr>
        <w:t>本标准不涉及强制性试验内容，但通过参考GB/T 2423系列、GB/T 17626系列等标准，明确了充电设施在环境适应性（耐盐雾、长霉、高低温）、电磁兼容性（抗扰度）等方面的试验要求，确保设备在港口复杂环境下的可靠性和安全性。针对直流充电特有的风险，标准特别强调了直流电弧故障保护、绝缘监测等项目的测试要求。</w:t>
      </w:r>
    </w:p>
    <w:p w14:paraId="21DA81D5">
      <w:pPr>
        <w:spacing w:before="156" w:beforeLines="50" w:line="360" w:lineRule="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（二）技术经济论证或预期的经济效果</w:t>
      </w:r>
    </w:p>
    <w:p w14:paraId="67C85D0B">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1、</w:t>
      </w:r>
      <w:r>
        <w:rPr>
          <w:rFonts w:hint="default" w:eastAsiaTheme="minorEastAsia"/>
          <w:sz w:val="24"/>
          <w:szCs w:val="24"/>
        </w:rPr>
        <w:t>显著降低社会总成本：通过统一技术标准和接口协议，从根本上避免因标准不兼容导致的区域重复建设和设备废弃，打破市场壁垒，促进充换电设备的规模化生产和通用化采购，预计可降低设施投资和运维成本。</w:t>
      </w:r>
    </w:p>
    <w:p w14:paraId="3A4749E3">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2、</w:t>
      </w:r>
      <w:r>
        <w:rPr>
          <w:rFonts w:hint="default" w:eastAsiaTheme="minorEastAsia"/>
          <w:sz w:val="24"/>
          <w:szCs w:val="24"/>
        </w:rPr>
        <w:t>提升运营效率和能源效益：规范化的通信协议和充电流程，支持“即插即充”、智能功率分配和与电网的友好互动。结合充电站配套的储能系统，可实现谷电充电、峰时放电，有效缓解大规模充电对电网的冲击，稳定充电电价（如预期1.1元/度），保持电动船的能源成本优势，提升运营经济性。</w:t>
      </w:r>
    </w:p>
    <w:p w14:paraId="7DF9FD79">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3、</w:t>
      </w:r>
      <w:r>
        <w:rPr>
          <w:rFonts w:hint="default" w:eastAsiaTheme="minorEastAsia"/>
          <w:sz w:val="24"/>
          <w:szCs w:val="24"/>
        </w:rPr>
        <w:t>促进产业链协同与技术创新：为充换电设备制造商、船舶建造企业、电池供应商、系统集成商提供清晰、统一的技术指引，推动产业链上下游协同发展。明确的技术要求将激励企业在接口兼容、液冷超充、智能管理等方向上进行技术创新。</w:t>
      </w:r>
    </w:p>
    <w:p w14:paraId="78BDD023">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4、</w:t>
      </w:r>
      <w:r>
        <w:rPr>
          <w:rFonts w:hint="default" w:eastAsiaTheme="minorEastAsia"/>
          <w:sz w:val="24"/>
          <w:szCs w:val="24"/>
        </w:rPr>
        <w:t>有力支撑绿色港口和航运中心建设：标准的实施将加速电动船舶在内河的规模化应用，直接减少港口区域的温室气体和污染物排放，助力打造“零碳港口”。同时，统一、便捷的充换电网络是构建长江经济带多式联运中心和长三角内河航运高质量发展先行区的关键基础设施，将显著提升区域航运的绿色竞争力和综合服务水平。</w:t>
      </w:r>
    </w:p>
    <w:p w14:paraId="70247660">
      <w:pPr>
        <w:keepNext w:val="0"/>
        <w:keepLines w:val="0"/>
        <w:widowControl/>
        <w:numPr>
          <w:ilvl w:val="0"/>
          <w:numId w:val="0"/>
        </w:numPr>
        <w:suppressLineNumbers w:val="0"/>
        <w:spacing w:before="45" w:beforeAutospacing="0" w:after="0" w:afterAutospacing="1"/>
        <w:rPr>
          <w:sz w:val="21"/>
          <w:szCs w:val="21"/>
        </w:rPr>
      </w:pPr>
    </w:p>
    <w:p w14:paraId="5E60C38D">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3" w:name="_Toc24233"/>
      <w:r>
        <w:rPr>
          <w:rFonts w:hint="default" w:ascii="Times New Roman" w:hAnsi="Times New Roman" w:cs="Times New Roman" w:eastAsiaTheme="minorEastAsia"/>
          <w:b/>
          <w:sz w:val="24"/>
          <w:szCs w:val="24"/>
          <w:lang w:val="en-US" w:eastAsia="zh-CN"/>
        </w:rPr>
        <w:t>四、采用国际标准和国外先进标准的程度</w:t>
      </w:r>
      <w:bookmarkEnd w:id="3"/>
    </w:p>
    <w:p w14:paraId="642B46E8">
      <w:pPr>
        <w:spacing w:before="156" w:beforeLines="50" w:line="360" w:lineRule="auto"/>
        <w:ind w:firstLine="480" w:firstLineChars="200"/>
        <w:rPr>
          <w:rFonts w:hint="default" w:eastAsiaTheme="minorEastAsia"/>
          <w:sz w:val="24"/>
          <w:szCs w:val="24"/>
        </w:rPr>
      </w:pPr>
      <w:r>
        <w:rPr>
          <w:rFonts w:hint="default" w:eastAsiaTheme="minorEastAsia"/>
          <w:sz w:val="24"/>
          <w:szCs w:val="24"/>
        </w:rPr>
        <w:t>本标准未直接采用国际标准，但在制定过程中充分研究和参考了IEC 61851（电动汽车传导充电系统）、IEC 62619（工业用锂二次电池和电池组的安全要求）、ISO 19848（船舶和海上技术—船载设备用标准数据）等国际标准的相关内容，并结合我国内河港口和航运的实际情况进行了适应性调整，确保标准的先进性和国际兼容性。</w:t>
      </w:r>
    </w:p>
    <w:p w14:paraId="0613195E">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4" w:name="_Toc12618"/>
      <w:r>
        <w:rPr>
          <w:rFonts w:hint="default" w:ascii="Times New Roman" w:hAnsi="Times New Roman" w:cs="Times New Roman" w:eastAsiaTheme="minorEastAsia"/>
          <w:b/>
          <w:sz w:val="24"/>
          <w:szCs w:val="24"/>
          <w:lang w:val="en-US" w:eastAsia="zh-CN"/>
        </w:rPr>
        <w:t>五、与有关的现行法律、法规和强制性标准的关系</w:t>
      </w:r>
      <w:bookmarkEnd w:id="4"/>
    </w:p>
    <w:p w14:paraId="0F84AC23">
      <w:pPr>
        <w:spacing w:before="156" w:beforeLines="50" w:line="360" w:lineRule="auto"/>
        <w:ind w:firstLine="480" w:firstLineChars="200"/>
        <w:rPr>
          <w:rFonts w:hint="default" w:eastAsiaTheme="minorEastAsia"/>
          <w:sz w:val="24"/>
          <w:szCs w:val="24"/>
        </w:rPr>
      </w:pPr>
      <w:r>
        <w:rPr>
          <w:rFonts w:hint="default" w:eastAsiaTheme="minorEastAsia"/>
          <w:sz w:val="24"/>
          <w:szCs w:val="24"/>
        </w:rPr>
        <w:t>本标准在编制过程中严格遵守《中华人民共和国标准化法》《中华人民共和国港口法》《中华人民共和国安全生产法》等法律法规，并与GB/T 18487.1、GB/T 27930、JTS 155《码头岸电设施建设技术规范》、CCS《船舶应用电池动力规范》等现行国家和行业标准协调一致，是对现有标准体系的细化和补充，无冲突内容。</w:t>
      </w:r>
    </w:p>
    <w:p w14:paraId="54F5525E">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5" w:name="_Toc22415"/>
      <w:r>
        <w:rPr>
          <w:rFonts w:hint="default" w:ascii="Times New Roman" w:hAnsi="Times New Roman" w:cs="Times New Roman" w:eastAsiaTheme="minorEastAsia"/>
          <w:b/>
          <w:sz w:val="24"/>
          <w:szCs w:val="24"/>
          <w:lang w:val="en-US" w:eastAsia="zh-CN"/>
        </w:rPr>
        <w:t>六、重大分歧意见的处理经过和依据</w:t>
      </w:r>
      <w:bookmarkEnd w:id="5"/>
    </w:p>
    <w:p w14:paraId="1548BDEE">
      <w:pPr>
        <w:spacing w:before="156" w:beforeLines="50" w:line="360" w:lineRule="auto"/>
        <w:ind w:firstLine="480" w:firstLineChars="200"/>
        <w:rPr>
          <w:rFonts w:hint="default" w:eastAsiaTheme="minorEastAsia"/>
          <w:sz w:val="24"/>
          <w:szCs w:val="24"/>
        </w:rPr>
      </w:pPr>
      <w:r>
        <w:rPr>
          <w:rFonts w:hint="default" w:eastAsiaTheme="minorEastAsia"/>
          <w:sz w:val="24"/>
          <w:szCs w:val="24"/>
        </w:rPr>
        <w:t>在本标准编制过程中，起草组始终坚持协商一致的原则。对于充电电压等级、接口型式选择、通信协议细节等技术条款的讨论，通过组织多轮专家研讨会，结合广泛的行业调研数据和未来技术发展趋势，最终达成共识，未出现重大分歧意见。</w:t>
      </w:r>
    </w:p>
    <w:p w14:paraId="7557341A">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6" w:name="_Toc25528"/>
      <w:r>
        <w:rPr>
          <w:rFonts w:hint="default" w:ascii="Times New Roman" w:hAnsi="Times New Roman" w:cs="Times New Roman" w:eastAsiaTheme="minorEastAsia"/>
          <w:b/>
          <w:sz w:val="24"/>
          <w:szCs w:val="24"/>
          <w:lang w:val="en-US" w:eastAsia="zh-CN"/>
        </w:rPr>
        <w:t>七、贯彻标准的要求和措施建议</w:t>
      </w:r>
      <w:bookmarkEnd w:id="6"/>
    </w:p>
    <w:p w14:paraId="1FDC6D3E">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1、</w:t>
      </w:r>
      <w:r>
        <w:rPr>
          <w:rFonts w:hint="default" w:eastAsiaTheme="minorEastAsia"/>
          <w:sz w:val="24"/>
          <w:szCs w:val="24"/>
        </w:rPr>
        <w:t>加强宣贯培训：建议由中国港口协会和长三角相关港航管理部门联合组织标准宣贯培训，面向港口企业、航运公司、设备制造商、设计单位、检测认证机构等，确保相关方准确理解并掌握标准要求。</w:t>
      </w:r>
    </w:p>
    <w:p w14:paraId="3A186E13">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2、</w:t>
      </w:r>
      <w:r>
        <w:rPr>
          <w:rFonts w:hint="default" w:eastAsiaTheme="minorEastAsia"/>
          <w:sz w:val="24"/>
          <w:szCs w:val="24"/>
        </w:rPr>
        <w:t>开展试点示范：建议在基础较好的地区（如湖州吕山水上服务区、上海港、江苏远洋航线等）率先开展标准应用试点，验证标准的可行性和有效性，形成可复制、可推广的经验模式。</w:t>
      </w:r>
    </w:p>
    <w:p w14:paraId="6FFD9322">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3、</w:t>
      </w:r>
      <w:r>
        <w:rPr>
          <w:rFonts w:hint="default" w:eastAsiaTheme="minorEastAsia"/>
          <w:sz w:val="24"/>
          <w:szCs w:val="24"/>
        </w:rPr>
        <w:t>完善政策支持：建议将本标准作为长三角区域内河港口充换电设施建设、验收和补贴发放的技术依据，并纳入绿色港口、绿色船舶的评价体系，通过政策引导和市场机制共同推动标准落地。</w:t>
      </w:r>
    </w:p>
    <w:p w14:paraId="60E47CFB">
      <w:pPr>
        <w:spacing w:before="156" w:beforeLines="50" w:line="360" w:lineRule="auto"/>
        <w:ind w:firstLine="480" w:firstLineChars="200"/>
        <w:rPr>
          <w:rFonts w:hint="default" w:eastAsiaTheme="minorEastAsia"/>
          <w:sz w:val="24"/>
          <w:szCs w:val="24"/>
        </w:rPr>
      </w:pPr>
      <w:r>
        <w:rPr>
          <w:rFonts w:hint="eastAsia" w:eastAsiaTheme="minorEastAsia"/>
          <w:sz w:val="24"/>
          <w:szCs w:val="24"/>
          <w:lang w:val="en-US" w:eastAsia="zh-CN"/>
        </w:rPr>
        <w:t>4、</w:t>
      </w:r>
      <w:r>
        <w:rPr>
          <w:rFonts w:hint="default" w:eastAsiaTheme="minorEastAsia"/>
          <w:sz w:val="24"/>
          <w:szCs w:val="24"/>
        </w:rPr>
        <w:t>建立协同机制：依托长三角区域合作机制，建立由港航管理部门、电网企业、港口集团、航运联盟等共同参与的充换电设施建设与运营协同工作平台，依据本标准统筹规划、分步实施，实现“一张网”服务。</w:t>
      </w:r>
    </w:p>
    <w:p w14:paraId="12D404F6">
      <w:pPr>
        <w:spacing w:before="156" w:beforeLines="50" w:line="360" w:lineRule="auto"/>
        <w:ind w:firstLine="480" w:firstLineChars="200"/>
        <w:rPr>
          <w:rFonts w:hint="default" w:eastAsiaTheme="minorEastAsia"/>
          <w:sz w:val="24"/>
          <w:szCs w:val="24"/>
        </w:rPr>
      </w:pPr>
    </w:p>
    <w:p w14:paraId="6D0B3FB2">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7" w:name="_Toc30208"/>
      <w:r>
        <w:rPr>
          <w:rFonts w:hint="default" w:ascii="Times New Roman" w:hAnsi="Times New Roman" w:cs="Times New Roman" w:eastAsiaTheme="minorEastAsia"/>
          <w:b/>
          <w:sz w:val="24"/>
          <w:szCs w:val="24"/>
          <w:lang w:val="en-US" w:eastAsia="zh-CN"/>
        </w:rPr>
        <w:t>八、废止现行有关标准的建议</w:t>
      </w:r>
      <w:bookmarkEnd w:id="7"/>
    </w:p>
    <w:p w14:paraId="0678437C">
      <w:pPr>
        <w:spacing w:before="156" w:beforeLines="50" w:line="360" w:lineRule="auto"/>
        <w:ind w:firstLine="480" w:firstLineChars="200"/>
        <w:rPr>
          <w:rFonts w:hint="default" w:eastAsiaTheme="minorEastAsia"/>
          <w:sz w:val="24"/>
          <w:szCs w:val="24"/>
        </w:rPr>
      </w:pPr>
      <w:r>
        <w:rPr>
          <w:rFonts w:hint="default" w:eastAsiaTheme="minorEastAsia"/>
          <w:sz w:val="24"/>
          <w:szCs w:val="24"/>
        </w:rPr>
        <w:t>本标准不涉及废止现行标准。</w:t>
      </w:r>
    </w:p>
    <w:p w14:paraId="50C6D853">
      <w:pPr>
        <w:spacing w:before="156" w:beforeLines="50" w:line="360" w:lineRule="auto"/>
        <w:outlineLvl w:val="0"/>
        <w:rPr>
          <w:rFonts w:hint="default" w:ascii="Times New Roman" w:hAnsi="Times New Roman" w:cs="Times New Roman" w:eastAsiaTheme="minorEastAsia"/>
          <w:b/>
          <w:sz w:val="24"/>
          <w:szCs w:val="24"/>
          <w:lang w:val="en-US" w:eastAsia="zh-CN"/>
        </w:rPr>
      </w:pPr>
      <w:bookmarkStart w:id="8" w:name="_Toc16331"/>
      <w:r>
        <w:rPr>
          <w:rFonts w:hint="default" w:ascii="Times New Roman" w:hAnsi="Times New Roman" w:cs="Times New Roman" w:eastAsiaTheme="minorEastAsia"/>
          <w:b/>
          <w:sz w:val="24"/>
          <w:szCs w:val="24"/>
          <w:lang w:val="en-US" w:eastAsia="zh-CN"/>
        </w:rPr>
        <w:t>九、其他应予说明的事项</w:t>
      </w:r>
      <w:bookmarkEnd w:id="8"/>
    </w:p>
    <w:p w14:paraId="62BF6740">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1、</w:t>
      </w:r>
      <w:r>
        <w:rPr>
          <w:rFonts w:hint="default" w:eastAsiaTheme="minorEastAsia"/>
          <w:sz w:val="24"/>
          <w:szCs w:val="24"/>
        </w:rPr>
        <w:t>专利声明：本标准编制过程中，起草组已通过各种方式征集专利信息，目前未识别出标准内容涉及必要专利。标准的发布机构不承担识别专利的责任。</w:t>
      </w:r>
    </w:p>
    <w:p w14:paraId="215FA0E0">
      <w:pPr>
        <w:spacing w:before="156" w:beforeLines="50" w:line="360" w:lineRule="auto"/>
        <w:ind w:firstLine="480" w:firstLineChars="200"/>
        <w:rPr>
          <w:rFonts w:hint="eastAsia" w:eastAsiaTheme="minorEastAsia"/>
          <w:sz w:val="24"/>
          <w:szCs w:val="24"/>
        </w:rPr>
      </w:pPr>
      <w:r>
        <w:rPr>
          <w:rFonts w:hint="eastAsia" w:eastAsiaTheme="minorEastAsia"/>
          <w:sz w:val="24"/>
          <w:szCs w:val="24"/>
          <w:lang w:val="en-US" w:eastAsia="zh-CN"/>
        </w:rPr>
        <w:t>2、</w:t>
      </w:r>
      <w:r>
        <w:rPr>
          <w:rFonts w:hint="default" w:eastAsiaTheme="minorEastAsia"/>
          <w:sz w:val="24"/>
          <w:szCs w:val="24"/>
        </w:rPr>
        <w:t>标准名称说明：本标准立项计划名称为《港口内河电动船舶充/换电设施技术要求》。在编制过程中，起草组经过深入调研和多次专家研讨，认为当前内河船舶电动化处于发展初期，换电模式虽具有探索价值，但在技术成熟度、商业模式、电池标准化以及港口基础设施配套等方面尚不具备大规模推广应用的条件。现阶段内河港口亟需解决的主要矛盾是充电设施标准不统一、接口协议不兼容等问题。为聚焦当前最紧迫的实际需求，确保标准的针对性和可操作性，经起草组一致同意，将标准名称调整为《港口内河船舶充电设施</w:t>
      </w:r>
      <w:r>
        <w:rPr>
          <w:rFonts w:hint="eastAsia" w:eastAsiaTheme="minorEastAsia"/>
          <w:sz w:val="24"/>
          <w:szCs w:val="24"/>
          <w:lang w:val="en-US" w:eastAsia="zh-CN"/>
        </w:rPr>
        <w:t>技术要求</w:t>
      </w:r>
      <w:r>
        <w:rPr>
          <w:rFonts w:hint="default" w:eastAsiaTheme="minorEastAsia"/>
          <w:sz w:val="24"/>
          <w:szCs w:val="24"/>
        </w:rPr>
        <w:t>》。调整后的名称更加精准地反映了当前标准的核心技术内容和适用范围，待未来换电技术成熟、市场需求明确后，可适时启动换电设施相关标准的制定工作。本标准名称调整已向中国港口协会报备并获得认可。</w:t>
      </w:r>
    </w:p>
    <w:p w14:paraId="66C5A390">
      <w:pPr>
        <w:keepNext w:val="0"/>
        <w:keepLines w:val="0"/>
        <w:widowControl/>
        <w:numPr>
          <w:ilvl w:val="0"/>
          <w:numId w:val="0"/>
        </w:numPr>
        <w:suppressLineNumbers w:val="0"/>
        <w:spacing w:before="45" w:beforeAutospacing="0" w:after="0" w:afterAutospacing="1"/>
        <w:rPr>
          <w:rFonts w:hint="eastAsia" w:eastAsia="宋体"/>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979204"/>
    </w:sdtPr>
    <w:sdtContent>
      <w:p w14:paraId="562DF4B1">
        <w:pPr>
          <w:pStyle w:val="3"/>
          <w:jc w:val="center"/>
        </w:pPr>
        <w:r>
          <w:fldChar w:fldCharType="begin"/>
        </w:r>
        <w:r>
          <w:instrText xml:space="preserve">PAGE   \* MERGEFORMAT</w:instrText>
        </w:r>
        <w:r>
          <w:fldChar w:fldCharType="separate"/>
        </w:r>
        <w:r>
          <w:rPr>
            <w:lang w:val="zh-CN"/>
          </w:rPr>
          <w:t>2</w:t>
        </w:r>
        <w:r>
          <w:rPr>
            <w:lang w:val="zh-CN"/>
          </w:rPr>
          <w:fldChar w:fldCharType="end"/>
        </w:r>
      </w:p>
    </w:sdtContent>
  </w:sdt>
  <w:p w14:paraId="3C11175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4DA9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D6A6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77F0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BD2D9">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54527">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C3EA9"/>
    <w:rsid w:val="10290E3B"/>
    <w:rsid w:val="10DA70EF"/>
    <w:rsid w:val="1CC007C6"/>
    <w:rsid w:val="1ED70CBD"/>
    <w:rsid w:val="46EE0F80"/>
    <w:rsid w:val="47BF783A"/>
    <w:rsid w:val="4C6A1B1E"/>
    <w:rsid w:val="4EA76741"/>
    <w:rsid w:val="570B22DC"/>
    <w:rsid w:val="59F51CFC"/>
    <w:rsid w:val="6D81311F"/>
    <w:rsid w:val="6D966B59"/>
    <w:rsid w:val="6E090426"/>
    <w:rsid w:val="701C3EA9"/>
    <w:rsid w:val="715D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iPriority w:val="0"/>
  </w:style>
  <w:style w:type="paragraph" w:styleId="6">
    <w:name w:val="Normal (Web)"/>
    <w:basedOn w:val="1"/>
    <w:qFormat/>
    <w:uiPriority w:val="0"/>
    <w:rPr>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1218</Words>
  <Characters>1249</Characters>
  <Lines>0</Lines>
  <Paragraphs>0</Paragraphs>
  <TotalTime>113</TotalTime>
  <ScaleCrop>false</ScaleCrop>
  <LinksUpToDate>false</LinksUpToDate>
  <CharactersWithSpaces>1276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2026-03-13T02:54:00Z</dcterms:created>
  <dc:creator>七月十九无笑。</dc:creator>
  <cp:lastModifiedBy>王溯</cp:lastModifiedBy>
  <dcterms:modified xsi:type="dcterms:W3CDTF">2026-06-30T07:49:25Z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780E621807BD49188AABA4B585E4D58C_13</vt:lpwstr>
  </property>
  <property fmtid="{D5CDD505-2E9C-101B-9397-08002B2CF9AE}" pid="4" name="KSOTemplateDocerSaveRecord">
    <vt:lpwstr>eyJoZGlkIjoiZjgxMmZiYmFkZTFlYTNlOGI5MzU2NmZmYzE0YTlhZTMiLCJ1c2VySWQiOiI2MDA0ODkwNjQifQ==</vt:lpwstr>
  </property>
</Properties>
</file>