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00DB7" w14:paraId="14562521" w14:textId="77777777">
        <w:tc>
          <w:tcPr>
            <w:tcW w:w="509" w:type="dxa"/>
          </w:tcPr>
          <w:p w14:paraId="1E293C96" w14:textId="77777777" w:rsidR="00B00DB7" w:rsidRDefault="00000000">
            <w:pPr>
              <w:pStyle w:val="affff5"/>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F0600B6" w14:textId="77777777" w:rsidR="00B00DB7" w:rsidRDefault="00000000">
            <w:pPr>
              <w:pStyle w:val="affff5"/>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B00DB7" w14:paraId="61A57F5D" w14:textId="77777777">
        <w:tc>
          <w:tcPr>
            <w:tcW w:w="509" w:type="dxa"/>
          </w:tcPr>
          <w:p w14:paraId="47DB22C1" w14:textId="77777777" w:rsidR="00B00DB7"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00DB7" w14:paraId="3B53E160" w14:textId="77777777">
              <w:trPr>
                <w:trHeight w:hRule="exact" w:val="1021"/>
              </w:trPr>
              <w:tc>
                <w:tcPr>
                  <w:tcW w:w="9242" w:type="dxa"/>
                  <w:vAlign w:val="center"/>
                </w:tcPr>
                <w:p w14:paraId="3CD10FB2" w14:textId="77777777" w:rsidR="00B00DB7" w:rsidRDefault="00000000" w:rsidP="00AA3400">
                  <w:pPr>
                    <w:pStyle w:val="afffff8"/>
                    <w:framePr w:w="0" w:hRule="auto" w:wrap="auto" w:hAnchor="text" w:xAlign="left" w:yAlign="inline" w:anchorLock="0"/>
                    <w:ind w:left="420" w:right="624"/>
                    <w:rPr>
                      <w:rFonts w:ascii="宋体" w:hAnsi="宋体" w:hint="eastAsia"/>
                      <w:sz w:val="28"/>
                      <w:szCs w:val="28"/>
                    </w:rPr>
                  </w:pPr>
                  <w:r>
                    <w:rPr>
                      <w:noProof/>
                    </w:rPr>
                    <w:drawing>
                      <wp:inline distT="0" distB="0" distL="0" distR="0" wp14:anchorId="32C3AE75" wp14:editId="1808849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9D25BC9" wp14:editId="3617EED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1BFA052E" w14:textId="77777777" w:rsidR="00B00DB7"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251401D5" w14:textId="77777777" w:rsidR="00B00DB7" w:rsidRDefault="00000000">
      <w:pPr>
        <w:pStyle w:val="afffff9"/>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B970333" w14:textId="77777777" w:rsidR="00B00DB7" w:rsidRDefault="00000000">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B62858F" w14:textId="77777777" w:rsidR="00B00DB7" w:rsidRDefault="00000000">
      <w:pPr>
        <w:pStyle w:val="affffffffffc"/>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DAA841C" w14:textId="77777777" w:rsidR="00B00DB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323FCA" wp14:editId="55C5FD2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9AF2C0" w14:textId="77777777" w:rsidR="00B00DB7" w:rsidRDefault="00B00DB7">
      <w:pPr>
        <w:pStyle w:val="afffff9"/>
        <w:framePr w:w="9639" w:h="6976" w:hRule="exact" w:hSpace="0" w:vSpace="0" w:wrap="around" w:hAnchor="page" w:y="6408"/>
        <w:jc w:val="both"/>
        <w:rPr>
          <w:rFonts w:ascii="黑体" w:eastAsia="黑体" w:hAnsi="黑体" w:hint="eastAsia"/>
          <w:b w:val="0"/>
          <w:bCs w:val="0"/>
          <w:w w:val="100"/>
        </w:rPr>
      </w:pPr>
    </w:p>
    <w:p w14:paraId="505F7BA7" w14:textId="77777777" w:rsidR="00B00DB7" w:rsidRDefault="00000000">
      <w:pPr>
        <w:pStyle w:val="affffffffffd"/>
        <w:framePr w:h="6974" w:hRule="exact" w:wrap="around" w:x="1419" w:anchorLock="1"/>
        <w:rPr>
          <w:rFonts w:hAnsi="Times New Roman"/>
          <w:sz w:val="48"/>
        </w:rPr>
      </w:pPr>
      <w:r>
        <w:rPr>
          <w:rFonts w:hAnsi="Times New Roman" w:hint="eastAsia"/>
          <w:sz w:val="48"/>
        </w:rPr>
        <w:t>港口内河电池动力船舶充电设施技术要求</w:t>
      </w:r>
    </w:p>
    <w:p w14:paraId="7A178F94" w14:textId="77777777" w:rsidR="00B00DB7" w:rsidRDefault="00B00DB7">
      <w:pPr>
        <w:framePr w:w="9639" w:h="6974" w:hRule="exact" w:wrap="around" w:vAnchor="page" w:hAnchor="page" w:x="1419" w:y="6408" w:anchorLock="1"/>
        <w:ind w:left="-1418"/>
      </w:pPr>
    </w:p>
    <w:p w14:paraId="74EC1FC4" w14:textId="77777777" w:rsidR="00B00DB7" w:rsidRDefault="00000000">
      <w:pPr>
        <w:pStyle w:val="affffffff1"/>
        <w:framePr w:w="9639" w:h="6974" w:hRule="exact" w:wrap="around" w:vAnchor="page" w:hAnchor="page" w:x="1419" w:y="6408"/>
        <w:rPr>
          <w:rFonts w:eastAsia="黑体"/>
          <w:szCs w:val="28"/>
        </w:rPr>
      </w:pPr>
      <w:r>
        <w:rPr>
          <w:rFonts w:eastAsia="Segoe UI" w:hint="eastAsia"/>
          <w:color w:val="0F1115"/>
          <w:szCs w:val="28"/>
          <w:shd w:val="clear" w:color="auto" w:fill="FFFFFF"/>
        </w:rPr>
        <w:t>Technical Specifications for Charging Infrastructure of Battery-Electric Ships at Ports and Inland Rivers</w:t>
      </w:r>
    </w:p>
    <w:p w14:paraId="218B9DE9" w14:textId="77777777" w:rsidR="00B00DB7" w:rsidRDefault="00B00DB7">
      <w:pPr>
        <w:framePr w:w="9639" w:h="6974" w:hRule="exact" w:wrap="around" w:vAnchor="page" w:hAnchor="page" w:x="1419" w:y="6408" w:anchorLock="1"/>
        <w:spacing w:line="760" w:lineRule="exact"/>
        <w:ind w:left="-1418"/>
      </w:pPr>
    </w:p>
    <w:p w14:paraId="0435C94B" w14:textId="77777777" w:rsidR="00B00DB7" w:rsidRDefault="00B00DB7">
      <w:pPr>
        <w:pStyle w:val="affffffff1"/>
        <w:framePr w:w="9639" w:h="6974" w:hRule="exact" w:wrap="around" w:vAnchor="page" w:hAnchor="page" w:x="1419" w:y="6408"/>
        <w:textAlignment w:val="bottom"/>
        <w:rPr>
          <w:rFonts w:eastAsia="黑体"/>
          <w:szCs w:val="28"/>
        </w:rPr>
      </w:pPr>
    </w:p>
    <w:p w14:paraId="1E77E6F7" w14:textId="77777777" w:rsidR="00B00DB7" w:rsidRDefault="00000000">
      <w:pPr>
        <w:pStyle w:val="affffffff1"/>
        <w:framePr w:w="9639" w:h="6974" w:hRule="exact" w:wrap="around" w:vAnchor="page" w:hAnchor="page" w:x="1419" w:y="6408"/>
        <w:spacing w:before="440" w:after="160"/>
        <w:textAlignment w:val="bottom"/>
        <w:rPr>
          <w:sz w:val="24"/>
          <w:szCs w:val="28"/>
        </w:rPr>
      </w:pPr>
      <w:r>
        <w:rPr>
          <w:rFonts w:hint="eastAsia"/>
        </w:rPr>
        <w:t>（征求意见稿）</w:t>
      </w:r>
    </w:p>
    <w:p w14:paraId="78E4455A" w14:textId="77777777" w:rsidR="00B00DB7" w:rsidRDefault="00000000">
      <w:pPr>
        <w:pStyle w:val="affffffff1"/>
        <w:framePr w:w="9639" w:h="6974" w:hRule="exact" w:wrap="around" w:vAnchor="page" w:hAnchor="page" w:x="1419" w:y="6408"/>
        <w:spacing w:before="180" w:line="240" w:lineRule="atLeast"/>
        <w:textAlignment w:val="bottom"/>
        <w:rPr>
          <w:sz w:val="21"/>
          <w:szCs w:val="28"/>
        </w:rPr>
      </w:pPr>
      <w:r>
        <w:rPr>
          <w:rFonts w:hint="eastAsia"/>
        </w:rPr>
        <w:t>（本稿完成时间：</w:t>
      </w:r>
      <w:r>
        <w:rPr>
          <w:rFonts w:hint="eastAsia"/>
        </w:rPr>
        <w:t>2026-6-26</w:t>
      </w:r>
      <w:r>
        <w:rPr>
          <w:rFonts w:hint="eastAsia"/>
        </w:rPr>
        <w:t>）</w:t>
      </w:r>
    </w:p>
    <w:p w14:paraId="684593AA" w14:textId="77777777" w:rsidR="00B00DB7" w:rsidRDefault="00000000">
      <w:pPr>
        <w:pStyle w:val="affffffff1"/>
        <w:framePr w:w="9639" w:h="6974" w:hRule="exact" w:wrap="around" w:vAnchor="page" w:hAnchor="page" w:x="1419" w:y="6408"/>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503ED845" w14:textId="77777777" w:rsidR="00B00DB7" w:rsidRDefault="00000000">
      <w:pPr>
        <w:pStyle w:val="af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15FB9E0B" w14:textId="77777777" w:rsidR="00B00DB7" w:rsidRDefault="00000000">
      <w:pPr>
        <w:pStyle w:val="af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70EAD0B4" w14:textId="77777777" w:rsidR="00B00DB7" w:rsidRDefault="00000000">
      <w:pPr>
        <w:pStyle w:val="afffffffff1"/>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16"/>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7B5578E1" w14:textId="77777777" w:rsidR="00B00DB7" w:rsidRDefault="00000000">
      <w:pPr>
        <w:rPr>
          <w:rFonts w:ascii="宋体" w:hAnsi="宋体" w:hint="eastAsia"/>
          <w:sz w:val="28"/>
          <w:szCs w:val="28"/>
        </w:rPr>
        <w:sectPr w:rsidR="00B00DB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78C9F2D" wp14:editId="58C3401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90B5ABC" w14:textId="77777777" w:rsidR="00B00DB7" w:rsidRDefault="00000000">
      <w:pPr>
        <w:adjustRightInd/>
        <w:spacing w:line="240" w:lineRule="auto"/>
        <w:jc w:val="center"/>
        <w:rPr>
          <w:rFonts w:ascii="Times New Roman" w:hAnsi="Times New Roman"/>
          <w:b/>
          <w:bCs/>
          <w:color w:val="000000"/>
          <w:sz w:val="36"/>
          <w:szCs w:val="36"/>
        </w:rPr>
      </w:pPr>
      <w:bookmarkStart w:id="17" w:name="_Toc53577299"/>
      <w:bookmarkStart w:id="18" w:name="_Toc63437392"/>
      <w:r>
        <w:rPr>
          <w:rFonts w:ascii="Times New Roman" w:hAnsi="Times New Roman" w:hint="eastAsia"/>
          <w:b/>
          <w:bCs/>
          <w:color w:val="000000"/>
          <w:sz w:val="36"/>
          <w:szCs w:val="36"/>
        </w:rPr>
        <w:lastRenderedPageBreak/>
        <w:t>目</w:t>
      </w:r>
      <w:bookmarkStart w:id="19" w:name="BKML"/>
      <w:r>
        <w:rPr>
          <w:rFonts w:ascii="Times New Roman" w:hAnsi="Times New Roman" w:hint="eastAsia"/>
          <w:b/>
          <w:bCs/>
          <w:color w:val="000000"/>
          <w:sz w:val="36"/>
          <w:szCs w:val="36"/>
        </w:rPr>
        <w:t> 次</w:t>
      </w:r>
      <w:bookmarkEnd w:id="17"/>
      <w:bookmarkEnd w:id="18"/>
      <w:bookmarkEnd w:id="19"/>
    </w:p>
    <w:sdt>
      <w:sdtPr>
        <w:rPr>
          <w:rFonts w:ascii="宋体" w:hAnsi="宋体"/>
          <w:sz w:val="21"/>
        </w:rPr>
        <w:id w:val="147453082"/>
        <w15:color w:val="DBDBDB"/>
        <w:docPartObj>
          <w:docPartGallery w:val="Table of Contents"/>
          <w:docPartUnique/>
        </w:docPartObj>
      </w:sdtPr>
      <w:sdtContent>
        <w:p w14:paraId="63A48FAC" w14:textId="77777777" w:rsidR="00B00DB7" w:rsidRDefault="00B00DB7">
          <w:pPr>
            <w:spacing w:line="240" w:lineRule="auto"/>
            <w:jc w:val="center"/>
          </w:pPr>
        </w:p>
        <w:p w14:paraId="3B28AE39" w14:textId="77777777" w:rsidR="00B00DB7" w:rsidRDefault="00000000">
          <w:pPr>
            <w:pStyle w:val="TOC1"/>
            <w:tabs>
              <w:tab w:val="right" w:leader="dot" w:pos="9354"/>
            </w:tabs>
          </w:pPr>
          <w:r>
            <w:fldChar w:fldCharType="begin"/>
          </w:r>
          <w:r>
            <w:instrText xml:space="preserve">TOC \o "1-2" \h \u </w:instrText>
          </w:r>
          <w:r>
            <w:fldChar w:fldCharType="separate"/>
          </w:r>
          <w:hyperlink w:anchor="_Toc28158" w:history="1">
            <w:r>
              <w:rPr>
                <w:spacing w:val="320"/>
              </w:rPr>
              <w:t>前</w:t>
            </w:r>
            <w:r>
              <w:t>言</w:t>
            </w:r>
            <w:r>
              <w:tab/>
            </w:r>
            <w:r>
              <w:fldChar w:fldCharType="begin"/>
            </w:r>
            <w:r>
              <w:instrText xml:space="preserve"> PAGEREF _Toc28158 \h </w:instrText>
            </w:r>
            <w:r>
              <w:fldChar w:fldCharType="separate"/>
            </w:r>
            <w:r>
              <w:t>3</w:t>
            </w:r>
            <w:r>
              <w:fldChar w:fldCharType="end"/>
            </w:r>
          </w:hyperlink>
        </w:p>
        <w:p w14:paraId="22B09A66" w14:textId="77777777" w:rsidR="00B00DB7" w:rsidRDefault="00000000">
          <w:pPr>
            <w:pStyle w:val="TOC1"/>
            <w:tabs>
              <w:tab w:val="right" w:leader="dot" w:pos="9354"/>
            </w:tabs>
          </w:pPr>
          <w:hyperlink w:anchor="_Toc12512" w:history="1">
            <w:r>
              <w:rPr>
                <w:rFonts w:ascii="黑体" w:eastAsia="黑体" w:hint="eastAsia"/>
              </w:rPr>
              <w:t xml:space="preserve">1 </w:t>
            </w:r>
            <w:r>
              <w:rPr>
                <w:rFonts w:hint="eastAsia"/>
              </w:rPr>
              <w:t>范围</w:t>
            </w:r>
            <w:r>
              <w:tab/>
            </w:r>
            <w:r>
              <w:fldChar w:fldCharType="begin"/>
            </w:r>
            <w:r>
              <w:instrText xml:space="preserve"> PAGEREF _Toc12512 \h </w:instrText>
            </w:r>
            <w:r>
              <w:fldChar w:fldCharType="separate"/>
            </w:r>
            <w:r>
              <w:t>4</w:t>
            </w:r>
            <w:r>
              <w:fldChar w:fldCharType="end"/>
            </w:r>
          </w:hyperlink>
        </w:p>
        <w:p w14:paraId="6C1FFECA" w14:textId="77777777" w:rsidR="00B00DB7" w:rsidRDefault="00000000">
          <w:pPr>
            <w:pStyle w:val="TOC1"/>
            <w:tabs>
              <w:tab w:val="right" w:leader="dot" w:pos="9354"/>
            </w:tabs>
          </w:pPr>
          <w:hyperlink w:anchor="_Toc12278" w:history="1">
            <w:r>
              <w:rPr>
                <w:rFonts w:ascii="黑体" w:eastAsia="黑体" w:hint="eastAsia"/>
              </w:rPr>
              <w:t xml:space="preserve">2 </w:t>
            </w:r>
            <w:r>
              <w:rPr>
                <w:rFonts w:hint="eastAsia"/>
              </w:rPr>
              <w:t>规范性引用文件</w:t>
            </w:r>
            <w:r>
              <w:tab/>
            </w:r>
            <w:r>
              <w:fldChar w:fldCharType="begin"/>
            </w:r>
            <w:r>
              <w:instrText xml:space="preserve"> PAGEREF _Toc12278 \h </w:instrText>
            </w:r>
            <w:r>
              <w:fldChar w:fldCharType="separate"/>
            </w:r>
            <w:r>
              <w:t>4</w:t>
            </w:r>
            <w:r>
              <w:fldChar w:fldCharType="end"/>
            </w:r>
          </w:hyperlink>
        </w:p>
        <w:p w14:paraId="227E6D04" w14:textId="77777777" w:rsidR="00B00DB7" w:rsidRDefault="00000000">
          <w:pPr>
            <w:pStyle w:val="TOC1"/>
            <w:tabs>
              <w:tab w:val="right" w:leader="dot" w:pos="9354"/>
            </w:tabs>
          </w:pPr>
          <w:hyperlink w:anchor="_Toc30003" w:history="1">
            <w:r>
              <w:rPr>
                <w:rFonts w:ascii="黑体" w:eastAsia="黑体" w:hint="eastAsia"/>
              </w:rPr>
              <w:t xml:space="preserve">3 </w:t>
            </w:r>
            <w:r>
              <w:rPr>
                <w:rFonts w:hint="eastAsia"/>
              </w:rPr>
              <w:t>术语和定义</w:t>
            </w:r>
            <w:r>
              <w:tab/>
            </w:r>
            <w:r>
              <w:fldChar w:fldCharType="begin"/>
            </w:r>
            <w:r>
              <w:instrText xml:space="preserve"> PAGEREF _Toc30003 \h </w:instrText>
            </w:r>
            <w:r>
              <w:fldChar w:fldCharType="separate"/>
            </w:r>
            <w:r>
              <w:t>6</w:t>
            </w:r>
            <w:r>
              <w:fldChar w:fldCharType="end"/>
            </w:r>
          </w:hyperlink>
        </w:p>
        <w:p w14:paraId="67290000" w14:textId="77777777" w:rsidR="00B00DB7" w:rsidRDefault="00000000">
          <w:pPr>
            <w:pStyle w:val="TOC1"/>
            <w:tabs>
              <w:tab w:val="right" w:leader="dot" w:pos="9354"/>
            </w:tabs>
          </w:pPr>
          <w:hyperlink w:anchor="_Toc20716" w:history="1">
            <w:r>
              <w:rPr>
                <w:rFonts w:ascii="黑体" w:eastAsia="黑体" w:hint="eastAsia"/>
              </w:rPr>
              <w:t xml:space="preserve">4 </w:t>
            </w:r>
            <w:r>
              <w:rPr>
                <w:rFonts w:hint="eastAsia"/>
              </w:rPr>
              <w:t>分类与构成</w:t>
            </w:r>
            <w:r>
              <w:tab/>
            </w:r>
            <w:r>
              <w:fldChar w:fldCharType="begin"/>
            </w:r>
            <w:r>
              <w:instrText xml:space="preserve"> PAGEREF _Toc20716 \h </w:instrText>
            </w:r>
            <w:r>
              <w:fldChar w:fldCharType="separate"/>
            </w:r>
            <w:r>
              <w:t>7</w:t>
            </w:r>
            <w:r>
              <w:fldChar w:fldCharType="end"/>
            </w:r>
          </w:hyperlink>
        </w:p>
        <w:p w14:paraId="2AF20021" w14:textId="77777777" w:rsidR="00B00DB7" w:rsidRDefault="00000000">
          <w:pPr>
            <w:pStyle w:val="TOC1"/>
            <w:tabs>
              <w:tab w:val="right" w:leader="dot" w:pos="9354"/>
            </w:tabs>
          </w:pPr>
          <w:hyperlink w:anchor="_Toc25220" w:history="1">
            <w:r>
              <w:rPr>
                <w:rFonts w:ascii="黑体" w:eastAsia="黑体" w:hint="eastAsia"/>
              </w:rPr>
              <w:t xml:space="preserve">5 </w:t>
            </w:r>
            <w:r>
              <w:rPr>
                <w:rFonts w:hint="eastAsia"/>
              </w:rPr>
              <w:t>一般要求</w:t>
            </w:r>
            <w:r>
              <w:tab/>
            </w:r>
            <w:r>
              <w:fldChar w:fldCharType="begin"/>
            </w:r>
            <w:r>
              <w:instrText xml:space="preserve"> PAGEREF _Toc25220 \h </w:instrText>
            </w:r>
            <w:r>
              <w:fldChar w:fldCharType="separate"/>
            </w:r>
            <w:r>
              <w:t>7</w:t>
            </w:r>
            <w:r>
              <w:fldChar w:fldCharType="end"/>
            </w:r>
          </w:hyperlink>
        </w:p>
        <w:p w14:paraId="20FBBCB2" w14:textId="77777777" w:rsidR="00B00DB7" w:rsidRDefault="00000000">
          <w:pPr>
            <w:pStyle w:val="TOC1"/>
            <w:tabs>
              <w:tab w:val="right" w:leader="dot" w:pos="9354"/>
            </w:tabs>
          </w:pPr>
          <w:hyperlink w:anchor="_Toc12752" w:history="1">
            <w:r>
              <w:rPr>
                <w:rFonts w:ascii="黑体" w:eastAsia="黑体" w:hint="eastAsia"/>
              </w:rPr>
              <w:t xml:space="preserve">6 </w:t>
            </w:r>
            <w:r>
              <w:rPr>
                <w:rFonts w:hint="eastAsia"/>
              </w:rPr>
              <w:t>技术要求</w:t>
            </w:r>
            <w:r>
              <w:tab/>
            </w:r>
            <w:r>
              <w:fldChar w:fldCharType="begin"/>
            </w:r>
            <w:r>
              <w:instrText xml:space="preserve"> PAGEREF _Toc12752 \h </w:instrText>
            </w:r>
            <w:r>
              <w:fldChar w:fldCharType="separate"/>
            </w:r>
            <w:r>
              <w:t>8</w:t>
            </w:r>
            <w:r>
              <w:fldChar w:fldCharType="end"/>
            </w:r>
          </w:hyperlink>
        </w:p>
        <w:p w14:paraId="7482AFCF" w14:textId="77777777" w:rsidR="00B00DB7" w:rsidRDefault="00000000">
          <w:pPr>
            <w:pStyle w:val="TOC1"/>
            <w:tabs>
              <w:tab w:val="right" w:leader="dot" w:pos="9354"/>
            </w:tabs>
          </w:pPr>
          <w:hyperlink w:anchor="_Toc13222" w:history="1">
            <w:r>
              <w:rPr>
                <w:rFonts w:ascii="黑体" w:eastAsia="黑体" w:hint="eastAsia"/>
              </w:rPr>
              <w:t xml:space="preserve">7 </w:t>
            </w:r>
            <w:r>
              <w:rPr>
                <w:rFonts w:hint="eastAsia"/>
              </w:rPr>
              <w:t>交直两用船舶供电设施</w:t>
            </w:r>
            <w:r>
              <w:tab/>
            </w:r>
            <w:r>
              <w:fldChar w:fldCharType="begin"/>
            </w:r>
            <w:r>
              <w:instrText xml:space="preserve"> PAGEREF _Toc13222 \h </w:instrText>
            </w:r>
            <w:r>
              <w:fldChar w:fldCharType="separate"/>
            </w:r>
            <w:r>
              <w:t>14</w:t>
            </w:r>
            <w:r>
              <w:fldChar w:fldCharType="end"/>
            </w:r>
          </w:hyperlink>
        </w:p>
        <w:p w14:paraId="549F8C69" w14:textId="77777777" w:rsidR="00B00DB7" w:rsidRDefault="00000000">
          <w:pPr>
            <w:pStyle w:val="TOC1"/>
            <w:tabs>
              <w:tab w:val="right" w:leader="dot" w:pos="9354"/>
            </w:tabs>
          </w:pPr>
          <w:hyperlink w:anchor="_Toc2060" w:history="1">
            <w:r>
              <w:rPr>
                <w:rFonts w:ascii="Times New Roman" w:hAnsi="Times New Roman" w:hint="eastAsia"/>
              </w:rPr>
              <w:t>附录</w:t>
            </w:r>
            <w:r>
              <w:rPr>
                <w:rFonts w:ascii="Times New Roman" w:hAnsi="Times New Roman" w:hint="eastAsia"/>
              </w:rPr>
              <w:t xml:space="preserve">A </w:t>
            </w:r>
            <w:r>
              <w:rPr>
                <w:rFonts w:ascii="Times New Roman" w:hAnsi="Times New Roman" w:hint="eastAsia"/>
              </w:rPr>
              <w:t>典型充电设施结构示意图</w:t>
            </w:r>
            <w:r>
              <w:tab/>
            </w:r>
            <w:r>
              <w:fldChar w:fldCharType="begin"/>
            </w:r>
            <w:r>
              <w:instrText xml:space="preserve"> PAGEREF _Toc2060 \h </w:instrText>
            </w:r>
            <w:r>
              <w:fldChar w:fldCharType="separate"/>
            </w:r>
            <w:r>
              <w:t>16</w:t>
            </w:r>
            <w:r>
              <w:fldChar w:fldCharType="end"/>
            </w:r>
          </w:hyperlink>
        </w:p>
        <w:p w14:paraId="07DA8DDC" w14:textId="77777777" w:rsidR="00B00DB7" w:rsidRDefault="00000000">
          <w:pPr>
            <w:pStyle w:val="TOC1"/>
            <w:tabs>
              <w:tab w:val="right" w:leader="dot" w:pos="9354"/>
            </w:tabs>
          </w:pPr>
          <w:hyperlink w:anchor="_Toc16632" w:history="1">
            <w:r>
              <w:rPr>
                <w:rFonts w:ascii="Times New Roman" w:hAnsi="Times New Roman" w:hint="eastAsia"/>
              </w:rPr>
              <w:t>附录</w:t>
            </w:r>
            <w:r>
              <w:rPr>
                <w:rFonts w:ascii="Times New Roman" w:hAnsi="Times New Roman" w:hint="eastAsia"/>
              </w:rPr>
              <w:t xml:space="preserve">B </w:t>
            </w:r>
            <w:r>
              <w:rPr>
                <w:rFonts w:ascii="Times New Roman" w:hAnsi="Times New Roman" w:hint="eastAsia"/>
                <w:lang w:val="zh-CN"/>
              </w:rPr>
              <w:t>典型泊位充电设施布置技术方案图</w:t>
            </w:r>
            <w:r>
              <w:tab/>
            </w:r>
            <w:r>
              <w:fldChar w:fldCharType="begin"/>
            </w:r>
            <w:r>
              <w:instrText xml:space="preserve"> PAGEREF _Toc16632 \h </w:instrText>
            </w:r>
            <w:r>
              <w:fldChar w:fldCharType="separate"/>
            </w:r>
            <w:r>
              <w:t>17</w:t>
            </w:r>
            <w:r>
              <w:fldChar w:fldCharType="end"/>
            </w:r>
          </w:hyperlink>
        </w:p>
        <w:p w14:paraId="6680F21C" w14:textId="77777777" w:rsidR="00B00DB7" w:rsidRDefault="00000000">
          <w:pPr>
            <w:pStyle w:val="TOC1"/>
            <w:tabs>
              <w:tab w:val="right" w:leader="dot" w:pos="9354"/>
            </w:tabs>
          </w:pPr>
          <w:hyperlink w:anchor="_Toc1773" w:history="1">
            <w:r>
              <w:rPr>
                <w:rFonts w:ascii="Times New Roman" w:hAnsi="Times New Roman" w:hint="eastAsia"/>
              </w:rPr>
              <w:t>附录</w:t>
            </w:r>
            <w:r>
              <w:rPr>
                <w:rFonts w:ascii="Times New Roman" w:hAnsi="Times New Roman" w:hint="eastAsia"/>
              </w:rPr>
              <w:t xml:space="preserve">C </w:t>
            </w:r>
            <w:r>
              <w:rPr>
                <w:rFonts w:ascii="Times New Roman" w:hAnsi="Times New Roman" w:hint="eastAsia"/>
              </w:rPr>
              <w:t>金属封闭开关设备设计等级</w:t>
            </w:r>
            <w:r>
              <w:tab/>
            </w:r>
            <w:r>
              <w:fldChar w:fldCharType="begin"/>
            </w:r>
            <w:r>
              <w:instrText xml:space="preserve"> PAGEREF _Toc1773 \h </w:instrText>
            </w:r>
            <w:r>
              <w:fldChar w:fldCharType="separate"/>
            </w:r>
            <w:r>
              <w:t>18</w:t>
            </w:r>
            <w:r>
              <w:fldChar w:fldCharType="end"/>
            </w:r>
          </w:hyperlink>
        </w:p>
        <w:p w14:paraId="7BD4F70E" w14:textId="77777777" w:rsidR="00B00DB7" w:rsidRDefault="00000000">
          <w:pPr>
            <w:pStyle w:val="TOC1"/>
            <w:tabs>
              <w:tab w:val="right" w:leader="dot" w:pos="9354"/>
            </w:tabs>
          </w:pPr>
          <w:hyperlink w:anchor="_Toc29842" w:history="1">
            <w:r>
              <w:rPr>
                <w:rFonts w:ascii="Times New Roman" w:hAnsi="Times New Roman" w:hint="eastAsia"/>
              </w:rPr>
              <w:t>附录</w:t>
            </w:r>
            <w:r>
              <w:rPr>
                <w:rFonts w:ascii="Times New Roman" w:hAnsi="Times New Roman" w:hint="eastAsia"/>
              </w:rPr>
              <w:t xml:space="preserve">D </w:t>
            </w:r>
            <w:r>
              <w:rPr>
                <w:rFonts w:ascii="Times New Roman" w:hAnsi="Times New Roman" w:hint="eastAsia"/>
              </w:rPr>
              <w:t>连接装置插头布置及安全回路</w:t>
            </w:r>
            <w:r>
              <w:tab/>
            </w:r>
            <w:r>
              <w:fldChar w:fldCharType="begin"/>
            </w:r>
            <w:r>
              <w:instrText xml:space="preserve"> PAGEREF _Toc29842 \h </w:instrText>
            </w:r>
            <w:r>
              <w:fldChar w:fldCharType="separate"/>
            </w:r>
            <w:r>
              <w:t>19</w:t>
            </w:r>
            <w:r>
              <w:fldChar w:fldCharType="end"/>
            </w:r>
          </w:hyperlink>
        </w:p>
        <w:p w14:paraId="3416E0F4" w14:textId="77777777" w:rsidR="00B00DB7" w:rsidRDefault="00000000">
          <w:pPr>
            <w:pStyle w:val="TOC1"/>
            <w:tabs>
              <w:tab w:val="right" w:leader="dot" w:pos="9354"/>
            </w:tabs>
          </w:pPr>
          <w:hyperlink w:anchor="_Toc30722" w:history="1">
            <w:r>
              <w:rPr>
                <w:rFonts w:ascii="Times New Roman" w:hAnsi="Times New Roman" w:hint="eastAsia"/>
                <w:lang w:val="zh-CN"/>
              </w:rPr>
              <w:t>附录</w:t>
            </w:r>
            <w:r>
              <w:rPr>
                <w:rFonts w:ascii="Times New Roman" w:hAnsi="Times New Roman" w:hint="eastAsia"/>
              </w:rPr>
              <w:t xml:space="preserve">F </w:t>
            </w:r>
            <w:r>
              <w:rPr>
                <w:rFonts w:ascii="Times New Roman" w:hAnsi="Times New Roman" w:hint="eastAsia"/>
              </w:rPr>
              <w:t>船岸通讯协议</w:t>
            </w:r>
            <w:r>
              <w:tab/>
            </w:r>
            <w:r>
              <w:rPr>
                <w:rFonts w:hint="eastAsia"/>
              </w:rPr>
              <w:t>2</w:t>
            </w:r>
          </w:hyperlink>
          <w:r>
            <w:rPr>
              <w:rFonts w:hint="eastAsia"/>
            </w:rPr>
            <w:t>0</w:t>
          </w:r>
        </w:p>
        <w:p w14:paraId="6CC0B6B2" w14:textId="77777777" w:rsidR="00B00DB7" w:rsidRDefault="00000000">
          <w:r>
            <w:fldChar w:fldCharType="end"/>
          </w:r>
        </w:p>
      </w:sdtContent>
    </w:sdt>
    <w:p w14:paraId="382DC480" w14:textId="77777777" w:rsidR="00B00DB7" w:rsidRDefault="00B00DB7"/>
    <w:p w14:paraId="4ED82376" w14:textId="77777777" w:rsidR="00B00DB7" w:rsidRDefault="00000000">
      <w:pPr>
        <w:rPr>
          <w:rFonts w:ascii="Times New Roman" w:hAnsi="Times New Roman"/>
          <w:b/>
          <w:bCs/>
          <w:color w:val="000000"/>
          <w:sz w:val="36"/>
          <w:szCs w:val="36"/>
        </w:rPr>
      </w:pPr>
      <w:r>
        <w:rPr>
          <w:rFonts w:ascii="Times New Roman" w:hAnsi="Times New Roman"/>
          <w:b/>
          <w:bCs/>
          <w:color w:val="000000"/>
          <w:sz w:val="36"/>
          <w:szCs w:val="36"/>
        </w:rPr>
        <w:br w:type="page"/>
      </w:r>
    </w:p>
    <w:p w14:paraId="54D55236" w14:textId="77777777" w:rsidR="00B00DB7" w:rsidRDefault="00B00DB7">
      <w:pPr>
        <w:adjustRightInd/>
        <w:spacing w:line="240" w:lineRule="auto"/>
        <w:jc w:val="center"/>
        <w:rPr>
          <w:rFonts w:ascii="Times New Roman" w:hAnsi="Times New Roman"/>
          <w:b/>
          <w:bCs/>
          <w:color w:val="000000"/>
          <w:sz w:val="36"/>
          <w:szCs w:val="36"/>
        </w:rPr>
      </w:pPr>
    </w:p>
    <w:p w14:paraId="16BFD47C" w14:textId="77777777" w:rsidR="00B00DB7" w:rsidRDefault="00000000">
      <w:pPr>
        <w:pStyle w:val="a6"/>
        <w:spacing w:before="900" w:after="360"/>
      </w:pPr>
      <w:bookmarkStart w:id="20" w:name="_Toc28158"/>
      <w:bookmarkStart w:id="21" w:name="_Toc15119"/>
      <w:bookmarkStart w:id="22" w:name="_Toc18001"/>
      <w:bookmarkStart w:id="23" w:name="_Toc11873"/>
      <w:bookmarkStart w:id="24" w:name="_Toc14867"/>
      <w:bookmarkStart w:id="25" w:name="_Toc22190"/>
      <w:bookmarkStart w:id="26" w:name="BookMark4"/>
      <w:r>
        <w:rPr>
          <w:spacing w:val="320"/>
        </w:rPr>
        <w:t>前</w:t>
      </w:r>
      <w:r>
        <w:t>言</w:t>
      </w:r>
      <w:bookmarkEnd w:id="20"/>
      <w:bookmarkEnd w:id="21"/>
      <w:bookmarkEnd w:id="22"/>
      <w:bookmarkEnd w:id="23"/>
    </w:p>
    <w:p w14:paraId="58475DFB" w14:textId="77777777" w:rsidR="00B00DB7" w:rsidRDefault="00000000">
      <w:pPr>
        <w:pStyle w:val="afffffe"/>
        <w:ind w:firstLine="420"/>
      </w:pPr>
      <w:r>
        <w:rPr>
          <w:rFonts w:hint="eastAsia"/>
        </w:rPr>
        <w:t>本文件按照GB/T 1.1—2020《标准化工作导则  第1部分：标准化文件的结构和起草规则》的规定起草。</w:t>
      </w:r>
    </w:p>
    <w:p w14:paraId="5D5EF09C" w14:textId="77777777" w:rsidR="00B00DB7" w:rsidRDefault="00000000">
      <w:pPr>
        <w:pStyle w:val="afffffe"/>
        <w:ind w:firstLine="420"/>
      </w:pPr>
      <w:r>
        <w:rPr>
          <w:rFonts w:hint="eastAsia"/>
        </w:rPr>
        <w:t>本文件由中国港口协会提出并归口。</w:t>
      </w:r>
    </w:p>
    <w:p w14:paraId="1E416977" w14:textId="47E9095D" w:rsidR="00B00DB7" w:rsidRDefault="00000000">
      <w:pPr>
        <w:pStyle w:val="afffffe"/>
        <w:ind w:firstLine="420"/>
      </w:pPr>
      <w:r>
        <w:rPr>
          <w:rFonts w:hint="eastAsia"/>
        </w:rPr>
        <w:t>本文件起草单位：</w:t>
      </w:r>
      <w:r w:rsidR="00AA3400" w:rsidRPr="00AA3400">
        <w:t>中国船级社质量认证有限公司、上海国际港务（集团)股份有限公司、</w:t>
      </w:r>
      <w:proofErr w:type="gramStart"/>
      <w:r w:rsidR="00AA3400" w:rsidRPr="00AA3400">
        <w:t>上海冠东国际</w:t>
      </w:r>
      <w:proofErr w:type="gramEnd"/>
      <w:r w:rsidR="00AA3400" w:rsidRPr="00AA3400">
        <w:t>集装箱码头有限公司、上海海事大学、交通运输部水运科学研究院、上海启程慈航新能源科技有限公司、上海冕电新能源科技有限公司、江苏远洋运输有限公司、江苏健龙电器有限公司、浙江瑞港绿能航运有限公司</w:t>
      </w:r>
    </w:p>
    <w:p w14:paraId="4E77B712" w14:textId="77777777" w:rsidR="00B00DB7" w:rsidRDefault="00000000">
      <w:pPr>
        <w:pStyle w:val="afffffe"/>
        <w:ind w:firstLine="420"/>
      </w:pPr>
      <w:r>
        <w:rPr>
          <w:rFonts w:hint="eastAsia"/>
        </w:rPr>
        <w:t>本文件主要起草人：</w:t>
      </w:r>
    </w:p>
    <w:p w14:paraId="61B71A42" w14:textId="77777777" w:rsidR="00B00DB7" w:rsidRDefault="00000000">
      <w:r>
        <w:rPr>
          <w:rFonts w:hint="eastAsia"/>
        </w:rPr>
        <w:br w:type="page"/>
      </w:r>
    </w:p>
    <w:sdt>
      <w:sdtPr>
        <w:tag w:val="NEW_STAND_NAME"/>
        <w:id w:val="147480994"/>
        <w:lock w:val="sdtLocked"/>
        <w:placeholder>
          <w:docPart w:val="{bb35e689-7c24-4573-a4f8-06f3b22276f2}"/>
        </w:placeholder>
      </w:sdtPr>
      <w:sdtContent>
        <w:p w14:paraId="48774552" w14:textId="77777777" w:rsidR="00B00DB7" w:rsidRDefault="00000000">
          <w:pPr>
            <w:pStyle w:val="affffffffff1"/>
            <w:spacing w:beforeLines="100" w:before="240" w:afterLines="220" w:after="528"/>
            <w:rPr>
              <w:rFonts w:hint="eastAsia"/>
            </w:rPr>
          </w:pPr>
          <w:r>
            <w:rPr>
              <w:rFonts w:hint="eastAsia"/>
            </w:rPr>
            <w:t>港口内河电池动力船舶充电设施技术要求</w:t>
          </w:r>
        </w:p>
      </w:sdtContent>
    </w:sdt>
    <w:p w14:paraId="22AB317C" w14:textId="77777777" w:rsidR="00B00DB7" w:rsidRDefault="00000000">
      <w:pPr>
        <w:pStyle w:val="afff"/>
        <w:spacing w:before="240" w:after="240"/>
      </w:pPr>
      <w:bookmarkStart w:id="27" w:name="_Toc192512629"/>
      <w:bookmarkStart w:id="28" w:name="_Toc24884211"/>
      <w:bookmarkStart w:id="29" w:name="_Toc25760"/>
      <w:bookmarkStart w:id="30" w:name="_Toc26648465"/>
      <w:bookmarkStart w:id="31" w:name="_Toc17233333"/>
      <w:bookmarkStart w:id="32" w:name="_Toc26986771"/>
      <w:bookmarkStart w:id="33" w:name="_Toc24884218"/>
      <w:bookmarkStart w:id="34" w:name="_Toc17233325"/>
      <w:bookmarkStart w:id="35" w:name="_Toc26986530"/>
      <w:bookmarkStart w:id="36" w:name="_Toc97192964"/>
      <w:bookmarkStart w:id="37" w:name="_Toc12512"/>
      <w:bookmarkStart w:id="38" w:name="_Toc267189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1C961B98" w14:textId="77777777" w:rsidR="00B00DB7" w:rsidRDefault="00000000">
      <w:pPr>
        <w:pStyle w:val="afffffd"/>
        <w:ind w:firstLine="480"/>
      </w:pPr>
      <w:bookmarkStart w:id="39" w:name="_Toc32299"/>
      <w:bookmarkStart w:id="40" w:name="_Toc1893986"/>
      <w:bookmarkEnd w:id="24"/>
      <w:bookmarkEnd w:id="25"/>
      <w:r>
        <w:rPr>
          <w:rFonts w:hint="eastAsia"/>
        </w:rPr>
        <w:t>本文件规定了港口内河电池动力船舶充电设施的分类、构成与配置、一般要求和技术要求等。</w:t>
      </w:r>
      <w:r>
        <w:br/>
      </w:r>
      <w:r>
        <w:rPr>
          <w:rFonts w:hint="eastAsia"/>
        </w:rPr>
        <w:tab/>
      </w:r>
      <w:r>
        <w:rPr>
          <w:rFonts w:hint="eastAsia"/>
        </w:rPr>
        <w:t>本文件适用于港口内河电池动力船舶充电设施（以下简称充电设施）的新建、改建和使用。</w:t>
      </w:r>
      <w:r>
        <w:br/>
      </w:r>
      <w:r>
        <w:rPr>
          <w:rFonts w:hint="eastAsia"/>
        </w:rPr>
        <w:tab/>
      </w:r>
    </w:p>
    <w:p w14:paraId="45AD5CE0" w14:textId="77777777" w:rsidR="00B00DB7" w:rsidRDefault="00000000">
      <w:pPr>
        <w:pStyle w:val="afff"/>
        <w:spacing w:before="240" w:after="240"/>
      </w:pPr>
      <w:bookmarkStart w:id="41" w:name="_Toc26718931"/>
      <w:bookmarkStart w:id="42" w:name="_Toc97192965"/>
      <w:bookmarkStart w:id="43" w:name="_Toc12278"/>
      <w:bookmarkStart w:id="44" w:name="_Toc26986531"/>
      <w:bookmarkStart w:id="45" w:name="_Toc26986772"/>
      <w:bookmarkStart w:id="46" w:name="_Toc15073"/>
      <w:bookmarkStart w:id="47" w:name="_Toc192512630"/>
      <w:r>
        <w:rPr>
          <w:rFonts w:hint="eastAsia"/>
        </w:rPr>
        <w:t>规范性引用文件</w:t>
      </w:r>
      <w:bookmarkEnd w:id="41"/>
      <w:bookmarkEnd w:id="42"/>
      <w:bookmarkEnd w:id="43"/>
      <w:bookmarkEnd w:id="44"/>
      <w:bookmarkEnd w:id="45"/>
      <w:bookmarkEnd w:id="46"/>
      <w:bookmarkEnd w:id="47"/>
    </w:p>
    <w:p w14:paraId="26D0E23B" w14:textId="77777777" w:rsidR="00B00DB7" w:rsidRDefault="00000000">
      <w:pPr>
        <w:pStyle w:val="afffffd"/>
        <w:ind w:firstLine="48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683B7A4" w14:textId="77777777" w:rsidR="00B00DB7" w:rsidRDefault="00000000">
      <w:pPr>
        <w:pStyle w:val="afffffd"/>
        <w:ind w:firstLine="480"/>
      </w:pPr>
      <w:r>
        <w:rPr>
          <w:rFonts w:hint="eastAsia"/>
        </w:rPr>
        <w:t xml:space="preserve">GB/T 2423.16 </w:t>
      </w:r>
      <w:r>
        <w:rPr>
          <w:rFonts w:hint="eastAsia"/>
        </w:rPr>
        <w:t>电工电子产品环境试验</w:t>
      </w:r>
      <w:r>
        <w:rPr>
          <w:rFonts w:hint="eastAsia"/>
        </w:rPr>
        <w:t xml:space="preserve"> </w:t>
      </w:r>
      <w:r>
        <w:rPr>
          <w:rFonts w:hint="eastAsia"/>
        </w:rPr>
        <w:t>第</w:t>
      </w:r>
      <w:r>
        <w:rPr>
          <w:rFonts w:hint="eastAsia"/>
        </w:rPr>
        <w:t>2</w:t>
      </w:r>
      <w:r>
        <w:rPr>
          <w:rFonts w:hint="eastAsia"/>
        </w:rPr>
        <w:t>部分</w:t>
      </w:r>
      <w:r>
        <w:rPr>
          <w:rFonts w:hint="eastAsia"/>
        </w:rPr>
        <w:t>:</w:t>
      </w:r>
      <w:r>
        <w:rPr>
          <w:rFonts w:hint="eastAsia"/>
        </w:rPr>
        <w:t>试验方法试验</w:t>
      </w:r>
      <w:r>
        <w:rPr>
          <w:rFonts w:hint="eastAsia"/>
        </w:rPr>
        <w:t>J</w:t>
      </w:r>
      <w:r>
        <w:rPr>
          <w:rFonts w:hint="eastAsia"/>
        </w:rPr>
        <w:t>及导则</w:t>
      </w:r>
      <w:r>
        <w:rPr>
          <w:rFonts w:hint="eastAsia"/>
        </w:rPr>
        <w:t>:</w:t>
      </w:r>
      <w:r>
        <w:rPr>
          <w:rFonts w:hint="eastAsia"/>
        </w:rPr>
        <w:t>长霉</w:t>
      </w:r>
    </w:p>
    <w:p w14:paraId="7628EFFB" w14:textId="77777777" w:rsidR="00B00DB7" w:rsidRDefault="00000000">
      <w:pPr>
        <w:pStyle w:val="afffffd"/>
        <w:ind w:firstLine="480"/>
      </w:pPr>
      <w:r>
        <w:rPr>
          <w:rFonts w:hint="eastAsia"/>
        </w:rPr>
        <w:t xml:space="preserve">GB/T 2423.17 </w:t>
      </w:r>
      <w:r>
        <w:rPr>
          <w:rFonts w:hint="eastAsia"/>
        </w:rPr>
        <w:t>电工电子产品环境试验</w:t>
      </w:r>
      <w:r>
        <w:rPr>
          <w:rFonts w:hint="eastAsia"/>
        </w:rPr>
        <w:t xml:space="preserve"> </w:t>
      </w:r>
      <w:r>
        <w:rPr>
          <w:rFonts w:hint="eastAsia"/>
        </w:rPr>
        <w:t>第</w:t>
      </w:r>
      <w:r>
        <w:rPr>
          <w:rFonts w:hint="eastAsia"/>
        </w:rPr>
        <w:t>2</w:t>
      </w:r>
      <w:r>
        <w:rPr>
          <w:rFonts w:hint="eastAsia"/>
        </w:rPr>
        <w:t>部分</w:t>
      </w:r>
      <w:r>
        <w:rPr>
          <w:rFonts w:hint="eastAsia"/>
        </w:rPr>
        <w:t>:</w:t>
      </w:r>
      <w:r>
        <w:rPr>
          <w:rFonts w:hint="eastAsia"/>
        </w:rPr>
        <w:t>试验方法试验</w:t>
      </w:r>
      <w:r>
        <w:rPr>
          <w:rFonts w:hint="eastAsia"/>
        </w:rPr>
        <w:t>Ka:</w:t>
      </w:r>
      <w:r>
        <w:rPr>
          <w:rFonts w:hint="eastAsia"/>
        </w:rPr>
        <w:t>盐雾</w:t>
      </w:r>
    </w:p>
    <w:p w14:paraId="1B8B757C" w14:textId="77777777" w:rsidR="00B00DB7" w:rsidRDefault="00000000">
      <w:pPr>
        <w:pStyle w:val="afffffd"/>
        <w:ind w:firstLine="480"/>
      </w:pPr>
      <w:r>
        <w:rPr>
          <w:rFonts w:hint="eastAsia"/>
        </w:rPr>
        <w:t xml:space="preserve">GB/T 2423.55 </w:t>
      </w:r>
      <w:r>
        <w:rPr>
          <w:rFonts w:hint="eastAsia"/>
        </w:rPr>
        <w:t>电工电子产品环境试验</w:t>
      </w:r>
      <w:r>
        <w:rPr>
          <w:rFonts w:hint="eastAsia"/>
        </w:rPr>
        <w:t xml:space="preserve"> </w:t>
      </w:r>
      <w:r>
        <w:rPr>
          <w:rFonts w:hint="eastAsia"/>
        </w:rPr>
        <w:t>第</w:t>
      </w:r>
      <w:r>
        <w:rPr>
          <w:rFonts w:hint="eastAsia"/>
        </w:rPr>
        <w:t>2</w:t>
      </w:r>
      <w:r>
        <w:rPr>
          <w:rFonts w:hint="eastAsia"/>
        </w:rPr>
        <w:t>部分</w:t>
      </w:r>
      <w:r>
        <w:rPr>
          <w:rFonts w:hint="eastAsia"/>
        </w:rPr>
        <w:t>:</w:t>
      </w:r>
      <w:r>
        <w:rPr>
          <w:rFonts w:hint="eastAsia"/>
        </w:rPr>
        <w:t>试验方法试验</w:t>
      </w:r>
      <w:r>
        <w:rPr>
          <w:rFonts w:hint="eastAsia"/>
        </w:rPr>
        <w:t>Eh:</w:t>
      </w:r>
      <w:r>
        <w:rPr>
          <w:rFonts w:hint="eastAsia"/>
        </w:rPr>
        <w:t>锤击试验</w:t>
      </w:r>
    </w:p>
    <w:p w14:paraId="5026CEEB" w14:textId="77777777" w:rsidR="00B00DB7" w:rsidRDefault="00000000">
      <w:pPr>
        <w:pStyle w:val="afffffd"/>
        <w:ind w:firstLine="480"/>
      </w:pPr>
      <w:r>
        <w:rPr>
          <w:rFonts w:hint="eastAsia"/>
        </w:rPr>
        <w:t xml:space="preserve">GB/T4208 </w:t>
      </w:r>
      <w:r>
        <w:rPr>
          <w:rFonts w:hint="eastAsia"/>
        </w:rPr>
        <w:t>外壳防护等级</w:t>
      </w:r>
      <w:r>
        <w:rPr>
          <w:rFonts w:hint="eastAsia"/>
        </w:rPr>
        <w:t>(IP</w:t>
      </w:r>
      <w:r>
        <w:rPr>
          <w:rFonts w:hint="eastAsia"/>
        </w:rPr>
        <w:t>代码</w:t>
      </w:r>
      <w:r>
        <w:rPr>
          <w:rFonts w:hint="eastAsia"/>
        </w:rPr>
        <w:t>)</w:t>
      </w:r>
    </w:p>
    <w:p w14:paraId="7BDCE209" w14:textId="77777777" w:rsidR="00B00DB7" w:rsidRDefault="00000000">
      <w:pPr>
        <w:pStyle w:val="afffffd"/>
        <w:ind w:firstLine="480"/>
      </w:pPr>
      <w:r>
        <w:rPr>
          <w:rFonts w:hint="eastAsia"/>
        </w:rPr>
        <w:t xml:space="preserve">GB7251.1 </w:t>
      </w:r>
      <w:r>
        <w:rPr>
          <w:rFonts w:hint="eastAsia"/>
        </w:rPr>
        <w:t>低压成套开关设备和控制设备第</w:t>
      </w:r>
      <w:r>
        <w:rPr>
          <w:rFonts w:hint="eastAsia"/>
        </w:rPr>
        <w:t>1</w:t>
      </w:r>
      <w:r>
        <w:rPr>
          <w:rFonts w:hint="eastAsia"/>
        </w:rPr>
        <w:t>部分</w:t>
      </w:r>
      <w:r>
        <w:rPr>
          <w:rFonts w:hint="eastAsia"/>
        </w:rPr>
        <w:t>:</w:t>
      </w:r>
      <w:r>
        <w:rPr>
          <w:rFonts w:hint="eastAsia"/>
        </w:rPr>
        <w:t>总则</w:t>
      </w:r>
    </w:p>
    <w:p w14:paraId="63D87D36" w14:textId="77777777" w:rsidR="00B00DB7" w:rsidRDefault="00000000">
      <w:pPr>
        <w:pStyle w:val="afffffd"/>
        <w:ind w:firstLine="480"/>
      </w:pPr>
      <w:r>
        <w:rPr>
          <w:rFonts w:hint="eastAsia"/>
        </w:rPr>
        <w:t xml:space="preserve">GB/T 7061 </w:t>
      </w:r>
      <w:r>
        <w:rPr>
          <w:rFonts w:hint="eastAsia"/>
        </w:rPr>
        <w:t>船用低压成套开关设备和控制设备</w:t>
      </w:r>
    </w:p>
    <w:p w14:paraId="034869E5" w14:textId="77777777" w:rsidR="00B00DB7" w:rsidRDefault="00000000">
      <w:pPr>
        <w:pStyle w:val="afffffd"/>
        <w:ind w:firstLine="480"/>
      </w:pPr>
      <w:r>
        <w:rPr>
          <w:rFonts w:hint="eastAsia"/>
        </w:rPr>
        <w:t xml:space="preserve">GB/T 13384 </w:t>
      </w:r>
      <w:r>
        <w:rPr>
          <w:rFonts w:hint="eastAsia"/>
        </w:rPr>
        <w:t>机电产品包装通用技术条件</w:t>
      </w:r>
    </w:p>
    <w:p w14:paraId="0C13318A" w14:textId="77777777" w:rsidR="00B00DB7" w:rsidRDefault="00000000">
      <w:pPr>
        <w:pStyle w:val="afffffd"/>
        <w:ind w:firstLine="480"/>
      </w:pPr>
      <w:r>
        <w:rPr>
          <w:rFonts w:hint="eastAsia"/>
        </w:rPr>
        <w:t xml:space="preserve">GB/T 16895.3 </w:t>
      </w:r>
      <w:r>
        <w:rPr>
          <w:rFonts w:hint="eastAsia"/>
        </w:rPr>
        <w:t>低压电气装第</w:t>
      </w:r>
      <w:r>
        <w:rPr>
          <w:rFonts w:hint="eastAsia"/>
        </w:rPr>
        <w:t>5-54</w:t>
      </w:r>
      <w:r>
        <w:rPr>
          <w:rFonts w:hint="eastAsia"/>
        </w:rPr>
        <w:t>部分</w:t>
      </w:r>
      <w:r>
        <w:rPr>
          <w:rFonts w:hint="eastAsia"/>
        </w:rPr>
        <w:t>:</w:t>
      </w:r>
      <w:r>
        <w:rPr>
          <w:rFonts w:hint="eastAsia"/>
        </w:rPr>
        <w:t>电气设备的选择和安装接地配置和保护导体</w:t>
      </w:r>
    </w:p>
    <w:p w14:paraId="57602937" w14:textId="77777777" w:rsidR="00B00DB7" w:rsidRDefault="00000000">
      <w:pPr>
        <w:pStyle w:val="afffffd"/>
        <w:ind w:firstLine="480"/>
      </w:pPr>
      <w:r>
        <w:rPr>
          <w:rFonts w:hint="eastAsia"/>
        </w:rPr>
        <w:t xml:space="preserve">GB/T 17626.2 </w:t>
      </w:r>
      <w:r>
        <w:rPr>
          <w:rFonts w:hint="eastAsia"/>
        </w:rPr>
        <w:t>电磁兼容试验和测量技术静电放电抗扰度试验</w:t>
      </w:r>
    </w:p>
    <w:p w14:paraId="1F1A08A7" w14:textId="77777777" w:rsidR="00B00DB7" w:rsidRDefault="00000000">
      <w:pPr>
        <w:pStyle w:val="afffffd"/>
        <w:ind w:firstLine="480"/>
      </w:pPr>
      <w:r>
        <w:rPr>
          <w:rFonts w:hint="eastAsia"/>
        </w:rPr>
        <w:t xml:space="preserve">GB/T 17626.4 </w:t>
      </w:r>
      <w:r>
        <w:rPr>
          <w:rFonts w:hint="eastAsia"/>
        </w:rPr>
        <w:t>电磁兼容试验和测量</w:t>
      </w:r>
      <w:proofErr w:type="gramStart"/>
      <w:r>
        <w:rPr>
          <w:rFonts w:hint="eastAsia"/>
        </w:rPr>
        <w:t>技术电</w:t>
      </w:r>
      <w:proofErr w:type="gramEnd"/>
      <w:r>
        <w:rPr>
          <w:rFonts w:hint="eastAsia"/>
        </w:rPr>
        <w:t>快速瞬变脉冲群抗扰度试验</w:t>
      </w:r>
    </w:p>
    <w:p w14:paraId="44CAA584" w14:textId="77777777" w:rsidR="00B00DB7" w:rsidRDefault="00000000">
      <w:pPr>
        <w:pStyle w:val="afffffd"/>
        <w:ind w:firstLine="480"/>
      </w:pPr>
      <w:r>
        <w:rPr>
          <w:rFonts w:hint="eastAsia"/>
        </w:rPr>
        <w:t xml:space="preserve">GB/T 17626.3 </w:t>
      </w:r>
      <w:r>
        <w:rPr>
          <w:rFonts w:hint="eastAsia"/>
        </w:rPr>
        <w:t>电磁兼容试验和测量技术射频电磁场辐射抗扰度试验</w:t>
      </w:r>
    </w:p>
    <w:p w14:paraId="2D3C914C" w14:textId="77777777" w:rsidR="00B00DB7" w:rsidRDefault="00000000">
      <w:pPr>
        <w:pStyle w:val="afffffd"/>
        <w:ind w:firstLine="480"/>
      </w:pPr>
      <w:r>
        <w:rPr>
          <w:rFonts w:hint="eastAsia"/>
        </w:rPr>
        <w:t xml:space="preserve">GB/T 17626.5 </w:t>
      </w:r>
      <w:r>
        <w:rPr>
          <w:rFonts w:hint="eastAsia"/>
        </w:rPr>
        <w:t>电磁兼容试验和测量技术浪涌</w:t>
      </w:r>
      <w:r>
        <w:rPr>
          <w:rFonts w:hint="eastAsia"/>
        </w:rPr>
        <w:t>(</w:t>
      </w:r>
      <w:r>
        <w:rPr>
          <w:rFonts w:hint="eastAsia"/>
        </w:rPr>
        <w:t>冲击</w:t>
      </w:r>
      <w:r>
        <w:rPr>
          <w:rFonts w:hint="eastAsia"/>
        </w:rPr>
        <w:t>)</w:t>
      </w:r>
      <w:r>
        <w:rPr>
          <w:rFonts w:hint="eastAsia"/>
        </w:rPr>
        <w:t>抗扰度试验</w:t>
      </w:r>
    </w:p>
    <w:p w14:paraId="079ECA02" w14:textId="77777777" w:rsidR="00B00DB7" w:rsidRDefault="00000000">
      <w:pPr>
        <w:pStyle w:val="afffffd"/>
        <w:ind w:firstLine="480"/>
      </w:pPr>
      <w:r>
        <w:rPr>
          <w:rFonts w:hint="eastAsia"/>
        </w:rPr>
        <w:t xml:space="preserve">GB/T 18487.1 </w:t>
      </w:r>
      <w:r>
        <w:rPr>
          <w:rFonts w:hint="eastAsia"/>
        </w:rPr>
        <w:t>电动汽车传导充电系统第</w:t>
      </w:r>
      <w:r>
        <w:rPr>
          <w:rFonts w:hint="eastAsia"/>
        </w:rPr>
        <w:t>1</w:t>
      </w:r>
      <w:r>
        <w:rPr>
          <w:rFonts w:hint="eastAsia"/>
        </w:rPr>
        <w:t>部分</w:t>
      </w:r>
      <w:r>
        <w:rPr>
          <w:rFonts w:hint="eastAsia"/>
        </w:rPr>
        <w:t>:</w:t>
      </w:r>
      <w:r>
        <w:rPr>
          <w:rFonts w:hint="eastAsia"/>
        </w:rPr>
        <w:t>通用要求</w:t>
      </w:r>
    </w:p>
    <w:p w14:paraId="71B86772" w14:textId="77777777" w:rsidR="00B00DB7" w:rsidRDefault="00000000">
      <w:pPr>
        <w:pStyle w:val="afffffd"/>
        <w:ind w:firstLine="480"/>
      </w:pPr>
      <w:r>
        <w:rPr>
          <w:rFonts w:hint="eastAsia"/>
        </w:rPr>
        <w:t xml:space="preserve">GB/T 27930 </w:t>
      </w:r>
      <w:r>
        <w:rPr>
          <w:rFonts w:hint="eastAsia"/>
        </w:rPr>
        <w:t>非车载传导式充电机与电动汽车之间的数字通信协议</w:t>
      </w:r>
    </w:p>
    <w:p w14:paraId="4A656D82" w14:textId="77777777" w:rsidR="00B00DB7" w:rsidRDefault="00000000">
      <w:pPr>
        <w:pStyle w:val="afffffd"/>
        <w:ind w:firstLine="480"/>
      </w:pPr>
      <w:r>
        <w:rPr>
          <w:rFonts w:hint="eastAsia"/>
        </w:rPr>
        <w:t>GB/T 40031</w:t>
      </w:r>
      <w:r>
        <w:rPr>
          <w:rFonts w:hint="eastAsia"/>
        </w:rPr>
        <w:t>《电动船舶术语》</w:t>
      </w:r>
    </w:p>
    <w:p w14:paraId="3027000D" w14:textId="77777777" w:rsidR="00B00DB7" w:rsidRDefault="00000000">
      <w:pPr>
        <w:pStyle w:val="afffffd"/>
        <w:ind w:firstLine="480"/>
      </w:pPr>
      <w:r>
        <w:rPr>
          <w:rFonts w:hint="eastAsia"/>
        </w:rPr>
        <w:t xml:space="preserve">GB/T 41999 </w:t>
      </w:r>
      <w:r>
        <w:rPr>
          <w:rFonts w:hint="eastAsia"/>
        </w:rPr>
        <w:t>港口岸电设施术语</w:t>
      </w:r>
    </w:p>
    <w:p w14:paraId="6339B4CF" w14:textId="77777777" w:rsidR="00B00DB7" w:rsidRDefault="00000000">
      <w:pPr>
        <w:pStyle w:val="afffffd"/>
        <w:ind w:firstLine="480"/>
      </w:pPr>
      <w:r>
        <w:rPr>
          <w:rFonts w:hint="eastAsia"/>
        </w:rPr>
        <w:t xml:space="preserve">GB 50057 </w:t>
      </w:r>
      <w:r>
        <w:rPr>
          <w:rFonts w:hint="eastAsia"/>
        </w:rPr>
        <w:t>建筑物防雷设计规范</w:t>
      </w:r>
    </w:p>
    <w:p w14:paraId="37DA4AFB" w14:textId="77777777" w:rsidR="00B00DB7" w:rsidRDefault="00000000">
      <w:pPr>
        <w:pStyle w:val="afffffd"/>
        <w:ind w:firstLine="480"/>
      </w:pPr>
      <w:r>
        <w:rPr>
          <w:rFonts w:hint="eastAsia"/>
        </w:rPr>
        <w:t>GB/T 51312</w:t>
      </w:r>
      <w:r>
        <w:rPr>
          <w:rFonts w:hint="eastAsia"/>
        </w:rPr>
        <w:t>《船舶岸电设施建设技术规范》</w:t>
      </w:r>
    </w:p>
    <w:p w14:paraId="4C7B5A98" w14:textId="77777777" w:rsidR="00B00DB7" w:rsidRDefault="00000000">
      <w:pPr>
        <w:pStyle w:val="afffffd"/>
        <w:ind w:firstLine="480"/>
      </w:pPr>
      <w:r>
        <w:rPr>
          <w:rFonts w:hint="eastAsia"/>
        </w:rPr>
        <w:t>DL/T 2804</w:t>
      </w:r>
      <w:r>
        <w:rPr>
          <w:rFonts w:hint="eastAsia"/>
        </w:rPr>
        <w:t>《电动船舶直流充电系统用插头、插座和船用耦合器》</w:t>
      </w:r>
    </w:p>
    <w:p w14:paraId="334F6A23" w14:textId="77777777" w:rsidR="00B00DB7" w:rsidRDefault="00000000">
      <w:pPr>
        <w:pStyle w:val="afffffd"/>
        <w:ind w:firstLine="480"/>
      </w:pPr>
      <w:r>
        <w:rPr>
          <w:rFonts w:hint="eastAsia"/>
        </w:rPr>
        <w:t>DL/T 2853</w:t>
      </w:r>
      <w:r>
        <w:rPr>
          <w:rFonts w:hint="eastAsia"/>
        </w:rPr>
        <w:t>《电动船舶非船载传导式直流充电设备技术条件》</w:t>
      </w:r>
    </w:p>
    <w:p w14:paraId="08A7904B" w14:textId="77777777" w:rsidR="00B00DB7" w:rsidRDefault="00000000">
      <w:pPr>
        <w:pStyle w:val="afffffd"/>
        <w:ind w:firstLine="480"/>
      </w:pPr>
      <w:r>
        <w:rPr>
          <w:rFonts w:hint="eastAsia"/>
        </w:rPr>
        <w:lastRenderedPageBreak/>
        <w:t>DL/T 2854</w:t>
      </w:r>
      <w:r>
        <w:rPr>
          <w:rFonts w:hint="eastAsia"/>
        </w:rPr>
        <w:t>《电动船舶直流充换电系统技术条件》</w:t>
      </w:r>
    </w:p>
    <w:p w14:paraId="1F573CFA" w14:textId="77777777" w:rsidR="00B00DB7" w:rsidRDefault="00000000">
      <w:pPr>
        <w:pStyle w:val="afffffd"/>
        <w:ind w:firstLine="480"/>
      </w:pPr>
      <w:r>
        <w:rPr>
          <w:rFonts w:hint="eastAsia"/>
        </w:rPr>
        <w:t xml:space="preserve">CCS </w:t>
      </w:r>
      <w:r>
        <w:rPr>
          <w:rFonts w:hint="eastAsia"/>
        </w:rPr>
        <w:t>《船舶应用电池动力规范》</w:t>
      </w:r>
      <w:r>
        <w:rPr>
          <w:rFonts w:hint="eastAsia"/>
        </w:rPr>
        <w:t>2025</w:t>
      </w:r>
    </w:p>
    <w:p w14:paraId="70CB1158" w14:textId="77777777" w:rsidR="00B00DB7" w:rsidRDefault="00000000">
      <w:pPr>
        <w:pStyle w:val="afffffd"/>
        <w:ind w:firstLine="480"/>
      </w:pPr>
      <w:r>
        <w:t>《纯电池动力船舶技术与检验暂行规则（</w:t>
      </w:r>
      <w:r>
        <w:t>2025</w:t>
      </w:r>
      <w:r>
        <w:t>）》</w:t>
      </w:r>
      <w:r>
        <w:t xml:space="preserve"> </w:t>
      </w:r>
      <w:r>
        <w:t>中国船级社</w:t>
      </w:r>
    </w:p>
    <w:p w14:paraId="39654498" w14:textId="77777777" w:rsidR="00B00DB7" w:rsidRDefault="00000000">
      <w:pPr>
        <w:pStyle w:val="afffffd"/>
        <w:ind w:firstLine="480"/>
      </w:pPr>
      <w:r>
        <w:t>《船舶网络安全指南</w:t>
      </w:r>
      <w:r>
        <w:t>2025</w:t>
      </w:r>
      <w:r>
        <w:t>》</w:t>
      </w:r>
      <w:r>
        <w:t xml:space="preserve"> </w:t>
      </w:r>
      <w:r>
        <w:t>中国船级社</w:t>
      </w:r>
    </w:p>
    <w:p w14:paraId="7D055D26" w14:textId="77777777" w:rsidR="00B00DB7" w:rsidRDefault="00B00DB7">
      <w:pPr>
        <w:pStyle w:val="afffffe"/>
        <w:ind w:firstLine="420"/>
      </w:pPr>
    </w:p>
    <w:p w14:paraId="51D36427" w14:textId="77777777" w:rsidR="00B00DB7" w:rsidRDefault="00000000">
      <w:pPr>
        <w:pStyle w:val="afffffe"/>
        <w:ind w:firstLineChars="0" w:firstLine="0"/>
        <w:rPr>
          <w:rFonts w:ascii="Times New Roman"/>
          <w:b/>
          <w:bCs/>
          <w:color w:val="000000"/>
          <w:kern w:val="44"/>
          <w:sz w:val="36"/>
          <w:szCs w:val="44"/>
        </w:rPr>
      </w:pPr>
      <w:r>
        <w:br/>
      </w:r>
      <w:r>
        <w:rPr>
          <w:rFonts w:ascii="Times New Roman" w:hint="eastAsia"/>
          <w:b/>
          <w:bCs/>
          <w:color w:val="000000"/>
          <w:kern w:val="44"/>
          <w:sz w:val="36"/>
          <w:szCs w:val="44"/>
        </w:rPr>
        <w:br w:type="page"/>
      </w:r>
    </w:p>
    <w:p w14:paraId="35B614FE" w14:textId="77777777" w:rsidR="00B00DB7" w:rsidRDefault="00000000">
      <w:pPr>
        <w:pStyle w:val="afff"/>
        <w:spacing w:before="240" w:after="240"/>
      </w:pPr>
      <w:bookmarkStart w:id="48" w:name="_Toc26802556"/>
      <w:bookmarkStart w:id="49" w:name="_Toc28670403"/>
      <w:bookmarkStart w:id="50" w:name="_Toc25225662"/>
      <w:bookmarkStart w:id="51" w:name="_Toc30664"/>
      <w:bookmarkStart w:id="52" w:name="_Toc28669970"/>
      <w:bookmarkStart w:id="53" w:name="_Toc28669732"/>
      <w:bookmarkStart w:id="54" w:name="_Toc30003"/>
      <w:bookmarkStart w:id="55" w:name="_Toc28614899"/>
      <w:bookmarkStart w:id="56" w:name="_Toc26805258"/>
      <w:bookmarkStart w:id="57" w:name="_Toc23384"/>
      <w:bookmarkStart w:id="58" w:name="_Toc28669926"/>
      <w:bookmarkStart w:id="59" w:name="_Toc31987"/>
      <w:bookmarkStart w:id="60" w:name="_Toc25179652"/>
      <w:bookmarkStart w:id="61" w:name="_Toc28669803"/>
      <w:bookmarkStart w:id="62" w:name="_Toc25179763"/>
      <w:bookmarkEnd w:id="39"/>
      <w:bookmarkEnd w:id="40"/>
      <w:r>
        <w:rPr>
          <w:rFonts w:hint="eastAsia"/>
        </w:rPr>
        <w:lastRenderedPageBreak/>
        <w:t>术语和定义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503289" w14:textId="77777777" w:rsidR="00B00DB7" w:rsidRDefault="00000000">
      <w:pPr>
        <w:pStyle w:val="afffffd"/>
        <w:ind w:firstLine="480"/>
      </w:pPr>
      <w:r>
        <w:rPr>
          <w:rFonts w:hint="eastAsia"/>
        </w:rPr>
        <w:t>《电动船舶岸基充电设施建设技术规范》、《船舶应用电池动力规范》、《纯电池动力船舶技术与检验暂行规则（</w:t>
      </w:r>
      <w:r>
        <w:rPr>
          <w:rFonts w:hint="eastAsia"/>
        </w:rPr>
        <w:t>2025</w:t>
      </w:r>
      <w:r>
        <w:rPr>
          <w:rFonts w:hint="eastAsia"/>
        </w:rPr>
        <w:t>）》界定的以及下列术语和定义适用于本文件。</w:t>
      </w:r>
    </w:p>
    <w:p w14:paraId="10AF7894" w14:textId="77777777" w:rsidR="00B00DB7" w:rsidRDefault="00B00DB7">
      <w:pPr>
        <w:spacing w:line="360" w:lineRule="auto"/>
        <w:rPr>
          <w:rFonts w:ascii="Times New Roman" w:hAnsi="Times New Roman"/>
          <w:color w:val="000000"/>
          <w:szCs w:val="24"/>
        </w:rPr>
      </w:pPr>
    </w:p>
    <w:p w14:paraId="36B19232" w14:textId="77777777" w:rsidR="00B00DB7" w:rsidRDefault="00000000">
      <w:pPr>
        <w:rPr>
          <w:rFonts w:ascii="黑体" w:eastAsia="黑体" w:hAnsi="Times New Roman"/>
          <w:sz w:val="21"/>
          <w:szCs w:val="20"/>
        </w:rPr>
      </w:pPr>
      <w:bookmarkStart w:id="63" w:name="_Toc3434"/>
      <w:r>
        <w:rPr>
          <w:rFonts w:ascii="黑体" w:eastAsia="黑体" w:hAnsi="Times New Roman" w:hint="eastAsia"/>
          <w:sz w:val="21"/>
          <w:szCs w:val="20"/>
        </w:rPr>
        <w:t>本文无专有定义术语。</w:t>
      </w:r>
      <w:r>
        <w:rPr>
          <w:rFonts w:ascii="黑体" w:eastAsia="黑体" w:hAnsi="Times New Roman" w:hint="eastAsia"/>
          <w:sz w:val="21"/>
          <w:szCs w:val="20"/>
        </w:rPr>
        <w:br w:type="page"/>
      </w:r>
    </w:p>
    <w:p w14:paraId="55424621" w14:textId="77777777" w:rsidR="00B00DB7" w:rsidRDefault="00000000">
      <w:pPr>
        <w:pStyle w:val="afff"/>
        <w:spacing w:before="240" w:after="240"/>
      </w:pPr>
      <w:bookmarkStart w:id="64" w:name="_Toc20716"/>
      <w:bookmarkEnd w:id="63"/>
      <w:r>
        <w:rPr>
          <w:rFonts w:hint="eastAsia"/>
        </w:rPr>
        <w:lastRenderedPageBreak/>
        <w:t>分类与构成</w:t>
      </w:r>
      <w:bookmarkEnd w:id="64"/>
    </w:p>
    <w:p w14:paraId="6A894224" w14:textId="77777777" w:rsidR="00B00DB7" w:rsidRDefault="00000000">
      <w:pPr>
        <w:pStyle w:val="afff0"/>
        <w:spacing w:before="120" w:after="120"/>
        <w:rPr>
          <w:lang w:val="zh-CN"/>
        </w:rPr>
      </w:pPr>
      <w:bookmarkStart w:id="65" w:name="_Toc8866"/>
      <w:r>
        <w:rPr>
          <w:rFonts w:hint="eastAsia"/>
          <w:lang w:val="zh-CN"/>
        </w:rPr>
        <w:t>分类</w:t>
      </w:r>
      <w:bookmarkEnd w:id="65"/>
    </w:p>
    <w:p w14:paraId="2EBB5D55" w14:textId="77777777" w:rsidR="00B00DB7" w:rsidRDefault="00000000">
      <w:pPr>
        <w:pStyle w:val="afffffd"/>
        <w:ind w:firstLine="480"/>
      </w:pPr>
      <w:r>
        <w:rPr>
          <w:rFonts w:hint="eastAsia"/>
        </w:rPr>
        <w:t>充电设施建设形式可以分为土建变电所、集装箱两种形式。变电所应符合现行国家标准《</w:t>
      </w:r>
      <w:r>
        <w:rPr>
          <w:rFonts w:hint="eastAsia"/>
        </w:rPr>
        <w:t>20kV</w:t>
      </w:r>
      <w:r>
        <w:rPr>
          <w:rFonts w:hint="eastAsia"/>
        </w:rPr>
        <w:t>及以下变电所设计规范》（</w:t>
      </w:r>
      <w:r>
        <w:rPr>
          <w:rFonts w:hint="eastAsia"/>
        </w:rPr>
        <w:t>GB/T 50053</w:t>
      </w:r>
      <w:r>
        <w:rPr>
          <w:rFonts w:hint="eastAsia"/>
        </w:rPr>
        <w:t>）的有关规定，集装箱式充电装置应符合现行国家标准《高压</w:t>
      </w:r>
      <w:r>
        <w:rPr>
          <w:rFonts w:hint="eastAsia"/>
        </w:rPr>
        <w:t>/</w:t>
      </w:r>
      <w:r>
        <w:rPr>
          <w:rFonts w:hint="eastAsia"/>
        </w:rPr>
        <w:t>低压预装式变电站》（</w:t>
      </w:r>
      <w:r>
        <w:rPr>
          <w:rFonts w:hint="eastAsia"/>
        </w:rPr>
        <w:t>GB/T 17467</w:t>
      </w:r>
      <w:r>
        <w:rPr>
          <w:rFonts w:hint="eastAsia"/>
        </w:rPr>
        <w:t>）的有关规定。</w:t>
      </w:r>
    </w:p>
    <w:p w14:paraId="64F86230" w14:textId="77777777" w:rsidR="00B00DB7" w:rsidRDefault="00000000">
      <w:pPr>
        <w:pStyle w:val="afffffd"/>
        <w:ind w:firstLine="480"/>
      </w:pPr>
      <w:r>
        <w:rPr>
          <w:rFonts w:hint="eastAsia"/>
        </w:rPr>
        <w:t>充电设施根据结构可分为分体式、</w:t>
      </w:r>
      <w:proofErr w:type="gramStart"/>
      <w:r>
        <w:rPr>
          <w:rFonts w:hint="eastAsia"/>
        </w:rPr>
        <w:t>一</w:t>
      </w:r>
      <w:proofErr w:type="gramEnd"/>
      <w:r>
        <w:rPr>
          <w:rFonts w:hint="eastAsia"/>
        </w:rPr>
        <w:t>体式。其中，分体式充电装置充电电源与充电接口设备在物理结构上分离，充电电源输出通过电缆沟或桥架敷设电缆，连接至分散布置在码头泊位前沿的充电终端（桩）；</w:t>
      </w:r>
      <w:proofErr w:type="gramStart"/>
      <w:r>
        <w:rPr>
          <w:rFonts w:hint="eastAsia"/>
        </w:rPr>
        <w:t>一</w:t>
      </w:r>
      <w:proofErr w:type="gramEnd"/>
      <w:r>
        <w:rPr>
          <w:rFonts w:hint="eastAsia"/>
        </w:rPr>
        <w:t>体式充电装置充电电源与充电接口设备全部集成在一个独立的箱式外壳内。</w:t>
      </w:r>
    </w:p>
    <w:p w14:paraId="27DBC340" w14:textId="77777777" w:rsidR="00B00DB7" w:rsidRDefault="00000000">
      <w:pPr>
        <w:pStyle w:val="afffffd"/>
        <w:ind w:firstLine="480"/>
      </w:pPr>
      <w:r>
        <w:rPr>
          <w:rFonts w:hint="eastAsia"/>
        </w:rPr>
        <w:t>新建充电设施宜采用直流供电方式；涉及交直流两用的场合，可采用交流或交直流兼容的供电方式，详见第</w:t>
      </w:r>
      <w:r>
        <w:rPr>
          <w:rFonts w:hint="eastAsia"/>
        </w:rPr>
        <w:t>7</w:t>
      </w:r>
      <w:r>
        <w:rPr>
          <w:rFonts w:hint="eastAsia"/>
        </w:rPr>
        <w:t>章。</w:t>
      </w:r>
    </w:p>
    <w:p w14:paraId="34DE32BC" w14:textId="77777777" w:rsidR="00B00DB7" w:rsidRDefault="00000000">
      <w:pPr>
        <w:pStyle w:val="afff0"/>
        <w:spacing w:before="120" w:after="120"/>
        <w:rPr>
          <w:lang w:val="zh-CN"/>
        </w:rPr>
      </w:pPr>
      <w:bookmarkStart w:id="66" w:name="_Toc2384"/>
      <w:r>
        <w:rPr>
          <w:rFonts w:hint="eastAsia"/>
        </w:rPr>
        <w:t>主要构成及结构图</w:t>
      </w:r>
      <w:bookmarkEnd w:id="66"/>
    </w:p>
    <w:p w14:paraId="4B4D30E3" w14:textId="77777777" w:rsidR="00B00DB7" w:rsidRDefault="00000000">
      <w:pPr>
        <w:pStyle w:val="afffffd"/>
        <w:ind w:firstLine="480"/>
        <w:rPr>
          <w:lang w:val="zh-CN"/>
        </w:rPr>
      </w:pPr>
      <w:r>
        <w:rPr>
          <w:rFonts w:hint="eastAsia"/>
          <w:lang w:val="zh-CN"/>
        </w:rPr>
        <w:t>充电设施的构成</w:t>
      </w:r>
      <w:r>
        <w:rPr>
          <w:rFonts w:hint="eastAsia"/>
        </w:rPr>
        <w:t>应</w:t>
      </w:r>
      <w:r>
        <w:rPr>
          <w:rFonts w:hint="eastAsia"/>
          <w:lang w:val="zh-CN"/>
        </w:rPr>
        <w:t>包括</w:t>
      </w:r>
      <w:r>
        <w:rPr>
          <w:rFonts w:hint="eastAsia"/>
        </w:rPr>
        <w:t>但不限于</w:t>
      </w:r>
      <w:r>
        <w:rPr>
          <w:rFonts w:hint="eastAsia"/>
          <w:lang w:val="zh-CN"/>
        </w:rPr>
        <w:t>变压器、整流装置、监控装置、</w:t>
      </w:r>
      <w:r>
        <w:rPr>
          <w:rFonts w:hint="eastAsia"/>
        </w:rPr>
        <w:t>开关柜及控制设备</w:t>
      </w:r>
      <w:r>
        <w:rPr>
          <w:rFonts w:hint="eastAsia"/>
          <w:lang w:val="zh-CN"/>
        </w:rPr>
        <w:t>、计量器具、</w:t>
      </w:r>
      <w:r>
        <w:rPr>
          <w:rFonts w:hint="eastAsia"/>
        </w:rPr>
        <w:t>连接装置（</w:t>
      </w:r>
      <w:r>
        <w:rPr>
          <w:rFonts w:hint="eastAsia"/>
          <w:lang w:val="zh-CN"/>
        </w:rPr>
        <w:t>充电桩）、电缆举升装置、电缆和保护</w:t>
      </w:r>
      <w:r>
        <w:rPr>
          <w:rFonts w:hint="eastAsia"/>
        </w:rPr>
        <w:t>接地</w:t>
      </w:r>
      <w:r>
        <w:rPr>
          <w:rFonts w:hint="eastAsia"/>
          <w:lang w:val="zh-CN"/>
        </w:rPr>
        <w:t>等。</w:t>
      </w:r>
    </w:p>
    <w:p w14:paraId="6B593F17" w14:textId="77777777" w:rsidR="00B00DB7" w:rsidRDefault="00000000">
      <w:pPr>
        <w:pStyle w:val="afffffd"/>
        <w:ind w:firstLine="480"/>
      </w:pPr>
      <w:proofErr w:type="gramStart"/>
      <w:r>
        <w:rPr>
          <w:rFonts w:hint="eastAsia"/>
        </w:rPr>
        <w:t>涉及交直两用</w:t>
      </w:r>
      <w:proofErr w:type="gramEnd"/>
      <w:r>
        <w:rPr>
          <w:rFonts w:hint="eastAsia"/>
        </w:rPr>
        <w:t>充电设施还应包括逆变装置；涉及连接装置与船舶距离较远时宜增加电缆延长装置等。涉及连接装置与船舶接口不匹配时宜增加转换装置。</w:t>
      </w:r>
    </w:p>
    <w:p w14:paraId="59D65242" w14:textId="77777777" w:rsidR="00B00DB7" w:rsidRDefault="00000000">
      <w:pPr>
        <w:pStyle w:val="afffffd"/>
        <w:ind w:firstLine="480"/>
        <w:rPr>
          <w:lang w:val="zh-CN"/>
        </w:rPr>
      </w:pPr>
      <w:r>
        <w:rPr>
          <w:rFonts w:hint="eastAsia"/>
          <w:lang w:val="zh-CN"/>
        </w:rPr>
        <w:t>充电设施</w:t>
      </w:r>
      <w:r>
        <w:rPr>
          <w:rFonts w:hint="eastAsia"/>
        </w:rPr>
        <w:t>典型的</w:t>
      </w:r>
      <w:r>
        <w:rPr>
          <w:rFonts w:hint="eastAsia"/>
          <w:lang w:val="zh-CN"/>
        </w:rPr>
        <w:t>系统结构示意图见附录</w:t>
      </w:r>
      <w:r>
        <w:rPr>
          <w:rFonts w:hint="eastAsia"/>
          <w:lang w:val="zh-CN"/>
        </w:rPr>
        <w:t>A</w:t>
      </w:r>
      <w:r>
        <w:rPr>
          <w:rFonts w:hint="eastAsia"/>
          <w:lang w:val="zh-CN"/>
        </w:rPr>
        <w:t>。</w:t>
      </w:r>
    </w:p>
    <w:p w14:paraId="0E1EA664" w14:textId="77777777" w:rsidR="00B00DB7" w:rsidRDefault="00000000">
      <w:pPr>
        <w:pStyle w:val="afff"/>
        <w:spacing w:before="240" w:after="240"/>
      </w:pPr>
      <w:bookmarkStart w:id="67" w:name="_Toc25220"/>
      <w:r>
        <w:rPr>
          <w:rFonts w:hint="eastAsia"/>
        </w:rPr>
        <w:t>一般要求</w:t>
      </w:r>
      <w:bookmarkEnd w:id="67"/>
    </w:p>
    <w:p w14:paraId="48E1F9D5" w14:textId="77777777" w:rsidR="00B00DB7" w:rsidRDefault="00000000">
      <w:pPr>
        <w:pStyle w:val="afff0"/>
        <w:spacing w:before="120" w:after="120"/>
        <w:rPr>
          <w:lang w:val="zh-CN"/>
        </w:rPr>
      </w:pPr>
      <w:bookmarkStart w:id="68" w:name="_Toc3357"/>
      <w:r>
        <w:rPr>
          <w:rFonts w:hint="eastAsia"/>
        </w:rPr>
        <w:t>环境要求</w:t>
      </w:r>
      <w:bookmarkEnd w:id="68"/>
    </w:p>
    <w:p w14:paraId="203A405D" w14:textId="77777777" w:rsidR="00B00DB7" w:rsidRDefault="00000000">
      <w:pPr>
        <w:pStyle w:val="afffffd"/>
        <w:ind w:firstLine="480"/>
      </w:pPr>
      <w:r>
        <w:t>充电设施应能在环境温度</w:t>
      </w:r>
      <w:r>
        <w:t>-25℃</w:t>
      </w:r>
      <w:r>
        <w:t>～</w:t>
      </w:r>
      <w:r>
        <w:t>+55℃</w:t>
      </w:r>
      <w:r>
        <w:t>范围内正常工作，相对湿度不超过</w:t>
      </w:r>
      <w:r>
        <w:t>95%</w:t>
      </w:r>
      <w:r>
        <w:t>（无凝露）。</w:t>
      </w:r>
    </w:p>
    <w:p w14:paraId="75C3FD68" w14:textId="77777777" w:rsidR="00B00DB7" w:rsidRDefault="00000000">
      <w:pPr>
        <w:pStyle w:val="afffffd"/>
        <w:ind w:firstLine="480"/>
      </w:pPr>
      <w:r>
        <w:t>充电设施</w:t>
      </w:r>
      <w:r>
        <w:rPr>
          <w:rFonts w:hint="eastAsia"/>
        </w:rPr>
        <w:t>的外壳防护等级应根据结构形式分类规定：</w:t>
      </w:r>
      <w:proofErr w:type="gramStart"/>
      <w:r>
        <w:rPr>
          <w:rFonts w:hint="eastAsia"/>
        </w:rPr>
        <w:t>一</w:t>
      </w:r>
      <w:proofErr w:type="gramEnd"/>
      <w:r>
        <w:rPr>
          <w:rFonts w:hint="eastAsia"/>
        </w:rPr>
        <w:t>体式充电设施整体防护等级不应低于</w:t>
      </w:r>
      <w:r>
        <w:rPr>
          <w:rFonts w:hint="eastAsia"/>
        </w:rPr>
        <w:t>IP5</w:t>
      </w:r>
      <w:r>
        <w:t>5</w:t>
      </w:r>
      <w:r>
        <w:rPr>
          <w:rFonts w:hint="eastAsia"/>
        </w:rPr>
        <w:t>；分体式充电设施的充电电源及室外布置的充电终端（桩）防护等级不应低于</w:t>
      </w:r>
      <w:r>
        <w:rPr>
          <w:rFonts w:hint="eastAsia"/>
        </w:rPr>
        <w:t>IP55</w:t>
      </w:r>
      <w:r>
        <w:rPr>
          <w:rFonts w:hint="eastAsia"/>
        </w:rPr>
        <w:t>，室</w:t>
      </w:r>
      <w:r>
        <w:t>内安装设备不应低于</w:t>
      </w:r>
      <w:r>
        <w:t>IP32</w:t>
      </w:r>
      <w:r>
        <w:rPr>
          <w:rFonts w:hint="eastAsia"/>
        </w:rPr>
        <w:t>。</w:t>
      </w:r>
    </w:p>
    <w:p w14:paraId="7ADD85E0" w14:textId="77777777" w:rsidR="00B00DB7" w:rsidRDefault="00000000">
      <w:pPr>
        <w:pStyle w:val="afffffd"/>
        <w:ind w:firstLine="480"/>
      </w:pPr>
      <w:r>
        <w:rPr>
          <w:rFonts w:hint="eastAsia"/>
        </w:rPr>
        <w:t>充电设施</w:t>
      </w:r>
      <w:r>
        <w:t>应具备防盐雾、防霉菌、防潮湿的三防处理能力，适应沿海及内河码头环境</w:t>
      </w:r>
      <w:r>
        <w:rPr>
          <w:rFonts w:hint="eastAsia"/>
        </w:rPr>
        <w:t>。</w:t>
      </w:r>
    </w:p>
    <w:p w14:paraId="1F65CF66" w14:textId="77777777" w:rsidR="00B00DB7" w:rsidRDefault="00000000">
      <w:pPr>
        <w:pStyle w:val="afff0"/>
        <w:spacing w:before="120" w:after="120"/>
      </w:pPr>
      <w:bookmarkStart w:id="69" w:name="_Toc4326"/>
      <w:r>
        <w:rPr>
          <w:rFonts w:hint="eastAsia"/>
        </w:rPr>
        <w:t>安全要求</w:t>
      </w:r>
      <w:bookmarkEnd w:id="69"/>
    </w:p>
    <w:p w14:paraId="1FD23A9F" w14:textId="77777777" w:rsidR="00B00DB7" w:rsidRDefault="00000000">
      <w:pPr>
        <w:pStyle w:val="afffffd"/>
        <w:ind w:firstLine="480"/>
      </w:pPr>
      <w:r>
        <w:rPr>
          <w:rFonts w:hint="eastAsia"/>
        </w:rPr>
        <w:t>充电设施建设过程中，应设置安全生产责任制，制定涵盖设备操作、维护保养、巡视检查、隐患排查及应急处置的全过程安全管理制度与规程。</w:t>
      </w:r>
    </w:p>
    <w:p w14:paraId="5F1FB2F0" w14:textId="77777777" w:rsidR="00B00DB7" w:rsidRDefault="00000000">
      <w:pPr>
        <w:pStyle w:val="afffffd"/>
        <w:ind w:firstLine="480"/>
      </w:pPr>
      <w:r>
        <w:rPr>
          <w:rFonts w:hint="eastAsia"/>
        </w:rPr>
        <w:t>设施在运行过程中产生的各类污染物排放必须符合国家及地方环境保护标准。重点控制废弃电池、废电解液、含油废水等危险废物的收集、贮存与合</w:t>
      </w:r>
      <w:proofErr w:type="gramStart"/>
      <w:r>
        <w:rPr>
          <w:rFonts w:hint="eastAsia"/>
        </w:rPr>
        <w:t>规</w:t>
      </w:r>
      <w:proofErr w:type="gramEnd"/>
      <w:r>
        <w:rPr>
          <w:rFonts w:hint="eastAsia"/>
        </w:rPr>
        <w:t>处置，防止泄漏污染土壤与水环境。</w:t>
      </w:r>
    </w:p>
    <w:p w14:paraId="5E207E79" w14:textId="77777777" w:rsidR="00B00DB7" w:rsidRDefault="00000000">
      <w:pPr>
        <w:pStyle w:val="afffffd"/>
        <w:ind w:firstLine="480"/>
      </w:pPr>
      <w:r>
        <w:rPr>
          <w:rFonts w:hint="eastAsia"/>
        </w:rPr>
        <w:lastRenderedPageBreak/>
        <w:t>充电设施的监控系统和通信系统应符合《船舶网络安全指南</w:t>
      </w:r>
      <w:r>
        <w:rPr>
          <w:rFonts w:hint="eastAsia"/>
        </w:rPr>
        <w:t>2025</w:t>
      </w:r>
      <w:r>
        <w:rPr>
          <w:rFonts w:hint="eastAsia"/>
        </w:rPr>
        <w:t>》的相关要求，采取必要的网络安全防护措施，防止非法入侵和数据篡改。</w:t>
      </w:r>
    </w:p>
    <w:p w14:paraId="1FA0C745" w14:textId="77777777" w:rsidR="00B00DB7" w:rsidRDefault="00000000">
      <w:pPr>
        <w:pStyle w:val="afffffd"/>
        <w:ind w:firstLine="480"/>
      </w:pPr>
      <w:r>
        <w:rPr>
          <w:rFonts w:hint="eastAsia"/>
        </w:rPr>
        <w:t>充电设施应制</w:t>
      </w:r>
      <w:proofErr w:type="gramStart"/>
      <w:r>
        <w:rPr>
          <w:rFonts w:hint="eastAsia"/>
        </w:rPr>
        <w:t>定完善</w:t>
      </w:r>
      <w:proofErr w:type="gramEnd"/>
      <w:r>
        <w:rPr>
          <w:rFonts w:hint="eastAsia"/>
        </w:rPr>
        <w:t>的应急处置预案，包括但不限于电气火灾、设备故障、人员触电、电池热失控等紧急情况的处置流程。</w:t>
      </w:r>
    </w:p>
    <w:p w14:paraId="76095756" w14:textId="77777777" w:rsidR="00B00DB7" w:rsidRDefault="00000000">
      <w:pPr>
        <w:pStyle w:val="afff0"/>
        <w:spacing w:before="120" w:after="120"/>
      </w:pPr>
      <w:bookmarkStart w:id="70" w:name="_Toc18494"/>
      <w:r>
        <w:rPr>
          <w:rFonts w:hint="eastAsia"/>
        </w:rPr>
        <w:t>标志</w:t>
      </w:r>
      <w:bookmarkEnd w:id="70"/>
    </w:p>
    <w:p w14:paraId="5F688410" w14:textId="77777777" w:rsidR="00B00DB7" w:rsidRDefault="00000000">
      <w:pPr>
        <w:pStyle w:val="afffffd"/>
        <w:ind w:firstLine="480"/>
      </w:pPr>
      <w:r>
        <w:rPr>
          <w:rFonts w:hint="eastAsia"/>
        </w:rPr>
        <w:t>充电设施应在显著位置设置安全警示标识，明确操作规范和安全注意事项。</w:t>
      </w:r>
    </w:p>
    <w:p w14:paraId="479F4389" w14:textId="77777777" w:rsidR="00B00DB7" w:rsidRDefault="00000000">
      <w:pPr>
        <w:pStyle w:val="afffffd"/>
        <w:ind w:firstLine="480"/>
      </w:pPr>
      <w:r>
        <w:rPr>
          <w:rFonts w:hint="eastAsia"/>
        </w:rPr>
        <w:t>标识应符合</w:t>
      </w:r>
      <w:r>
        <w:rPr>
          <w:rFonts w:hint="eastAsia"/>
        </w:rPr>
        <w:t>GB 2894</w:t>
      </w:r>
      <w:r>
        <w:rPr>
          <w:rFonts w:hint="eastAsia"/>
        </w:rPr>
        <w:t>《安全标志及其使用导则》和</w:t>
      </w:r>
      <w:r>
        <w:rPr>
          <w:rFonts w:hint="eastAsia"/>
        </w:rPr>
        <w:t>GB/T 13306</w:t>
      </w:r>
      <w:r>
        <w:rPr>
          <w:rFonts w:hint="eastAsia"/>
        </w:rPr>
        <w:t>《标牌》的规定。</w:t>
      </w:r>
    </w:p>
    <w:p w14:paraId="43EEC3EC" w14:textId="77777777" w:rsidR="00B00DB7" w:rsidRDefault="00000000">
      <w:pPr>
        <w:pStyle w:val="afffffd"/>
        <w:ind w:firstLine="480"/>
      </w:pPr>
      <w:r>
        <w:rPr>
          <w:rFonts w:hint="eastAsia"/>
        </w:rPr>
        <w:t>操作规程标牌应张贴于操作人员可视范围内，内容应包含：正常操作流程、紧急停机步骤、常见故障处理方法、维护保养周期与要点、应急联系电话等。</w:t>
      </w:r>
    </w:p>
    <w:p w14:paraId="39DF16D1" w14:textId="77777777" w:rsidR="00B00DB7" w:rsidRDefault="00000000">
      <w:pPr>
        <w:pStyle w:val="afffffd"/>
        <w:ind w:firstLine="480"/>
      </w:pPr>
      <w:r>
        <w:rPr>
          <w:rFonts w:hint="eastAsia"/>
        </w:rPr>
        <w:t>设备铭牌应清晰标注以下信息：产品名称和型号、制造商名称、额定电压、额定电流、额定功率、防护等级、出厂编号及日期、执行标准编号等。</w:t>
      </w:r>
    </w:p>
    <w:p w14:paraId="3E7B20D9" w14:textId="77777777" w:rsidR="00B00DB7" w:rsidRDefault="00000000">
      <w:pPr>
        <w:pStyle w:val="afffffd"/>
        <w:ind w:firstLine="480"/>
      </w:pPr>
      <w:r>
        <w:rPr>
          <w:rFonts w:hint="eastAsia"/>
        </w:rPr>
        <w:t>安全警示标识应包括但不限于：高压危险警示、禁止触摸警告、紧急停止标识、接地保护标识等。</w:t>
      </w:r>
    </w:p>
    <w:p w14:paraId="14A80545" w14:textId="77777777" w:rsidR="00B00DB7" w:rsidRDefault="00000000">
      <w:pPr>
        <w:pStyle w:val="afff"/>
        <w:spacing w:before="240" w:after="240"/>
      </w:pPr>
      <w:bookmarkStart w:id="71" w:name="_Toc12752"/>
      <w:r>
        <w:rPr>
          <w:rFonts w:hint="eastAsia"/>
        </w:rPr>
        <w:t>技术要求</w:t>
      </w:r>
      <w:bookmarkEnd w:id="71"/>
    </w:p>
    <w:p w14:paraId="0CDED2C7" w14:textId="77777777" w:rsidR="00B00DB7" w:rsidRDefault="00000000">
      <w:pPr>
        <w:pStyle w:val="afff0"/>
        <w:spacing w:before="120" w:after="120"/>
      </w:pPr>
      <w:bookmarkStart w:id="72" w:name="_Toc32573"/>
      <w:r>
        <w:rPr>
          <w:rFonts w:hint="eastAsia"/>
        </w:rPr>
        <w:t>变压器</w:t>
      </w:r>
      <w:bookmarkEnd w:id="72"/>
    </w:p>
    <w:p w14:paraId="5B48E44C" w14:textId="77777777" w:rsidR="00B00DB7" w:rsidRDefault="00000000">
      <w:pPr>
        <w:pStyle w:val="afffffd"/>
        <w:ind w:firstLine="480"/>
      </w:pPr>
      <w:r>
        <w:t>变压器应符合现行国家标准《电力变压器</w:t>
      </w:r>
      <w:r>
        <w:t xml:space="preserve"> </w:t>
      </w:r>
      <w:r>
        <w:t>第</w:t>
      </w:r>
      <w:r>
        <w:t>11</w:t>
      </w:r>
      <w:r>
        <w:t>部分：干式变压器》（</w:t>
      </w:r>
      <w:r>
        <w:t>GB/T 1094.11</w:t>
      </w:r>
      <w:r>
        <w:t>）《干式电力变压器技术参数和要求》（</w:t>
      </w:r>
      <w:r>
        <w:t>GB/T 10228</w:t>
      </w:r>
      <w:r>
        <w:t>）的有关规定，并应配置变压器绕组温度监测元件。</w:t>
      </w:r>
    </w:p>
    <w:p w14:paraId="166B26CE" w14:textId="77777777" w:rsidR="00B00DB7" w:rsidRDefault="00000000">
      <w:pPr>
        <w:pStyle w:val="afffffd"/>
        <w:ind w:firstLine="480"/>
      </w:pPr>
      <w:r>
        <w:t>变压器能效等级不宜低于</w:t>
      </w:r>
      <w:r>
        <w:t>2</w:t>
      </w:r>
      <w:r>
        <w:t>级。</w:t>
      </w:r>
    </w:p>
    <w:p w14:paraId="27BC7598" w14:textId="77777777" w:rsidR="00B00DB7" w:rsidRDefault="00000000">
      <w:pPr>
        <w:pStyle w:val="afffffd"/>
        <w:ind w:firstLine="480"/>
      </w:pPr>
      <w:r>
        <w:t>单台变压器长期工作负载率不宜大于</w:t>
      </w:r>
      <w:r>
        <w:t>85%</w:t>
      </w:r>
      <w:r>
        <w:t>。在选择变压器损耗等级时，应综合考虑初始投资和运行费用，优先选用节能型变压器。在多尘或有腐蚀性气体的场所，宜选用防尘型或防腐型变压器。</w:t>
      </w:r>
    </w:p>
    <w:p w14:paraId="03F80A03" w14:textId="77777777" w:rsidR="00B00DB7" w:rsidRDefault="00000000">
      <w:pPr>
        <w:pStyle w:val="afff0"/>
        <w:spacing w:before="120" w:after="120"/>
      </w:pPr>
      <w:bookmarkStart w:id="73" w:name="_Toc3516"/>
      <w:r>
        <w:rPr>
          <w:rFonts w:hint="eastAsia"/>
        </w:rPr>
        <w:t>整流装置</w:t>
      </w:r>
      <w:bookmarkEnd w:id="73"/>
    </w:p>
    <w:p w14:paraId="5DA4B4A2" w14:textId="77777777" w:rsidR="00B00DB7" w:rsidRDefault="00000000">
      <w:pPr>
        <w:pStyle w:val="afffffd"/>
        <w:ind w:firstLine="480"/>
      </w:pPr>
      <w:r>
        <w:rPr>
          <w:rFonts w:hint="eastAsia"/>
        </w:rPr>
        <w:t>整流装置直流输出额定电压不应超过</w:t>
      </w:r>
      <w:r>
        <w:rPr>
          <w:rFonts w:hint="eastAsia"/>
        </w:rPr>
        <w:t>DC 1</w:t>
      </w:r>
      <w:r>
        <w:t>5</w:t>
      </w:r>
      <w:r>
        <w:rPr>
          <w:rFonts w:hint="eastAsia"/>
        </w:rPr>
        <w:t>00V</w:t>
      </w:r>
      <w:r>
        <w:rPr>
          <w:rFonts w:hint="eastAsia"/>
        </w:rPr>
        <w:t>，额定电压等级宜优先选用</w:t>
      </w:r>
      <w:r>
        <w:rPr>
          <w:rFonts w:hint="eastAsia"/>
        </w:rPr>
        <w:t>DC 750V</w:t>
      </w:r>
      <w:r>
        <w:rPr>
          <w:rFonts w:hint="eastAsia"/>
        </w:rPr>
        <w:t>或</w:t>
      </w:r>
      <w:r>
        <w:rPr>
          <w:rFonts w:hint="eastAsia"/>
        </w:rPr>
        <w:t>DC 1000V</w:t>
      </w:r>
      <w:r>
        <w:rPr>
          <w:rFonts w:hint="eastAsia"/>
        </w:rPr>
        <w:t>；</w:t>
      </w:r>
    </w:p>
    <w:p w14:paraId="12B296C0" w14:textId="77777777" w:rsidR="00B00DB7" w:rsidRDefault="00000000">
      <w:pPr>
        <w:pStyle w:val="afffffd"/>
        <w:ind w:firstLine="480"/>
      </w:pPr>
      <w:r>
        <w:rPr>
          <w:rFonts w:hint="eastAsia"/>
        </w:rPr>
        <w:t>整流装置每路直流输出电流不应超过额定电流，当额定电压为</w:t>
      </w:r>
      <w:r>
        <w:rPr>
          <w:rFonts w:hint="eastAsia"/>
        </w:rPr>
        <w:t>DC 1000V</w:t>
      </w:r>
      <w:r>
        <w:rPr>
          <w:rFonts w:hint="eastAsia"/>
        </w:rPr>
        <w:t>时，每路输出电流不应超过</w:t>
      </w:r>
      <w:r>
        <w:rPr>
          <w:rFonts w:hint="eastAsia"/>
        </w:rPr>
        <w:t>DC 250A</w:t>
      </w:r>
      <w:r>
        <w:rPr>
          <w:rFonts w:hint="eastAsia"/>
        </w:rPr>
        <w:t>；具体额定参数应与服务船舶的电池系统匹配，输出路数应根据所服务电动船舶的插座数量确定。</w:t>
      </w:r>
    </w:p>
    <w:p w14:paraId="684E0CCE" w14:textId="77777777" w:rsidR="00B00DB7" w:rsidRDefault="00000000">
      <w:pPr>
        <w:pStyle w:val="afffffd"/>
        <w:ind w:firstLine="480"/>
      </w:pPr>
      <w:r>
        <w:rPr>
          <w:rFonts w:hint="eastAsia"/>
        </w:rPr>
        <w:t>整流装置应具备与船舶能源管理系统（</w:t>
      </w:r>
      <w:r>
        <w:rPr>
          <w:rFonts w:hint="eastAsia"/>
        </w:rPr>
        <w:t>PMS</w:t>
      </w:r>
      <w:r>
        <w:rPr>
          <w:rFonts w:hint="eastAsia"/>
        </w:rPr>
        <w:t>）协同工作的能力，支持恒流充电、恒压充电或其组合的自动化充电过程。</w:t>
      </w:r>
    </w:p>
    <w:p w14:paraId="154E1880" w14:textId="77777777" w:rsidR="00B00DB7" w:rsidRDefault="00000000">
      <w:pPr>
        <w:pStyle w:val="afffffd"/>
        <w:ind w:firstLine="480"/>
      </w:pPr>
      <w:r>
        <w:rPr>
          <w:rFonts w:hint="eastAsia"/>
        </w:rPr>
        <w:t>具备多路输出的整流装置应具备智能化功率动态分配功能，充电装置能根据预设策略在多路输出间平均分配充电功率。</w:t>
      </w:r>
    </w:p>
    <w:p w14:paraId="700E9BEC" w14:textId="77777777" w:rsidR="00B00DB7" w:rsidRDefault="00000000">
      <w:pPr>
        <w:pStyle w:val="afffffd"/>
        <w:ind w:firstLine="480"/>
      </w:pPr>
      <w:r>
        <w:rPr>
          <w:rFonts w:hint="eastAsia"/>
        </w:rPr>
        <w:lastRenderedPageBreak/>
        <w:t>整流装置应具备保护功能，包括但不限于过流保护、过压保护、欠压保护、过热保护等。同时应具备参数查看、数据上传、故障波形记录、强制散热等功能；</w:t>
      </w:r>
    </w:p>
    <w:p w14:paraId="7B809A20" w14:textId="77777777" w:rsidR="00B00DB7" w:rsidRDefault="00000000">
      <w:pPr>
        <w:pStyle w:val="afffffd"/>
        <w:ind w:firstLine="480"/>
      </w:pPr>
      <w:r>
        <w:rPr>
          <w:rFonts w:hint="eastAsia"/>
        </w:rPr>
        <w:t>整流装置的输入回路、输出回路以及低压控制辅助供电回路三者之间应具备电气隔离，低压控制辅助供电回路和保护接地导体</w:t>
      </w:r>
      <w:r>
        <w:rPr>
          <w:rFonts w:hint="eastAsia"/>
        </w:rPr>
        <w:t>PE</w:t>
      </w:r>
      <w:r>
        <w:rPr>
          <w:rFonts w:hint="eastAsia"/>
        </w:rPr>
        <w:t>之间应具备电气隔离；直流输出回路（正、负极）与保护接地导体</w:t>
      </w:r>
      <w:r>
        <w:rPr>
          <w:rFonts w:hint="eastAsia"/>
        </w:rPr>
        <w:t>PE</w:t>
      </w:r>
      <w:r>
        <w:rPr>
          <w:rFonts w:hint="eastAsia"/>
        </w:rPr>
        <w:t>之间亦应具备电气隔离，并应通过双重绝缘或加强绝缘的结构设计予以实现，以满足</w:t>
      </w:r>
      <w:r>
        <w:rPr>
          <w:rFonts w:hint="eastAsia"/>
        </w:rPr>
        <w:t>II</w:t>
      </w:r>
      <w:r>
        <w:rPr>
          <w:rFonts w:hint="eastAsia"/>
        </w:rPr>
        <w:t>类电击防护的要求；非电气连接的各带电回路之间、各独立带电回路与地之间绝缘电阻值不应小于</w:t>
      </w:r>
      <w:r>
        <w:rPr>
          <w:rFonts w:hint="eastAsia"/>
        </w:rPr>
        <w:t>10 M</w:t>
      </w:r>
      <w:r>
        <w:rPr>
          <w:rFonts w:hint="eastAsia"/>
        </w:rPr>
        <w:t>Ω。</w:t>
      </w:r>
    </w:p>
    <w:p w14:paraId="0FA5C553" w14:textId="77777777" w:rsidR="00B00DB7" w:rsidRDefault="00000000">
      <w:pPr>
        <w:pStyle w:val="afffffd"/>
        <w:ind w:firstLine="480"/>
      </w:pPr>
      <w:r>
        <w:rPr>
          <w:rFonts w:hint="eastAsia"/>
        </w:rPr>
        <w:t>在常温下，整流装置直流输出回路对地、输出端子之间的绝缘电阻，在采用</w:t>
      </w:r>
      <w:r>
        <w:rPr>
          <w:rFonts w:hint="eastAsia"/>
        </w:rPr>
        <w:t>500V DC</w:t>
      </w:r>
      <w:r>
        <w:rPr>
          <w:rFonts w:hint="eastAsia"/>
        </w:rPr>
        <w:t>测试电压时，其最小值应不小于</w:t>
      </w:r>
      <w:r>
        <w:rPr>
          <w:rFonts w:hint="eastAsia"/>
        </w:rPr>
        <w:t>10 M</w:t>
      </w:r>
      <w:r>
        <w:rPr>
          <w:rFonts w:hint="eastAsia"/>
        </w:rPr>
        <w:t>Ω。</w:t>
      </w:r>
    </w:p>
    <w:p w14:paraId="658FB2D4" w14:textId="77777777" w:rsidR="00B00DB7" w:rsidRDefault="00000000">
      <w:pPr>
        <w:pStyle w:val="afffffd"/>
        <w:ind w:firstLine="480"/>
      </w:pPr>
      <w:r>
        <w:rPr>
          <w:rFonts w:hint="eastAsia"/>
        </w:rPr>
        <w:t>整流装置必须具备直接接触与间接接触的双重电击防护，电击防护应采用</w:t>
      </w:r>
      <w:r>
        <w:rPr>
          <w:rFonts w:hint="eastAsia"/>
        </w:rPr>
        <w:t>II</w:t>
      </w:r>
      <w:r>
        <w:rPr>
          <w:rFonts w:hint="eastAsia"/>
        </w:rPr>
        <w:t>类设备设计。</w:t>
      </w:r>
    </w:p>
    <w:p w14:paraId="54CC5943" w14:textId="77777777" w:rsidR="00B00DB7" w:rsidRDefault="00000000">
      <w:pPr>
        <w:pStyle w:val="afffffd"/>
        <w:ind w:firstLine="480"/>
      </w:pPr>
      <w:r>
        <w:rPr>
          <w:rFonts w:hint="eastAsia"/>
        </w:rPr>
        <w:t>整流装置产生的电磁干扰不应超过限值，且应具备一定的抗扰度能力。</w:t>
      </w:r>
    </w:p>
    <w:p w14:paraId="3E894EE9" w14:textId="77777777" w:rsidR="00B00DB7" w:rsidRDefault="00000000">
      <w:pPr>
        <w:pStyle w:val="afffffd"/>
        <w:ind w:firstLine="480"/>
      </w:pPr>
      <w:r>
        <w:rPr>
          <w:rFonts w:hint="eastAsia"/>
        </w:rPr>
        <w:t>整流装置外壳防护应符合现行国家标准《外壳防护等级》</w:t>
      </w:r>
      <w:r>
        <w:rPr>
          <w:rFonts w:hint="eastAsia"/>
        </w:rPr>
        <w:t>(GB/T4208)</w:t>
      </w:r>
      <w:r>
        <w:rPr>
          <w:rFonts w:hint="eastAsia"/>
        </w:rPr>
        <w:t>的有关规定；</w:t>
      </w:r>
    </w:p>
    <w:p w14:paraId="34A505E1" w14:textId="77777777" w:rsidR="00B00DB7" w:rsidRDefault="00000000">
      <w:pPr>
        <w:pStyle w:val="afffffd"/>
        <w:ind w:firstLine="480"/>
      </w:pPr>
      <w:r>
        <w:rPr>
          <w:rFonts w:hint="eastAsia"/>
        </w:rPr>
        <w:t>整流装置的直流充电单元应具备良好的尺寸和功能可互换性；</w:t>
      </w:r>
    </w:p>
    <w:p w14:paraId="39DF5C49" w14:textId="77777777" w:rsidR="00B00DB7" w:rsidRDefault="00000000">
      <w:pPr>
        <w:pStyle w:val="afffffd"/>
        <w:ind w:firstLine="480"/>
      </w:pPr>
      <w:r>
        <w:rPr>
          <w:rFonts w:hint="eastAsia"/>
        </w:rPr>
        <w:t>整流装置应具备短路、过载、过压、欠压和超温保护功能，并应具备故障锁定、声光报警、故障显示和故障查询功能。同时应具备便捷的故障查询功能，自带黑匣子功能。</w:t>
      </w:r>
    </w:p>
    <w:p w14:paraId="48E4244D" w14:textId="77777777" w:rsidR="00B00DB7" w:rsidRDefault="00000000">
      <w:pPr>
        <w:pStyle w:val="afffffd"/>
        <w:ind w:firstLine="480"/>
      </w:pPr>
      <w:r>
        <w:rPr>
          <w:rFonts w:hint="eastAsia"/>
        </w:rPr>
        <w:t>整流装置承受</w:t>
      </w:r>
      <w:r>
        <w:rPr>
          <w:rFonts w:hint="eastAsia"/>
        </w:rPr>
        <w:t>110%</w:t>
      </w:r>
      <w:r>
        <w:rPr>
          <w:rFonts w:hint="eastAsia"/>
        </w:rPr>
        <w:t>充电负荷的持续时间不应小于</w:t>
      </w:r>
      <w:r>
        <w:rPr>
          <w:rFonts w:hint="eastAsia"/>
        </w:rPr>
        <w:t>60s</w:t>
      </w:r>
      <w:r>
        <w:rPr>
          <w:rFonts w:hint="eastAsia"/>
        </w:rPr>
        <w:t>。</w:t>
      </w:r>
    </w:p>
    <w:p w14:paraId="73517842" w14:textId="77777777" w:rsidR="00B00DB7" w:rsidRDefault="00000000">
      <w:pPr>
        <w:pStyle w:val="afffffd"/>
        <w:ind w:firstLine="480"/>
      </w:pPr>
      <w:r>
        <w:rPr>
          <w:rFonts w:hint="eastAsia"/>
        </w:rPr>
        <w:t>整流装置内部通讯应采用光纤通讯，确保故障保护和充电功率分配过程中高效稳定。</w:t>
      </w:r>
    </w:p>
    <w:p w14:paraId="177F7776" w14:textId="77777777" w:rsidR="00B00DB7" w:rsidRDefault="00000000">
      <w:pPr>
        <w:pStyle w:val="afff0"/>
        <w:spacing w:before="120" w:after="120"/>
      </w:pPr>
      <w:bookmarkStart w:id="74" w:name="_Toc32351"/>
      <w:r>
        <w:rPr>
          <w:rFonts w:hint="eastAsia"/>
        </w:rPr>
        <w:t>监控装置</w:t>
      </w:r>
      <w:bookmarkEnd w:id="74"/>
    </w:p>
    <w:p w14:paraId="1016AA89" w14:textId="77777777" w:rsidR="00B00DB7" w:rsidRDefault="00000000">
      <w:pPr>
        <w:pStyle w:val="afffffd"/>
        <w:ind w:firstLine="480"/>
      </w:pPr>
      <w:r>
        <w:t>监控</w:t>
      </w:r>
      <w:r>
        <w:rPr>
          <w:rFonts w:hint="eastAsia"/>
        </w:rPr>
        <w:t>装置</w:t>
      </w:r>
      <w:r>
        <w:t>应至少包含工控机、</w:t>
      </w:r>
      <w:r>
        <w:t>PLC</w:t>
      </w:r>
      <w:r>
        <w:t>、人机界面、</w:t>
      </w:r>
      <w:r>
        <w:t>UPS</w:t>
      </w:r>
      <w:r>
        <w:t>（</w:t>
      </w:r>
      <w:r>
        <w:t>≥30min</w:t>
      </w:r>
      <w:r>
        <w:t>）等设备。</w:t>
      </w:r>
    </w:p>
    <w:p w14:paraId="5098F3E1" w14:textId="77777777" w:rsidR="00B00DB7" w:rsidRDefault="00000000">
      <w:pPr>
        <w:pStyle w:val="afffffd"/>
        <w:ind w:firstLine="480"/>
      </w:pPr>
      <w:r>
        <w:t>监控</w:t>
      </w:r>
      <w:r>
        <w:rPr>
          <w:rFonts w:hint="eastAsia"/>
        </w:rPr>
        <w:t>装置</w:t>
      </w:r>
      <w:r>
        <w:t>应采用独立集成化柜体设计，柜体提供一个单独的应急停止按钮，当直流充电设施出现紧急情况时可以切断充电装置，急停按钮为硬线连接。</w:t>
      </w:r>
    </w:p>
    <w:p w14:paraId="16D0DBBA" w14:textId="77777777" w:rsidR="00B00DB7" w:rsidRDefault="00000000">
      <w:pPr>
        <w:pStyle w:val="afffffd"/>
        <w:ind w:firstLine="480"/>
      </w:pPr>
      <w:r>
        <w:t>监控</w:t>
      </w:r>
      <w:r>
        <w:rPr>
          <w:rFonts w:hint="eastAsia"/>
        </w:rPr>
        <w:t>装置</w:t>
      </w:r>
      <w:r>
        <w:t>与电动船舶之间的通信宜采用以太网通信模式，必要时可采用</w:t>
      </w:r>
      <w:r>
        <w:t>CAN</w:t>
      </w:r>
      <w:r>
        <w:t>总线和外接专用通信接口形式进行通信。</w:t>
      </w:r>
    </w:p>
    <w:p w14:paraId="658A3201" w14:textId="77777777" w:rsidR="00B00DB7" w:rsidRDefault="00000000">
      <w:pPr>
        <w:pStyle w:val="afffffd"/>
        <w:ind w:firstLine="480"/>
      </w:pPr>
      <w:r>
        <w:t>监控</w:t>
      </w:r>
      <w:r>
        <w:rPr>
          <w:rFonts w:hint="eastAsia"/>
        </w:rPr>
        <w:t>装置应能监测电动船舶充电状态，可将状态信息及充电参数等上传到船舶管理系统、充电装置监控系统等，并可接受来自船舶或岸基的指令。</w:t>
      </w:r>
    </w:p>
    <w:p w14:paraId="01AD3C7D" w14:textId="77777777" w:rsidR="00B00DB7" w:rsidRDefault="00000000">
      <w:pPr>
        <w:pStyle w:val="afffffd"/>
        <w:ind w:firstLine="480"/>
      </w:pPr>
      <w:r>
        <w:t>监控</w:t>
      </w:r>
      <w:r>
        <w:rPr>
          <w:rFonts w:hint="eastAsia"/>
        </w:rPr>
        <w:t>装置</w:t>
      </w:r>
      <w:r>
        <w:t>应具备但不限于船岸通信、供电监控、充电监控、报警保护、事件记录和故障统计等功能。</w:t>
      </w:r>
    </w:p>
    <w:p w14:paraId="6DF63F01" w14:textId="77777777" w:rsidR="00B00DB7" w:rsidRDefault="00000000">
      <w:pPr>
        <w:pStyle w:val="afffffd"/>
        <w:ind w:firstLine="480"/>
      </w:pPr>
      <w:r>
        <w:t>船岸通信</w:t>
      </w:r>
      <w:proofErr w:type="gramStart"/>
      <w:r>
        <w:t>交互应</w:t>
      </w:r>
      <w:proofErr w:type="gramEnd"/>
      <w:r>
        <w:t>遵循《船舶应用电池动力规范》</w:t>
      </w:r>
      <w:r>
        <w:t>2025</w:t>
      </w:r>
      <w:r>
        <w:t>规定的通讯协议，通讯协议详见附录</w:t>
      </w:r>
      <w:r>
        <w:t>E</w:t>
      </w:r>
      <w:r>
        <w:t>。</w:t>
      </w:r>
    </w:p>
    <w:p w14:paraId="1ADC0107" w14:textId="77777777" w:rsidR="00B00DB7" w:rsidRDefault="00000000">
      <w:pPr>
        <w:pStyle w:val="afffffd"/>
        <w:ind w:firstLine="480"/>
      </w:pPr>
      <w:r>
        <w:t>监控</w:t>
      </w:r>
      <w:r>
        <w:rPr>
          <w:rFonts w:hint="eastAsia"/>
        </w:rPr>
        <w:t>装置</w:t>
      </w:r>
      <w:r>
        <w:t>应实时检测充电设施的输入供电状态。监测参数应至少包括输入侧的三相电压、三相电流、频率、有功功率、无功功率、功率因数及总有功电能。</w:t>
      </w:r>
    </w:p>
    <w:p w14:paraId="05203719" w14:textId="77777777" w:rsidR="00B00DB7" w:rsidRDefault="00000000">
      <w:pPr>
        <w:pStyle w:val="afffffd"/>
        <w:ind w:firstLine="480"/>
      </w:pPr>
      <w:r>
        <w:t>监控</w:t>
      </w:r>
      <w:r>
        <w:rPr>
          <w:rFonts w:hint="eastAsia"/>
        </w:rPr>
        <w:t>装置</w:t>
      </w:r>
      <w:r>
        <w:t>应对</w:t>
      </w:r>
      <w:r>
        <w:rPr>
          <w:rFonts w:hint="eastAsia"/>
        </w:rPr>
        <w:t>整流</w:t>
      </w:r>
      <w:r>
        <w:t>装置的运行过程进行监控。监测参数应至少包括直流输出电压、直</w:t>
      </w:r>
      <w:r>
        <w:lastRenderedPageBreak/>
        <w:t>流输出电流、输出电量、充电状态（待机、充电中、完成、故障）及累计充电时间。系统应能接收并显示来自船舶能源管理系统（</w:t>
      </w:r>
      <w:r>
        <w:t>PMS</w:t>
      </w:r>
      <w:r>
        <w:t>）的关键信息，如电池荷电状态（</w:t>
      </w:r>
      <w:r>
        <w:t>SOC</w:t>
      </w:r>
      <w:r>
        <w:t>）。</w:t>
      </w:r>
    </w:p>
    <w:p w14:paraId="3FEE6D7C" w14:textId="77777777" w:rsidR="00B00DB7" w:rsidRDefault="00000000">
      <w:pPr>
        <w:pStyle w:val="afffffd"/>
        <w:ind w:firstLine="480"/>
      </w:pPr>
      <w:r>
        <w:t>监控</w:t>
      </w:r>
      <w:r>
        <w:rPr>
          <w:rFonts w:hint="eastAsia"/>
        </w:rPr>
        <w:t>装置</w:t>
      </w:r>
      <w:r>
        <w:t>应监测充电设备本体的关键状态。监测内容应至少包括充电模块的工作状态（运行</w:t>
      </w:r>
      <w:r>
        <w:t>/</w:t>
      </w:r>
      <w:r>
        <w:t>故障</w:t>
      </w:r>
      <w:r>
        <w:t>/</w:t>
      </w:r>
      <w:r>
        <w:t>温度）、主回路开关器件（如断路器、接触器）的分合闸位置、紧急停机开关状态以及柜内关键节点的温度。</w:t>
      </w:r>
    </w:p>
    <w:p w14:paraId="38EAF8C0" w14:textId="77777777" w:rsidR="00B00DB7" w:rsidRDefault="00B00DB7">
      <w:pPr>
        <w:pStyle w:val="afffffd"/>
        <w:ind w:firstLine="480"/>
      </w:pPr>
    </w:p>
    <w:p w14:paraId="2955BB43" w14:textId="77777777" w:rsidR="00B00DB7" w:rsidRDefault="00000000">
      <w:pPr>
        <w:pStyle w:val="afffffd"/>
        <w:ind w:firstLine="480"/>
      </w:pPr>
      <w:r>
        <w:t>监控</w:t>
      </w:r>
      <w:r>
        <w:rPr>
          <w:rFonts w:hint="eastAsia"/>
        </w:rPr>
        <w:t>装置应能</w:t>
      </w:r>
      <w:r>
        <w:t>用于岸电连接和断开操作中连锁保护和时序的控制，并能对断路器、充电装置、输入变压器、直流充电接口等设备的监视、控制、计量和故障报警功能。</w:t>
      </w:r>
    </w:p>
    <w:p w14:paraId="58FDC730" w14:textId="77777777" w:rsidR="00B00DB7" w:rsidRDefault="00000000">
      <w:pPr>
        <w:pStyle w:val="afffffd"/>
        <w:ind w:firstLine="480"/>
      </w:pPr>
      <w:r>
        <w:t>监控</w:t>
      </w:r>
      <w:r>
        <w:rPr>
          <w:rFonts w:hint="eastAsia"/>
        </w:rPr>
        <w:t>装置</w:t>
      </w:r>
      <w:r>
        <w:t>应具备方便调试、运维的能力，监控管理系统平台软件应支持组态界面、</w:t>
      </w:r>
      <w:r>
        <w:t>PLC</w:t>
      </w:r>
      <w:r>
        <w:t>编程系统协同编程能力。</w:t>
      </w:r>
    </w:p>
    <w:p w14:paraId="1ACF7214" w14:textId="77777777" w:rsidR="00B00DB7" w:rsidRDefault="00000000">
      <w:pPr>
        <w:pStyle w:val="afffffd"/>
        <w:ind w:firstLine="480"/>
      </w:pPr>
      <w:r>
        <w:t>充电设施应配置视频监控系统，摄像头应覆盖设备操作面、充电连接器插拔区域及主要出入口，确保视野无盲区。设施内部（箱体或舱室）应安装环境传感器，对温度、湿度、烟雾和水</w:t>
      </w:r>
      <w:proofErr w:type="gramStart"/>
      <w:r>
        <w:t>浸进行</w:t>
      </w:r>
      <w:proofErr w:type="gramEnd"/>
      <w:r>
        <w:t>实时监测。</w:t>
      </w:r>
    </w:p>
    <w:p w14:paraId="2358237D" w14:textId="77777777" w:rsidR="00B00DB7" w:rsidRDefault="00000000">
      <w:pPr>
        <w:pStyle w:val="afffffd"/>
        <w:ind w:firstLine="480"/>
      </w:pPr>
      <w:r>
        <w:t>监控</w:t>
      </w:r>
      <w:r>
        <w:rPr>
          <w:rFonts w:hint="eastAsia"/>
        </w:rPr>
        <w:t>装置</w:t>
      </w:r>
      <w:r>
        <w:t>应具备本地数据存储能力，除视频外的所有运行、事件与报警历史数据的保存时间不应少于半年；视频录像资料的保存时间不应少于</w:t>
      </w:r>
      <w:r>
        <w:t>90</w:t>
      </w:r>
      <w:r>
        <w:t>天。监控系统应支持按时间、充电船舶名称等条件进行历史数据查询与报表生成。</w:t>
      </w:r>
    </w:p>
    <w:p w14:paraId="07562B0F" w14:textId="77777777" w:rsidR="00B00DB7" w:rsidRDefault="00000000">
      <w:pPr>
        <w:pStyle w:val="afff0"/>
        <w:spacing w:before="120" w:after="120"/>
      </w:pPr>
      <w:bookmarkStart w:id="75" w:name="_Toc5829"/>
      <w:r>
        <w:rPr>
          <w:rFonts w:hint="eastAsia"/>
        </w:rPr>
        <w:t>开关柜及控制设备</w:t>
      </w:r>
      <w:bookmarkEnd w:id="75"/>
    </w:p>
    <w:p w14:paraId="0FBE9E37" w14:textId="77777777" w:rsidR="00B00DB7" w:rsidRDefault="00000000">
      <w:pPr>
        <w:pStyle w:val="afffffd"/>
        <w:ind w:firstLine="480"/>
      </w:pPr>
      <w:r>
        <w:t>高压开关柜宜选用金属封闭式。</w:t>
      </w:r>
    </w:p>
    <w:p w14:paraId="1EC86D90" w14:textId="77777777" w:rsidR="00B00DB7" w:rsidRDefault="00000000">
      <w:pPr>
        <w:pStyle w:val="afffffd"/>
        <w:ind w:firstLine="480"/>
      </w:pPr>
      <w:r>
        <w:t>高压开关柜应满足继电保护、测量仪表、控制等配置要求及对二次回路的要求。</w:t>
      </w:r>
    </w:p>
    <w:p w14:paraId="0A1FEF07" w14:textId="77777777" w:rsidR="00B00DB7" w:rsidRDefault="00000000">
      <w:pPr>
        <w:pStyle w:val="afffffd"/>
        <w:ind w:firstLine="480"/>
      </w:pPr>
      <w:r>
        <w:t>金属封闭开关设备应考虑安装场所的环境温度、湿度、防尘等因素</w:t>
      </w:r>
      <w:r>
        <w:t>,</w:t>
      </w:r>
      <w:r>
        <w:t>可分为</w:t>
      </w:r>
      <w:r>
        <w:t>0</w:t>
      </w:r>
      <w:r>
        <w:t>类、</w:t>
      </w:r>
      <w:r>
        <w:t>1</w:t>
      </w:r>
      <w:r>
        <w:t>类、</w:t>
      </w:r>
      <w:r>
        <w:t>2</w:t>
      </w:r>
      <w:r>
        <w:t>类三个设计等级：</w:t>
      </w:r>
      <w:r>
        <w:t>0</w:t>
      </w:r>
      <w:r>
        <w:t>类适用于有空调的室内环境，</w:t>
      </w:r>
      <w:r>
        <w:t>1</w:t>
      </w:r>
      <w:r>
        <w:t>类适用于普通室内非空调环境，</w:t>
      </w:r>
      <w:r>
        <w:t>2</w:t>
      </w:r>
      <w:r>
        <w:t>类适用于户外或高温、高湿、多尘等恶劣环境。设计等级应与使用条件相对应，港口码头户外环境一般不低于</w:t>
      </w:r>
      <w:r>
        <w:t>2</w:t>
      </w:r>
      <w:r>
        <w:t>类，详见附录</w:t>
      </w:r>
      <w:r>
        <w:t>C</w:t>
      </w:r>
      <w:r>
        <w:t>。本条应与</w:t>
      </w:r>
      <w:proofErr w:type="gramStart"/>
      <w:r>
        <w:t>现行行业</w:t>
      </w:r>
      <w:proofErr w:type="gramEnd"/>
      <w:r>
        <w:t>标准《码头岸电设施建设技术规范》（</w:t>
      </w:r>
      <w:r>
        <w:t>JTS 155-2019</w:t>
      </w:r>
      <w:r>
        <w:t>）中电气设备环境适应性的相关规定相协调。</w:t>
      </w:r>
    </w:p>
    <w:p w14:paraId="06219E7D" w14:textId="77777777" w:rsidR="00B00DB7" w:rsidRDefault="00000000">
      <w:pPr>
        <w:pStyle w:val="afffffd"/>
        <w:ind w:firstLine="480"/>
      </w:pPr>
      <w:r>
        <w:t>高压开关柜内的高压电器应根据环境温度进行校验。</w:t>
      </w:r>
    </w:p>
    <w:p w14:paraId="52C9C4B3" w14:textId="77777777" w:rsidR="00B00DB7" w:rsidRDefault="00000000">
      <w:pPr>
        <w:pStyle w:val="afffffd"/>
        <w:ind w:firstLine="480"/>
      </w:pPr>
      <w:r>
        <w:t>高压开关柜应具备五</w:t>
      </w:r>
      <w:proofErr w:type="gramStart"/>
      <w:r>
        <w:t>防功能</w:t>
      </w:r>
      <w:proofErr w:type="gramEnd"/>
      <w:r>
        <w:t>,</w:t>
      </w:r>
      <w:r>
        <w:t>并应满足现行国家标准《</w:t>
      </w:r>
      <w:r>
        <w:t>3~35kV</w:t>
      </w:r>
      <w:r>
        <w:t>交流金属封闭开关设备》</w:t>
      </w:r>
      <w:r>
        <w:t>(GB3906)</w:t>
      </w:r>
      <w:r>
        <w:t>的有关规定。</w:t>
      </w:r>
    </w:p>
    <w:p w14:paraId="218BF613" w14:textId="77777777" w:rsidR="00B00DB7" w:rsidRDefault="00000000">
      <w:pPr>
        <w:pStyle w:val="afffffd"/>
        <w:ind w:firstLine="480"/>
      </w:pPr>
      <w:r>
        <w:t>高压开关柜防护等级应不低于</w:t>
      </w:r>
      <w:r>
        <w:t>IP4X</w:t>
      </w:r>
      <w:r>
        <w:t>。</w:t>
      </w:r>
    </w:p>
    <w:p w14:paraId="116BF1B9" w14:textId="77777777" w:rsidR="00B00DB7" w:rsidRDefault="00000000">
      <w:pPr>
        <w:pStyle w:val="afffffd"/>
        <w:ind w:firstLine="480"/>
      </w:pPr>
      <w:r>
        <w:t>低压开关柜的型号和防护等级应根据所处场所和环境确定</w:t>
      </w:r>
      <w:r>
        <w:t>,</w:t>
      </w:r>
      <w:r>
        <w:t>且防护等级不应低于</w:t>
      </w:r>
      <w:r>
        <w:t>IP4X</w:t>
      </w:r>
      <w:r>
        <w:t>。</w:t>
      </w:r>
    </w:p>
    <w:p w14:paraId="7525103C" w14:textId="77777777" w:rsidR="00B00DB7" w:rsidRDefault="00000000">
      <w:pPr>
        <w:pStyle w:val="afffffd"/>
        <w:ind w:firstLine="480"/>
      </w:pPr>
      <w:r>
        <w:t>低压开关柜的结构和安装应保证操作人员的安全</w:t>
      </w:r>
      <w:r>
        <w:t>,</w:t>
      </w:r>
      <w:r>
        <w:t>并便于操作、维护、巡视、维修和试验。</w:t>
      </w:r>
    </w:p>
    <w:p w14:paraId="29ECB952" w14:textId="77777777" w:rsidR="00B00DB7" w:rsidRDefault="00000000">
      <w:pPr>
        <w:pStyle w:val="afffffd"/>
        <w:ind w:firstLine="480"/>
      </w:pPr>
      <w:r>
        <w:t>柜内的安装板、抽屉等均应镀锌处理</w:t>
      </w:r>
      <w:r>
        <w:t>,</w:t>
      </w:r>
      <w:r>
        <w:t>电缆出入口应采取密封</w:t>
      </w:r>
      <w:proofErr w:type="gramStart"/>
      <w:r>
        <w:t>措</w:t>
      </w:r>
      <w:proofErr w:type="gramEnd"/>
      <w:r>
        <w:t>放施。</w:t>
      </w:r>
    </w:p>
    <w:p w14:paraId="798E4B70" w14:textId="77777777" w:rsidR="00B00DB7" w:rsidRDefault="00000000">
      <w:pPr>
        <w:pStyle w:val="afffffd"/>
        <w:ind w:firstLine="480"/>
      </w:pPr>
      <w:r>
        <w:t>柜内应设</w:t>
      </w:r>
      <w:proofErr w:type="gramStart"/>
      <w:r>
        <w:t>保护接地母排</w:t>
      </w:r>
      <w:proofErr w:type="gramEnd"/>
      <w:r>
        <w:t>,</w:t>
      </w:r>
      <w:r>
        <w:t>并应通过绝缘子固定在柜架中</w:t>
      </w:r>
      <w:proofErr w:type="gramStart"/>
      <w:r>
        <w:t>中</w:t>
      </w:r>
      <w:proofErr w:type="gramEnd"/>
      <w:r>
        <w:t>。</w:t>
      </w:r>
    </w:p>
    <w:p w14:paraId="62F100EB" w14:textId="77777777" w:rsidR="00B00DB7" w:rsidRDefault="00000000">
      <w:pPr>
        <w:pStyle w:val="afffffd"/>
        <w:ind w:firstLine="480"/>
      </w:pPr>
      <w:r>
        <w:lastRenderedPageBreak/>
        <w:t>高压和低压配电设备在同一室内布置</w:t>
      </w:r>
      <w:r>
        <w:t>,</w:t>
      </w:r>
      <w:r>
        <w:t>且二者有一侧柜顶有裸露母线时</w:t>
      </w:r>
      <w:r>
        <w:t>,</w:t>
      </w:r>
      <w:r>
        <w:t>二者</w:t>
      </w:r>
      <w:proofErr w:type="gramStart"/>
      <w:r>
        <w:t>之间净</w:t>
      </w:r>
      <w:proofErr w:type="gramEnd"/>
      <w:r>
        <w:t>距离不应小于</w:t>
      </w:r>
      <w:r>
        <w:t>2m</w:t>
      </w:r>
      <w:r>
        <w:t>。</w:t>
      </w:r>
    </w:p>
    <w:p w14:paraId="52BD33AD" w14:textId="77777777" w:rsidR="00B00DB7" w:rsidRDefault="00000000">
      <w:pPr>
        <w:pStyle w:val="afffffd"/>
        <w:ind w:firstLine="480"/>
      </w:pPr>
      <w:r>
        <w:t>直流开关柜的设计开关柜的设计则应满足《低压配电设计规范》</w:t>
      </w:r>
      <w:r>
        <w:t xml:space="preserve">(GB50054) </w:t>
      </w:r>
      <w:r>
        <w:t>和《低压成套开关设备和控制设备</w:t>
      </w:r>
      <w:r>
        <w:t xml:space="preserve"> </w:t>
      </w:r>
      <w:r>
        <w:t>第</w:t>
      </w:r>
      <w:r>
        <w:t>1</w:t>
      </w:r>
      <w:r>
        <w:t>部分：总则》</w:t>
      </w:r>
      <w:r>
        <w:t xml:space="preserve">(GB7251.1) </w:t>
      </w:r>
      <w:r>
        <w:t>的相关规定。</w:t>
      </w:r>
    </w:p>
    <w:p w14:paraId="3F745ACD" w14:textId="77777777" w:rsidR="00B00DB7" w:rsidRDefault="00000000">
      <w:pPr>
        <w:pStyle w:val="afff0"/>
        <w:spacing w:before="120" w:after="120"/>
      </w:pPr>
      <w:bookmarkStart w:id="76" w:name="_Toc4755"/>
      <w:r>
        <w:rPr>
          <w:rFonts w:hint="eastAsia"/>
        </w:rPr>
        <w:t>计量器具</w:t>
      </w:r>
      <w:bookmarkEnd w:id="76"/>
    </w:p>
    <w:p w14:paraId="6DCC33FA" w14:textId="77777777" w:rsidR="00B00DB7" w:rsidRDefault="00000000">
      <w:pPr>
        <w:pStyle w:val="afffffd"/>
        <w:ind w:firstLine="480"/>
      </w:pPr>
      <w:r>
        <w:t>用于贸易结算的电能计量装置，其配置、安装与管理必须符合《中华人民共和国计量法》及国家市场监督管理总局发布的相应计量检定规程的要求。</w:t>
      </w:r>
    </w:p>
    <w:p w14:paraId="4DF2DEED" w14:textId="77777777" w:rsidR="00B00DB7" w:rsidRDefault="00000000">
      <w:pPr>
        <w:pStyle w:val="afffffd"/>
        <w:ind w:firstLine="480"/>
      </w:pPr>
      <w:r>
        <w:t>计量</w:t>
      </w:r>
      <w:r>
        <w:rPr>
          <w:rFonts w:hint="eastAsia"/>
        </w:rPr>
        <w:t>器具</w:t>
      </w:r>
      <w:r>
        <w:t>的有功电能测量精度必须满足贸易结算的准确性要求。对于直流充电回路，应使用直流电能表，其准确度等级不应低于</w:t>
      </w:r>
      <w:r>
        <w:t>0.5</w:t>
      </w:r>
      <w:r>
        <w:t>级（参照</w:t>
      </w:r>
      <w:r>
        <w:t xml:space="preserve"> JJG 842-2017 </w:t>
      </w:r>
      <w:r>
        <w:t>《直流电能表检定规程》）。</w:t>
      </w:r>
    </w:p>
    <w:p w14:paraId="795F1385" w14:textId="77777777" w:rsidR="00B00DB7" w:rsidRDefault="00000000">
      <w:pPr>
        <w:pStyle w:val="afffffd"/>
        <w:ind w:firstLine="480"/>
      </w:pPr>
      <w:r>
        <w:t>计量</w:t>
      </w:r>
      <w:r>
        <w:rPr>
          <w:rFonts w:hint="eastAsia"/>
        </w:rPr>
        <w:t>器具</w:t>
      </w:r>
      <w:r>
        <w:t>应具备数据远传与存储功能，支持通过</w:t>
      </w:r>
      <w:r>
        <w:t>RS-485</w:t>
      </w:r>
      <w:r>
        <w:t>、以太网或无线等标准通信接口，将电能累计值、功率、电压、电流等关键数据实时上传至监控系统或管理平台，并满足数据安全与掉电保护要求。</w:t>
      </w:r>
    </w:p>
    <w:p w14:paraId="4F7CC4F5" w14:textId="77777777" w:rsidR="00B00DB7" w:rsidRDefault="00000000">
      <w:pPr>
        <w:pStyle w:val="afffffd"/>
        <w:ind w:firstLine="480"/>
      </w:pPr>
      <w:r>
        <w:t>充电设施接入点的电压偏差限值应符合</w:t>
      </w:r>
      <w:r>
        <w:t xml:space="preserve"> GB/T 12325</w:t>
      </w:r>
      <w:r>
        <w:t>《电能质量</w:t>
      </w:r>
      <w:r>
        <w:t xml:space="preserve"> </w:t>
      </w:r>
      <w:r>
        <w:t>供电电压偏差》的规定，以确保电网电压处于合格范围。充电设施输入电压允许偏差应在</w:t>
      </w:r>
      <w:r>
        <w:t>±7%</w:t>
      </w:r>
      <w:r>
        <w:t>以内，输入频率波动允许偏差应在</w:t>
      </w:r>
      <w:r>
        <w:t>±0.5Hz</w:t>
      </w:r>
      <w:r>
        <w:t>以内。</w:t>
      </w:r>
    </w:p>
    <w:p w14:paraId="009CDDB9" w14:textId="77777777" w:rsidR="00B00DB7" w:rsidRDefault="00000000">
      <w:pPr>
        <w:pStyle w:val="afffffd"/>
        <w:ind w:firstLine="480"/>
      </w:pPr>
      <w:r>
        <w:t>充电设施运行时应满足</w:t>
      </w:r>
      <w:r>
        <w:t xml:space="preserve"> GB/T 15945</w:t>
      </w:r>
      <w:r>
        <w:t>《电能质量</w:t>
      </w:r>
      <w:r>
        <w:t xml:space="preserve"> </w:t>
      </w:r>
      <w:r>
        <w:t>电力系统频率偏差》的要求，其工作频率需在电网正常允许偏差之内。</w:t>
      </w:r>
    </w:p>
    <w:p w14:paraId="1CF2B935" w14:textId="77777777" w:rsidR="00B00DB7" w:rsidRDefault="00000000">
      <w:pPr>
        <w:pStyle w:val="afffffd"/>
        <w:ind w:firstLine="480"/>
      </w:pPr>
      <w:r>
        <w:t>充电设施注入公共连接点的谐波电压限值及谐波电流允许值，应满足</w:t>
      </w:r>
      <w:r>
        <w:t xml:space="preserve"> GB/T 14549</w:t>
      </w:r>
      <w:r>
        <w:t>《电能质量</w:t>
      </w:r>
      <w:r>
        <w:t xml:space="preserve"> </w:t>
      </w:r>
      <w:r>
        <w:t>公用电网谐波》的强制性规定。</w:t>
      </w:r>
    </w:p>
    <w:p w14:paraId="26B7E62C" w14:textId="77777777" w:rsidR="00B00DB7" w:rsidRDefault="00000000">
      <w:pPr>
        <w:pStyle w:val="afffffd"/>
        <w:ind w:firstLine="480"/>
      </w:pPr>
      <w:r>
        <w:t>充电设施运行时引起的公共连接点三相电压不平衡度，应不超过</w:t>
      </w:r>
      <w:r>
        <w:t xml:space="preserve"> GB/T 15543</w:t>
      </w:r>
      <w:r>
        <w:t>《电能质量</w:t>
      </w:r>
      <w:r>
        <w:t xml:space="preserve"> </w:t>
      </w:r>
      <w:r>
        <w:t>三相电压不平衡》规定的限值。</w:t>
      </w:r>
    </w:p>
    <w:p w14:paraId="7805E2A3" w14:textId="77777777" w:rsidR="00B00DB7" w:rsidRDefault="00000000">
      <w:pPr>
        <w:pStyle w:val="afffffd"/>
        <w:ind w:firstLine="480"/>
      </w:pPr>
      <w:r>
        <w:t>充电设施的电压纹波系数有效值不应超过</w:t>
      </w:r>
      <w:r>
        <w:t>1%</w:t>
      </w:r>
      <w:r>
        <w:t>，输出电压允许偏差不应超过</w:t>
      </w:r>
      <w:r>
        <w:t>±0.5%</w:t>
      </w:r>
      <w:r>
        <w:t>、输出电流允许偏差不应超过</w:t>
      </w:r>
      <w:r>
        <w:t>±1%</w:t>
      </w:r>
      <w:r>
        <w:t>。</w:t>
      </w:r>
    </w:p>
    <w:p w14:paraId="14D475B3" w14:textId="77777777" w:rsidR="00B00DB7" w:rsidRDefault="00000000">
      <w:pPr>
        <w:pStyle w:val="afff0"/>
        <w:spacing w:before="120" w:after="120"/>
      </w:pPr>
      <w:bookmarkStart w:id="77" w:name="_Toc1115"/>
      <w:r>
        <w:rPr>
          <w:rFonts w:hint="eastAsia"/>
        </w:rPr>
        <w:t>连接装置</w:t>
      </w:r>
      <w:bookmarkEnd w:id="77"/>
    </w:p>
    <w:p w14:paraId="35B4143E" w14:textId="77777777" w:rsidR="00B00DB7" w:rsidRDefault="00000000">
      <w:pPr>
        <w:pStyle w:val="afff1"/>
        <w:spacing w:before="120" w:after="120"/>
      </w:pPr>
      <w:r>
        <w:rPr>
          <w:rFonts w:hint="eastAsia"/>
        </w:rPr>
        <w:t>组成及一般要求</w:t>
      </w:r>
    </w:p>
    <w:p w14:paraId="58795B8C" w14:textId="77777777" w:rsidR="00B00DB7" w:rsidRDefault="00000000">
      <w:pPr>
        <w:pStyle w:val="afffffd"/>
        <w:ind w:firstLine="480"/>
      </w:pPr>
      <w:r>
        <w:rPr>
          <w:rFonts w:hint="eastAsia"/>
        </w:rPr>
        <w:t>连接装置是由岸基提供的连接与电动船舶充放电的装置，用于传输电能量、电信号、通信数据的装置，主要包括连接电缆、插头，可配置电缆管理系统。</w:t>
      </w:r>
    </w:p>
    <w:p w14:paraId="42B9FF92" w14:textId="77777777" w:rsidR="00B00DB7" w:rsidRDefault="00000000">
      <w:pPr>
        <w:pStyle w:val="afffffd"/>
        <w:ind w:firstLine="480"/>
      </w:pPr>
      <w:r>
        <w:rPr>
          <w:rFonts w:hint="eastAsia"/>
        </w:rPr>
        <w:t>适用于直流供电的电动船舶非船载充放电设备，额定工作电压不超过</w:t>
      </w:r>
      <w:r>
        <w:rPr>
          <w:rFonts w:hint="eastAsia"/>
        </w:rPr>
        <w:t>DC1500V</w:t>
      </w:r>
      <w:r>
        <w:rPr>
          <w:rFonts w:hint="eastAsia"/>
        </w:rPr>
        <w:t>。</w:t>
      </w:r>
    </w:p>
    <w:p w14:paraId="748E6B96" w14:textId="77777777" w:rsidR="00B00DB7" w:rsidRDefault="00000000">
      <w:pPr>
        <w:pStyle w:val="afff1"/>
        <w:spacing w:before="120" w:after="120"/>
      </w:pPr>
      <w:r>
        <w:rPr>
          <w:rFonts w:hint="eastAsia"/>
        </w:rPr>
        <w:t>连接电缆</w:t>
      </w:r>
    </w:p>
    <w:p w14:paraId="16C25ABF" w14:textId="77777777" w:rsidR="00B00DB7" w:rsidRDefault="00000000">
      <w:pPr>
        <w:pStyle w:val="afffffd"/>
        <w:ind w:firstLine="480"/>
      </w:pPr>
      <w:r>
        <w:rPr>
          <w:rFonts w:hint="eastAsia"/>
        </w:rPr>
        <w:t>连接电缆长度的确定应考虑充电接口位置、船舷高度变化等因素。</w:t>
      </w:r>
    </w:p>
    <w:p w14:paraId="3920119A" w14:textId="77777777" w:rsidR="00B00DB7" w:rsidRDefault="00000000">
      <w:pPr>
        <w:pStyle w:val="afffffd"/>
        <w:ind w:firstLine="480"/>
      </w:pPr>
      <w:r>
        <w:rPr>
          <w:rFonts w:hint="eastAsia"/>
        </w:rPr>
        <w:t>连接电缆应与船舶充电容量相适应，应选用具有耐油、阻燃、防水护套的柔性铜芯电</w:t>
      </w:r>
      <w:r>
        <w:rPr>
          <w:rFonts w:hint="eastAsia"/>
        </w:rPr>
        <w:lastRenderedPageBreak/>
        <w:t>缆。</w:t>
      </w:r>
    </w:p>
    <w:p w14:paraId="1E500DF9" w14:textId="77777777" w:rsidR="00B00DB7" w:rsidRDefault="00000000">
      <w:pPr>
        <w:pStyle w:val="afffffd"/>
        <w:ind w:firstLine="480"/>
      </w:pPr>
      <w:r>
        <w:rPr>
          <w:rFonts w:hint="eastAsia"/>
        </w:rPr>
        <w:t>用于通讯数据的连接电缆应带屏蔽层。</w:t>
      </w:r>
    </w:p>
    <w:p w14:paraId="0034D8CF" w14:textId="77777777" w:rsidR="00B00DB7" w:rsidRDefault="00000000">
      <w:pPr>
        <w:pStyle w:val="afff1"/>
        <w:spacing w:before="120" w:after="120"/>
      </w:pPr>
      <w:r>
        <w:rPr>
          <w:rFonts w:hint="eastAsia"/>
        </w:rPr>
        <w:t>插头接口</w:t>
      </w:r>
    </w:p>
    <w:p w14:paraId="066E3E64" w14:textId="77777777" w:rsidR="00B00DB7" w:rsidRDefault="00000000">
      <w:pPr>
        <w:pStyle w:val="afffffd"/>
        <w:ind w:firstLine="480"/>
      </w:pPr>
      <w:r>
        <w:rPr>
          <w:rFonts w:hint="eastAsia"/>
        </w:rPr>
        <w:t>插头规格应满足表</w:t>
      </w:r>
      <w:r>
        <w:rPr>
          <w:rFonts w:hint="eastAsia"/>
        </w:rPr>
        <w:t>6.1</w:t>
      </w:r>
      <w:r>
        <w:rPr>
          <w:rFonts w:hint="eastAsia"/>
        </w:rPr>
        <w:t>的要求，并应符合现行国家标准《工业用插头插座和耦合器</w:t>
      </w:r>
      <w:r>
        <w:rPr>
          <w:rFonts w:hint="eastAsia"/>
        </w:rPr>
        <w:t xml:space="preserve"> </w:t>
      </w:r>
      <w:r>
        <w:rPr>
          <w:rFonts w:hint="eastAsia"/>
        </w:rPr>
        <w:t>第</w:t>
      </w:r>
      <w:r>
        <w:rPr>
          <w:rFonts w:hint="eastAsia"/>
        </w:rPr>
        <w:t>6</w:t>
      </w:r>
      <w:r>
        <w:rPr>
          <w:rFonts w:hint="eastAsia"/>
        </w:rPr>
        <w:t>部分：船舶岸电系统用直流插头、插座和连接器》（</w:t>
      </w:r>
      <w:r>
        <w:rPr>
          <w:rFonts w:hint="eastAsia"/>
        </w:rPr>
        <w:t>GB/T 11918.6</w:t>
      </w:r>
      <w:r>
        <w:rPr>
          <w:rFonts w:hint="eastAsia"/>
        </w:rPr>
        <w:t>）的有关规定。</w:t>
      </w:r>
    </w:p>
    <w:p w14:paraId="4E5C36DB" w14:textId="77777777" w:rsidR="00B00DB7" w:rsidRDefault="00000000">
      <w:pPr>
        <w:jc w:val="center"/>
        <w:rPr>
          <w:b/>
          <w:bCs/>
        </w:rPr>
      </w:pPr>
      <w:r>
        <w:rPr>
          <w:rFonts w:hint="eastAsia"/>
          <w:b/>
          <w:bCs/>
        </w:rPr>
        <w:t>表</w:t>
      </w:r>
      <w:r>
        <w:rPr>
          <w:rFonts w:hint="eastAsia"/>
          <w:b/>
          <w:bCs/>
        </w:rPr>
        <w:t xml:space="preserve">6.1  </w:t>
      </w:r>
      <w:r>
        <w:rPr>
          <w:rFonts w:hint="eastAsia"/>
          <w:b/>
          <w:bCs/>
        </w:rPr>
        <w:t>插头规格表</w:t>
      </w:r>
    </w:p>
    <w:tbl>
      <w:tblPr>
        <w:tblStyle w:val="afffff"/>
        <w:tblW w:w="0" w:type="auto"/>
        <w:jc w:val="center"/>
        <w:tblLook w:val="04A0" w:firstRow="1" w:lastRow="0" w:firstColumn="1" w:lastColumn="0" w:noHBand="0" w:noVBand="1"/>
      </w:tblPr>
      <w:tblGrid>
        <w:gridCol w:w="2651"/>
        <w:gridCol w:w="3017"/>
      </w:tblGrid>
      <w:tr w:rsidR="00B00DB7" w14:paraId="371D148F" w14:textId="77777777">
        <w:trPr>
          <w:trHeight w:val="539"/>
          <w:jc w:val="center"/>
        </w:trPr>
        <w:tc>
          <w:tcPr>
            <w:tcW w:w="2651" w:type="dxa"/>
            <w:vAlign w:val="center"/>
          </w:tcPr>
          <w:p w14:paraId="42B13E12" w14:textId="77777777" w:rsidR="00B00DB7" w:rsidRDefault="00000000">
            <w:pPr>
              <w:jc w:val="center"/>
              <w:rPr>
                <w:rFonts w:ascii="黑体" w:eastAsia="黑体" w:hAnsi="Times New Roman"/>
                <w:szCs w:val="20"/>
              </w:rPr>
            </w:pPr>
            <w:r>
              <w:rPr>
                <w:rFonts w:hint="eastAsia"/>
              </w:rPr>
              <w:t>额定电压（</w:t>
            </w:r>
            <w:r>
              <w:rPr>
                <w:rFonts w:hint="eastAsia"/>
              </w:rPr>
              <w:t>V</w:t>
            </w:r>
            <w:r>
              <w:rPr>
                <w:rFonts w:hint="eastAsia"/>
              </w:rPr>
              <w:t>）</w:t>
            </w:r>
          </w:p>
        </w:tc>
        <w:tc>
          <w:tcPr>
            <w:tcW w:w="3017" w:type="dxa"/>
            <w:vAlign w:val="center"/>
          </w:tcPr>
          <w:p w14:paraId="24A70950" w14:textId="77777777" w:rsidR="00B00DB7" w:rsidRDefault="00000000">
            <w:pPr>
              <w:jc w:val="center"/>
              <w:rPr>
                <w:rFonts w:ascii="黑体" w:eastAsia="黑体" w:hAnsi="Times New Roman"/>
                <w:szCs w:val="20"/>
              </w:rPr>
            </w:pPr>
            <w:r>
              <w:rPr>
                <w:rFonts w:hint="eastAsia"/>
              </w:rPr>
              <w:t>额定电流（</w:t>
            </w:r>
            <w:r>
              <w:rPr>
                <w:rFonts w:hint="eastAsia"/>
              </w:rPr>
              <w:t>A</w:t>
            </w:r>
            <w:r>
              <w:rPr>
                <w:rFonts w:hint="eastAsia"/>
              </w:rPr>
              <w:t>）</w:t>
            </w:r>
          </w:p>
        </w:tc>
      </w:tr>
      <w:tr w:rsidR="00B00DB7" w14:paraId="37B98B51" w14:textId="77777777">
        <w:trPr>
          <w:trHeight w:val="567"/>
          <w:jc w:val="center"/>
        </w:trPr>
        <w:tc>
          <w:tcPr>
            <w:tcW w:w="2651" w:type="dxa"/>
            <w:vAlign w:val="center"/>
          </w:tcPr>
          <w:p w14:paraId="71AA8B43" w14:textId="77777777" w:rsidR="00B00DB7" w:rsidRDefault="00000000">
            <w:pPr>
              <w:jc w:val="center"/>
            </w:pPr>
            <w:r>
              <w:rPr>
                <w:rFonts w:hint="eastAsia"/>
              </w:rPr>
              <w:t>1500</w:t>
            </w:r>
          </w:p>
        </w:tc>
        <w:tc>
          <w:tcPr>
            <w:tcW w:w="3017" w:type="dxa"/>
            <w:vAlign w:val="center"/>
          </w:tcPr>
          <w:p w14:paraId="36AD76F6" w14:textId="77777777" w:rsidR="00B00DB7" w:rsidRDefault="00000000">
            <w:pPr>
              <w:jc w:val="center"/>
            </w:pPr>
            <w:r>
              <w:rPr>
                <w:rFonts w:hint="eastAsia"/>
              </w:rPr>
              <w:t>1000</w:t>
            </w:r>
          </w:p>
        </w:tc>
      </w:tr>
    </w:tbl>
    <w:p w14:paraId="642274FF" w14:textId="77777777" w:rsidR="00B00DB7" w:rsidRDefault="00B00DB7"/>
    <w:p w14:paraId="18EF3AEC" w14:textId="77777777" w:rsidR="00B00DB7" w:rsidRDefault="00000000">
      <w:pPr>
        <w:pStyle w:val="afffffd"/>
        <w:ind w:firstLine="480"/>
      </w:pPr>
      <w:r>
        <w:rPr>
          <w:rFonts w:hint="eastAsia"/>
        </w:rPr>
        <w:t>插头应符合下列规定：</w:t>
      </w:r>
    </w:p>
    <w:p w14:paraId="2CB432DF" w14:textId="77777777" w:rsidR="00B00DB7" w:rsidRDefault="00000000">
      <w:pPr>
        <w:pStyle w:val="afffffd"/>
        <w:ind w:firstLine="480"/>
      </w:pPr>
      <w:r>
        <w:rPr>
          <w:rFonts w:hint="eastAsia"/>
        </w:rPr>
        <w:t>（</w:t>
      </w:r>
      <w:r>
        <w:rPr>
          <w:rFonts w:hint="eastAsia"/>
        </w:rPr>
        <w:t>1</w:t>
      </w:r>
      <w:r>
        <w:rPr>
          <w:rFonts w:hint="eastAsia"/>
        </w:rPr>
        <w:t>）</w:t>
      </w:r>
      <w:proofErr w:type="gramStart"/>
      <w:r>
        <w:rPr>
          <w:rFonts w:hint="eastAsia"/>
        </w:rPr>
        <w:t>具有锁止功能</w:t>
      </w:r>
      <w:proofErr w:type="gramEnd"/>
      <w:r>
        <w:rPr>
          <w:rFonts w:hint="eastAsia"/>
        </w:rPr>
        <w:t>；</w:t>
      </w:r>
    </w:p>
    <w:p w14:paraId="18106543" w14:textId="77777777" w:rsidR="00B00DB7" w:rsidRDefault="00000000">
      <w:pPr>
        <w:pStyle w:val="afffffd"/>
        <w:ind w:firstLine="480"/>
      </w:pPr>
      <w:r>
        <w:rPr>
          <w:rFonts w:hint="eastAsia"/>
        </w:rPr>
        <w:t>（</w:t>
      </w:r>
      <w:r>
        <w:rPr>
          <w:rFonts w:hint="eastAsia"/>
        </w:rPr>
        <w:t>2</w:t>
      </w:r>
      <w:r>
        <w:rPr>
          <w:rFonts w:hint="eastAsia"/>
        </w:rPr>
        <w:t>）插拔力不超过</w:t>
      </w:r>
      <w:r>
        <w:rPr>
          <w:rFonts w:hint="eastAsia"/>
        </w:rPr>
        <w:t>240N</w:t>
      </w:r>
      <w:r>
        <w:rPr>
          <w:rFonts w:hint="eastAsia"/>
        </w:rPr>
        <w:t>；</w:t>
      </w:r>
    </w:p>
    <w:p w14:paraId="4809836C" w14:textId="77777777" w:rsidR="00B00DB7" w:rsidRDefault="00000000">
      <w:pPr>
        <w:pStyle w:val="afffffd"/>
        <w:ind w:firstLine="480"/>
      </w:pPr>
      <w:r>
        <w:rPr>
          <w:rFonts w:hint="eastAsia"/>
        </w:rPr>
        <w:t>（</w:t>
      </w:r>
      <w:r>
        <w:rPr>
          <w:rFonts w:hint="eastAsia"/>
        </w:rPr>
        <w:t>3</w:t>
      </w:r>
      <w:r>
        <w:rPr>
          <w:rFonts w:hint="eastAsia"/>
        </w:rPr>
        <w:t>）与船舶插座耦合后防护等级不低于</w:t>
      </w:r>
      <w:r>
        <w:rPr>
          <w:rFonts w:hint="eastAsia"/>
        </w:rPr>
        <w:t>IP 67</w:t>
      </w:r>
      <w:r>
        <w:rPr>
          <w:rFonts w:hint="eastAsia"/>
        </w:rPr>
        <w:t>。</w:t>
      </w:r>
    </w:p>
    <w:p w14:paraId="30039609" w14:textId="77777777" w:rsidR="00B00DB7" w:rsidRDefault="00000000">
      <w:pPr>
        <w:pStyle w:val="afffffd"/>
        <w:ind w:firstLine="480"/>
      </w:pPr>
      <w:r>
        <w:rPr>
          <w:rFonts w:hint="eastAsia"/>
        </w:rPr>
        <w:t>插头的触头布置及安全回路控制详见附录</w:t>
      </w:r>
      <w:r>
        <w:rPr>
          <w:rFonts w:hint="eastAsia"/>
        </w:rPr>
        <w:t>C</w:t>
      </w:r>
    </w:p>
    <w:p w14:paraId="149F9BE8" w14:textId="77777777" w:rsidR="00B00DB7" w:rsidRDefault="00000000">
      <w:pPr>
        <w:pStyle w:val="afff0"/>
        <w:spacing w:before="120" w:after="120"/>
      </w:pPr>
      <w:bookmarkStart w:id="78" w:name="_Toc8925"/>
      <w:r>
        <w:rPr>
          <w:rFonts w:hint="eastAsia"/>
        </w:rPr>
        <w:t>电缆举升装置</w:t>
      </w:r>
      <w:bookmarkEnd w:id="78"/>
    </w:p>
    <w:p w14:paraId="4A2CD571" w14:textId="77777777" w:rsidR="00B00DB7" w:rsidRDefault="00000000">
      <w:pPr>
        <w:pStyle w:val="afffffd"/>
        <w:ind w:firstLine="480"/>
      </w:pPr>
      <w:r>
        <w:rPr>
          <w:rFonts w:hint="eastAsia"/>
        </w:rPr>
        <w:t>电缆举升装置应具备旋转、提升、伸缩等动作功能。</w:t>
      </w:r>
    </w:p>
    <w:p w14:paraId="350538CD" w14:textId="77777777" w:rsidR="00B00DB7" w:rsidRDefault="00000000">
      <w:pPr>
        <w:pStyle w:val="afffffd"/>
        <w:ind w:firstLine="480"/>
      </w:pPr>
      <w:r>
        <w:rPr>
          <w:rFonts w:hint="eastAsia"/>
        </w:rPr>
        <w:t>电缆举升装置应具备电缆</w:t>
      </w:r>
      <w:proofErr w:type="gramStart"/>
      <w:r>
        <w:rPr>
          <w:rFonts w:hint="eastAsia"/>
        </w:rPr>
        <w:t>恒</w:t>
      </w:r>
      <w:proofErr w:type="gramEnd"/>
      <w:r>
        <w:rPr>
          <w:rFonts w:hint="eastAsia"/>
        </w:rPr>
        <w:t>张力控制功能，能根据电缆张力自动收放</w:t>
      </w:r>
      <w:proofErr w:type="gramStart"/>
      <w:r>
        <w:rPr>
          <w:rFonts w:hint="eastAsia"/>
        </w:rPr>
        <w:t>缆</w:t>
      </w:r>
      <w:proofErr w:type="gramEnd"/>
      <w:r>
        <w:rPr>
          <w:rFonts w:hint="eastAsia"/>
        </w:rPr>
        <w:t>控制，保证电缆免受潮汐，船舶装卸等影响。</w:t>
      </w:r>
    </w:p>
    <w:p w14:paraId="2460E7C4" w14:textId="77777777" w:rsidR="00B00DB7" w:rsidRDefault="00000000">
      <w:pPr>
        <w:pStyle w:val="afffffd"/>
        <w:ind w:firstLine="480"/>
      </w:pPr>
      <w:r>
        <w:rPr>
          <w:rFonts w:hint="eastAsia"/>
        </w:rPr>
        <w:t>电缆举升装置应具备对插头、集电环（如有）温度监控功能，超限时应能切断安全回路。</w:t>
      </w:r>
    </w:p>
    <w:p w14:paraId="34A81522" w14:textId="77777777" w:rsidR="00B00DB7" w:rsidRDefault="00000000">
      <w:pPr>
        <w:pStyle w:val="afffffd"/>
        <w:ind w:firstLine="480"/>
      </w:pPr>
      <w:r>
        <w:rPr>
          <w:rFonts w:hint="eastAsia"/>
        </w:rPr>
        <w:t>电缆举升装置应具有带电显示、急停切断功能。</w:t>
      </w:r>
    </w:p>
    <w:p w14:paraId="2F3F8568" w14:textId="77777777" w:rsidR="00B00DB7" w:rsidRDefault="00000000">
      <w:pPr>
        <w:pStyle w:val="afffffd"/>
        <w:ind w:firstLine="480"/>
      </w:pPr>
      <w:r>
        <w:rPr>
          <w:rFonts w:hint="eastAsia"/>
        </w:rPr>
        <w:t>电缆举升装置应符合</w:t>
      </w:r>
      <w:proofErr w:type="gramStart"/>
      <w:r>
        <w:rPr>
          <w:rFonts w:hint="eastAsia"/>
        </w:rPr>
        <w:t>现行行业</w:t>
      </w:r>
      <w:proofErr w:type="gramEnd"/>
      <w:r>
        <w:rPr>
          <w:rFonts w:hint="eastAsia"/>
        </w:rPr>
        <w:t>标准《码头岸电设施建设技术规范》（</w:t>
      </w:r>
      <w:r>
        <w:rPr>
          <w:rFonts w:hint="eastAsia"/>
        </w:rPr>
        <w:t>JTS 155</w:t>
      </w:r>
      <w:r>
        <w:rPr>
          <w:rFonts w:hint="eastAsia"/>
        </w:rPr>
        <w:t>）的有关规定。</w:t>
      </w:r>
    </w:p>
    <w:p w14:paraId="32EDA845" w14:textId="77777777" w:rsidR="00B00DB7" w:rsidRDefault="00000000">
      <w:pPr>
        <w:pStyle w:val="afff0"/>
        <w:spacing w:before="120" w:after="120"/>
      </w:pPr>
      <w:bookmarkStart w:id="79" w:name="_Toc16762"/>
      <w:r>
        <w:rPr>
          <w:rFonts w:hint="eastAsia"/>
        </w:rPr>
        <w:t>电缆</w:t>
      </w:r>
      <w:bookmarkEnd w:id="79"/>
    </w:p>
    <w:p w14:paraId="625D2F76" w14:textId="77777777" w:rsidR="00B00DB7" w:rsidRDefault="00000000">
      <w:pPr>
        <w:pStyle w:val="afffffd"/>
        <w:ind w:firstLine="480"/>
      </w:pPr>
      <w:r>
        <w:rPr>
          <w:rFonts w:hint="eastAsia"/>
        </w:rPr>
        <w:t>充电设施主电缆选型应满足</w:t>
      </w:r>
      <w:r>
        <w:rPr>
          <w:rFonts w:hint="eastAsia"/>
        </w:rPr>
        <w:t>GB/T 50217</w:t>
      </w:r>
      <w:r>
        <w:rPr>
          <w:rFonts w:hint="eastAsia"/>
        </w:rPr>
        <w:t>的规定</w:t>
      </w:r>
    </w:p>
    <w:p w14:paraId="2BF2BE40" w14:textId="77777777" w:rsidR="00B00DB7" w:rsidRDefault="00000000">
      <w:pPr>
        <w:pStyle w:val="afffffd"/>
        <w:ind w:firstLine="480"/>
      </w:pPr>
      <w:r>
        <w:t>连接电缆长度的确定应考虑充电接口位置、船舷高度变化等因素。</w:t>
      </w:r>
    </w:p>
    <w:p w14:paraId="1A7964CF" w14:textId="77777777" w:rsidR="00B00DB7" w:rsidRDefault="00000000">
      <w:pPr>
        <w:pStyle w:val="afffffd"/>
        <w:ind w:firstLine="480"/>
      </w:pPr>
      <w:r>
        <w:t>连接电缆应与船舶充电容量相适应，应选用具有耐油、阻燃、防水护套的柔性铜芯电缆。</w:t>
      </w:r>
    </w:p>
    <w:p w14:paraId="3E1D1E95" w14:textId="77777777" w:rsidR="00B00DB7" w:rsidRDefault="00000000">
      <w:pPr>
        <w:pStyle w:val="afffffd"/>
        <w:ind w:firstLine="480"/>
      </w:pPr>
      <w:r>
        <w:t>用于通讯数据的连接电缆应带屏蔽层。</w:t>
      </w:r>
    </w:p>
    <w:p w14:paraId="7E2B1B9B" w14:textId="77777777" w:rsidR="00B00DB7" w:rsidRDefault="00000000">
      <w:pPr>
        <w:pStyle w:val="afffffd"/>
        <w:ind w:firstLine="480"/>
      </w:pPr>
      <w:r>
        <w:t>电缆终端头和中间接头制作应满足现行国家标准《电气装置安装工程电缆线路施工及验收标准》（</w:t>
      </w:r>
      <w:r>
        <w:t>GB 50168</w:t>
      </w:r>
      <w:r>
        <w:t>）的要求，接头处应具有可靠的防水密封措施，户外安装时其防护</w:t>
      </w:r>
      <w:r>
        <w:lastRenderedPageBreak/>
        <w:t>等级不应低于</w:t>
      </w:r>
      <w:r>
        <w:t>IP67</w:t>
      </w:r>
      <w:r>
        <w:t>。</w:t>
      </w:r>
    </w:p>
    <w:p w14:paraId="56CF1593" w14:textId="77777777" w:rsidR="00B00DB7" w:rsidRDefault="00000000">
      <w:pPr>
        <w:pStyle w:val="afffffd"/>
        <w:ind w:firstLine="480"/>
      </w:pPr>
      <w:r>
        <w:t>充电设施主电缆敷设方式宜优先选用电缆桥架或电缆沟敷设；穿越道路时应采取穿管保护措施，保护管内径不应小于电缆外径的</w:t>
      </w:r>
      <w:r>
        <w:t>1.5</w:t>
      </w:r>
      <w:r>
        <w:t>倍。电缆敷设路径应避开高温区域和易受机械损伤的位置。</w:t>
      </w:r>
    </w:p>
    <w:p w14:paraId="617B8370" w14:textId="77777777" w:rsidR="00B00DB7" w:rsidRDefault="00000000">
      <w:pPr>
        <w:pStyle w:val="afffffd"/>
        <w:ind w:firstLine="480"/>
      </w:pPr>
      <w:r>
        <w:t>充电设施直流主电缆的导体</w:t>
      </w:r>
      <w:proofErr w:type="gramStart"/>
      <w:r>
        <w:t>截面积应根据</w:t>
      </w:r>
      <w:proofErr w:type="gramEnd"/>
      <w:r>
        <w:t>载流量、电压降、机械强度和经济性综合计算确定，并应满足热稳定校验要求。在环境温度高于</w:t>
      </w:r>
      <w:r>
        <w:t>40</w:t>
      </w:r>
      <w:r>
        <w:t>摄氏度或采用多根电缆并联敷设时，应按相关系数对载流量进行修正。</w:t>
      </w:r>
    </w:p>
    <w:p w14:paraId="5A6E5420" w14:textId="77777777" w:rsidR="00B00DB7" w:rsidRDefault="00000000">
      <w:pPr>
        <w:pStyle w:val="afff0"/>
        <w:spacing w:before="120" w:after="120"/>
      </w:pPr>
      <w:bookmarkStart w:id="80" w:name="_Toc13865"/>
      <w:r>
        <w:rPr>
          <w:rFonts w:hint="eastAsia"/>
        </w:rPr>
        <w:t>保护接地</w:t>
      </w:r>
      <w:bookmarkEnd w:id="80"/>
    </w:p>
    <w:p w14:paraId="559E33CE" w14:textId="77777777" w:rsidR="00B00DB7" w:rsidRDefault="00000000">
      <w:pPr>
        <w:pStyle w:val="afffffd"/>
        <w:ind w:firstLine="480"/>
      </w:pPr>
      <w:r>
        <w:t>安装于户外区域的充电设施（包括土建变电所和集装箱式），其建筑本体或金属外壳应设置直击雷防护装置。该装置的设计、施工及验收应严格符合</w:t>
      </w:r>
      <w:r>
        <w:t xml:space="preserve"> GB 50057-2010</w:t>
      </w:r>
      <w:r>
        <w:t>《建筑物防雷设计规范》中第三类防雷建筑物的相关规定，以有效拦截雷击。</w:t>
      </w:r>
    </w:p>
    <w:p w14:paraId="31363A0E" w14:textId="77777777" w:rsidR="00B00DB7" w:rsidRDefault="00000000">
      <w:pPr>
        <w:pStyle w:val="afffffd"/>
        <w:ind w:firstLine="480"/>
      </w:pPr>
      <w:r>
        <w:t>充电设施的防雷接地应符合下列要求：</w:t>
      </w:r>
    </w:p>
    <w:p w14:paraId="085E0B39" w14:textId="77777777" w:rsidR="00B00DB7" w:rsidRDefault="00000000">
      <w:pPr>
        <w:pStyle w:val="afffffd"/>
        <w:ind w:firstLine="480"/>
      </w:pPr>
      <w:r>
        <w:t>（</w:t>
      </w:r>
      <w:r>
        <w:t>1</w:t>
      </w:r>
      <w:r>
        <w:t>）供配电装置对侵入雷电</w:t>
      </w:r>
      <w:proofErr w:type="gramStart"/>
      <w:r>
        <w:t>波采取</w:t>
      </w:r>
      <w:proofErr w:type="gramEnd"/>
      <w:r>
        <w:t>过电压保护措施；</w:t>
      </w:r>
    </w:p>
    <w:p w14:paraId="1AE13EE9" w14:textId="77777777" w:rsidR="00B00DB7" w:rsidRDefault="00000000">
      <w:pPr>
        <w:pStyle w:val="afffffd"/>
        <w:ind w:firstLine="480"/>
      </w:pPr>
      <w:r>
        <w:t>（</w:t>
      </w:r>
      <w:r>
        <w:t>2</w:t>
      </w:r>
      <w:r>
        <w:t>）避雷装置和引下线可靠连接；</w:t>
      </w:r>
    </w:p>
    <w:p w14:paraId="4E3722C5" w14:textId="77777777" w:rsidR="00B00DB7" w:rsidRDefault="00000000">
      <w:pPr>
        <w:pStyle w:val="afffffd"/>
        <w:ind w:firstLine="480"/>
      </w:pPr>
      <w:r>
        <w:t>（</w:t>
      </w:r>
      <w:r>
        <w:t>3</w:t>
      </w:r>
      <w:r>
        <w:t>）电气设备金属外壳和电缆接地部分可靠接地，做好接地标识，并符合现行国家标准《交流电气装置的接地设计规范》（</w:t>
      </w:r>
      <w:r>
        <w:t>GB/T 50065</w:t>
      </w:r>
      <w:r>
        <w:t>）的有关规定。</w:t>
      </w:r>
    </w:p>
    <w:p w14:paraId="343DCD43" w14:textId="77777777" w:rsidR="00B00DB7" w:rsidRDefault="00000000">
      <w:pPr>
        <w:pStyle w:val="afff0"/>
        <w:spacing w:before="120" w:after="120"/>
      </w:pPr>
      <w:bookmarkStart w:id="81" w:name="_Toc27064"/>
      <w:r>
        <w:rPr>
          <w:rFonts w:hint="eastAsia"/>
        </w:rPr>
        <w:t>延长装置</w:t>
      </w:r>
      <w:bookmarkEnd w:id="81"/>
    </w:p>
    <w:p w14:paraId="41F85A2F" w14:textId="77777777" w:rsidR="00B00DB7" w:rsidRDefault="00000000">
      <w:pPr>
        <w:pStyle w:val="afffffd"/>
        <w:ind w:firstLine="480"/>
      </w:pPr>
      <w:r>
        <w:rPr>
          <w:rFonts w:hint="eastAsia"/>
        </w:rPr>
        <w:t>当连接装置与船舶距离较远时宜使用</w:t>
      </w:r>
      <w:r>
        <w:t>延长装置，其额定电压、额定电流应与主充电回路相匹配，防护等级不应低于主回路的防护等级，并应具备相应的安全保护功能。</w:t>
      </w:r>
    </w:p>
    <w:p w14:paraId="6FA8848E" w14:textId="77777777" w:rsidR="00B00DB7" w:rsidRDefault="00000000">
      <w:pPr>
        <w:pStyle w:val="afffffd"/>
        <w:ind w:firstLine="480"/>
      </w:pPr>
      <w:r>
        <w:rPr>
          <w:rFonts w:hint="eastAsia"/>
        </w:rPr>
        <w:t>延长装置应配置明显的接地点，用于连船时的临时接地，以保证操作人员的安全。</w:t>
      </w:r>
    </w:p>
    <w:p w14:paraId="2EF2205E" w14:textId="77777777" w:rsidR="00B00DB7" w:rsidRDefault="00000000">
      <w:pPr>
        <w:pStyle w:val="afffffd"/>
        <w:ind w:firstLine="480"/>
      </w:pPr>
      <w:r>
        <w:rPr>
          <w:rFonts w:hint="eastAsia"/>
        </w:rPr>
        <w:t>延长装置的外壳材质应采用耐腐蚀金属或高强度工程塑料，表面处理应满足沿海盐雾环境的防腐蚀要求（参照</w:t>
      </w:r>
      <w:r>
        <w:rPr>
          <w:rFonts w:hint="eastAsia"/>
        </w:rPr>
        <w:t xml:space="preserve"> GB/T 2423.17</w:t>
      </w:r>
      <w:r>
        <w:rPr>
          <w:rFonts w:hint="eastAsia"/>
        </w:rPr>
        <w:t>）。</w:t>
      </w:r>
    </w:p>
    <w:p w14:paraId="19D07577" w14:textId="77777777" w:rsidR="00B00DB7" w:rsidRDefault="00000000">
      <w:pPr>
        <w:pStyle w:val="afffffd"/>
        <w:ind w:firstLine="480"/>
      </w:pPr>
      <w:r>
        <w:rPr>
          <w:rFonts w:hint="eastAsia"/>
        </w:rPr>
        <w:t>延长装置应配置便携式急停按钮，按钮应位于操作人员易于触及的位置，动作后应在</w:t>
      </w:r>
      <w:r>
        <w:rPr>
          <w:rFonts w:hint="eastAsia"/>
        </w:rPr>
        <w:t>100ms</w:t>
      </w:r>
      <w:r>
        <w:rPr>
          <w:rFonts w:hint="eastAsia"/>
        </w:rPr>
        <w:t>内切断输出电源并保持锁定状态，复位需人工操作完成。</w:t>
      </w:r>
    </w:p>
    <w:p w14:paraId="6D371C5C" w14:textId="77777777" w:rsidR="00B00DB7" w:rsidRDefault="00000000">
      <w:pPr>
        <w:pStyle w:val="afffffd"/>
        <w:ind w:firstLine="480"/>
      </w:pPr>
      <w:r>
        <w:rPr>
          <w:rFonts w:hint="eastAsia"/>
        </w:rPr>
        <w:t>延长装置的连接接口应采用与主充电回路一致的标准化接插件形式，插拔寿命不应少于</w:t>
      </w:r>
      <w:r>
        <w:rPr>
          <w:rFonts w:hint="eastAsia"/>
        </w:rPr>
        <w:t>10000</w:t>
      </w:r>
      <w:r>
        <w:rPr>
          <w:rFonts w:hint="eastAsia"/>
        </w:rPr>
        <w:t>次，插合后防护等级不应低于</w:t>
      </w:r>
      <w:r>
        <w:rPr>
          <w:rFonts w:hint="eastAsia"/>
        </w:rPr>
        <w:t>IP55</w:t>
      </w:r>
      <w:r>
        <w:rPr>
          <w:rFonts w:hint="eastAsia"/>
        </w:rPr>
        <w:t>。连接线</w:t>
      </w:r>
      <w:proofErr w:type="gramStart"/>
      <w:r>
        <w:rPr>
          <w:rFonts w:hint="eastAsia"/>
        </w:rPr>
        <w:t>缆</w:t>
      </w:r>
      <w:proofErr w:type="gramEnd"/>
      <w:r>
        <w:rPr>
          <w:rFonts w:hint="eastAsia"/>
        </w:rPr>
        <w:t>应选用与主电缆同等级别的柔性铜芯电缆，且长度不宜超过</w:t>
      </w:r>
      <w:r>
        <w:rPr>
          <w:rFonts w:hint="eastAsia"/>
        </w:rPr>
        <w:t>30m</w:t>
      </w:r>
      <w:r>
        <w:rPr>
          <w:rFonts w:hint="eastAsia"/>
        </w:rPr>
        <w:t>。</w:t>
      </w:r>
    </w:p>
    <w:p w14:paraId="7647F638" w14:textId="77777777" w:rsidR="00B00DB7" w:rsidRDefault="00000000">
      <w:pPr>
        <w:pStyle w:val="afffffd"/>
        <w:ind w:firstLine="480"/>
      </w:pPr>
      <w:r>
        <w:rPr>
          <w:rFonts w:hint="eastAsia"/>
        </w:rPr>
        <w:t>延长装置的内部结构应具备完善的过流保护、短路保护和漏电保护功能，当检测到异常电流时应能在规定时间内自动切断输出回路并发出报警信号。</w:t>
      </w:r>
    </w:p>
    <w:p w14:paraId="41BDCBD6" w14:textId="77777777" w:rsidR="00B00DB7" w:rsidRDefault="00000000">
      <w:pPr>
        <w:pStyle w:val="afff0"/>
        <w:spacing w:before="120" w:after="120"/>
      </w:pPr>
      <w:bookmarkStart w:id="82" w:name="_Toc20650"/>
      <w:r>
        <w:rPr>
          <w:rFonts w:hint="eastAsia"/>
        </w:rPr>
        <w:t>转换装置</w:t>
      </w:r>
      <w:bookmarkEnd w:id="82"/>
    </w:p>
    <w:p w14:paraId="2941B692" w14:textId="77777777" w:rsidR="00B00DB7" w:rsidRDefault="00000000">
      <w:pPr>
        <w:pStyle w:val="afffffd"/>
        <w:ind w:firstLine="480"/>
      </w:pPr>
      <w:r>
        <w:rPr>
          <w:rFonts w:hint="eastAsia"/>
        </w:rPr>
        <w:t>转换装置满足依据码头停靠船舶的实际用电需求，使用前应核对额定参数的兼容性。</w:t>
      </w:r>
    </w:p>
    <w:p w14:paraId="5905D31B" w14:textId="77777777" w:rsidR="00B00DB7" w:rsidRDefault="00000000">
      <w:pPr>
        <w:pStyle w:val="afffffd"/>
        <w:ind w:firstLine="480"/>
      </w:pPr>
      <w:r>
        <w:rPr>
          <w:rFonts w:hint="eastAsia"/>
        </w:rPr>
        <w:t>转换装置宜采用全封闭结构密封性好，防护等级</w:t>
      </w:r>
      <w:r>
        <w:rPr>
          <w:rFonts w:hint="eastAsia"/>
        </w:rPr>
        <w:t>IP55</w:t>
      </w:r>
      <w:r>
        <w:rPr>
          <w:rFonts w:hint="eastAsia"/>
        </w:rPr>
        <w:t>要求，整体无外露锐角，强电接</w:t>
      </w:r>
      <w:r>
        <w:rPr>
          <w:rFonts w:hint="eastAsia"/>
        </w:rPr>
        <w:lastRenderedPageBreak/>
        <w:t>触部位应采用非金属绝缘材质，绝缘等级应不小于</w:t>
      </w:r>
      <w:r>
        <w:rPr>
          <w:rFonts w:hint="eastAsia"/>
        </w:rPr>
        <w:t>B</w:t>
      </w:r>
      <w:r>
        <w:rPr>
          <w:rFonts w:hint="eastAsia"/>
        </w:rPr>
        <w:t>级，确保人身安全。当不能采用全封闭结构时，</w:t>
      </w:r>
      <w:proofErr w:type="gramStart"/>
      <w:r>
        <w:rPr>
          <w:rFonts w:hint="eastAsia"/>
        </w:rPr>
        <w:t>应确装置</w:t>
      </w:r>
      <w:proofErr w:type="gramEnd"/>
      <w:r>
        <w:rPr>
          <w:rFonts w:hint="eastAsia"/>
        </w:rPr>
        <w:t>满足室外使用要求。</w:t>
      </w:r>
    </w:p>
    <w:p w14:paraId="4F80AB5E" w14:textId="77777777" w:rsidR="00B00DB7" w:rsidRDefault="00000000">
      <w:pPr>
        <w:pStyle w:val="afffffd"/>
        <w:ind w:firstLine="480"/>
      </w:pPr>
      <w:r>
        <w:rPr>
          <w:rFonts w:hint="eastAsia"/>
        </w:rPr>
        <w:t>转换装置应具有安全回路</w:t>
      </w:r>
      <w:proofErr w:type="gramStart"/>
      <w:r>
        <w:rPr>
          <w:rFonts w:hint="eastAsia"/>
        </w:rPr>
        <w:t>联锁</w:t>
      </w:r>
      <w:proofErr w:type="gramEnd"/>
      <w:r>
        <w:rPr>
          <w:rFonts w:hint="eastAsia"/>
        </w:rPr>
        <w:t>功能，岸电接驳应具有确认接驳完毕操作，连通安全回路。</w:t>
      </w:r>
    </w:p>
    <w:p w14:paraId="163B18F5" w14:textId="77777777" w:rsidR="00B00DB7" w:rsidRDefault="00000000">
      <w:pPr>
        <w:pStyle w:val="afffffd"/>
        <w:ind w:firstLine="480"/>
      </w:pPr>
      <w:r>
        <w:rPr>
          <w:rFonts w:hint="eastAsia"/>
        </w:rPr>
        <w:t>转换装置应具有应急切断功能。</w:t>
      </w:r>
    </w:p>
    <w:p w14:paraId="74392061" w14:textId="77777777" w:rsidR="00B00DB7" w:rsidRDefault="00000000">
      <w:pPr>
        <w:pStyle w:val="afffffd"/>
        <w:ind w:firstLine="480"/>
      </w:pPr>
      <w:r>
        <w:rPr>
          <w:rFonts w:hint="eastAsia"/>
        </w:rPr>
        <w:t>变压转接箱应具有带电显示功能。</w:t>
      </w:r>
    </w:p>
    <w:p w14:paraId="4E9C1DFA" w14:textId="77777777" w:rsidR="00B00DB7" w:rsidRDefault="00000000">
      <w:pPr>
        <w:pStyle w:val="afffffd"/>
        <w:ind w:firstLine="480"/>
      </w:pPr>
      <w:r>
        <w:rPr>
          <w:rFonts w:hint="eastAsia"/>
        </w:rPr>
        <w:t>转换装置应具有温度监控功能。</w:t>
      </w:r>
    </w:p>
    <w:p w14:paraId="5636D9A9" w14:textId="77777777" w:rsidR="00B00DB7" w:rsidRDefault="00000000">
      <w:pPr>
        <w:pStyle w:val="afff"/>
        <w:spacing w:before="240" w:after="240"/>
      </w:pPr>
      <w:bookmarkStart w:id="83" w:name="_Toc13222"/>
      <w:proofErr w:type="gramStart"/>
      <w:r>
        <w:rPr>
          <w:rFonts w:hint="eastAsia"/>
        </w:rPr>
        <w:t>交直两用</w:t>
      </w:r>
      <w:proofErr w:type="gramEnd"/>
      <w:r>
        <w:rPr>
          <w:rFonts w:hint="eastAsia"/>
        </w:rPr>
        <w:t>船舶供电设施</w:t>
      </w:r>
      <w:bookmarkEnd w:id="83"/>
    </w:p>
    <w:p w14:paraId="1148FA12" w14:textId="77777777" w:rsidR="00B00DB7" w:rsidRDefault="00000000">
      <w:pPr>
        <w:pStyle w:val="afff0"/>
        <w:spacing w:before="120" w:after="120"/>
      </w:pPr>
      <w:bookmarkStart w:id="84" w:name="_Toc11565"/>
      <w:r>
        <w:rPr>
          <w:rFonts w:hint="eastAsia"/>
        </w:rPr>
        <w:t>概述</w:t>
      </w:r>
      <w:bookmarkEnd w:id="84"/>
    </w:p>
    <w:p w14:paraId="37AE3791" w14:textId="77777777" w:rsidR="00B00DB7" w:rsidRDefault="00000000">
      <w:pPr>
        <w:pStyle w:val="afffffd"/>
        <w:ind w:firstLine="480"/>
      </w:pPr>
      <w:r>
        <w:rPr>
          <w:rFonts w:hint="eastAsia"/>
        </w:rPr>
        <w:t>鉴于部分已有交流供电设施的码头无法满足新建直流充电设施的要求，可在现有交流供电设施基础上通过改造升级</w:t>
      </w:r>
      <w:proofErr w:type="gramStart"/>
      <w:r>
        <w:rPr>
          <w:rFonts w:hint="eastAsia"/>
        </w:rPr>
        <w:t>实现交直两用</w:t>
      </w:r>
      <w:proofErr w:type="gramEnd"/>
      <w:r>
        <w:rPr>
          <w:rFonts w:hint="eastAsia"/>
        </w:rPr>
        <w:t>供电设施。</w:t>
      </w:r>
      <w:proofErr w:type="gramStart"/>
      <w:r>
        <w:rPr>
          <w:rFonts w:hint="eastAsia"/>
        </w:rPr>
        <w:t>交直两用</w:t>
      </w:r>
      <w:proofErr w:type="gramEnd"/>
      <w:r>
        <w:rPr>
          <w:rFonts w:hint="eastAsia"/>
        </w:rPr>
        <w:t>供电设施应兼容交流变频岸电与直流充电岸电两种功能，改造后系统应满足码头原有供电容量和船舶停靠作业的安全要求。</w:t>
      </w:r>
    </w:p>
    <w:p w14:paraId="319683E7" w14:textId="77777777" w:rsidR="00B00DB7" w:rsidRDefault="00000000">
      <w:pPr>
        <w:pStyle w:val="afffffd"/>
        <w:ind w:firstLine="480"/>
      </w:pPr>
      <w:r>
        <w:rPr>
          <w:rFonts w:hint="eastAsia"/>
        </w:rPr>
        <w:t>设施的设计、制造和检验应符合相关标准的规定。</w:t>
      </w:r>
    </w:p>
    <w:p w14:paraId="764F00AB" w14:textId="77777777" w:rsidR="00B00DB7" w:rsidRDefault="00000000">
      <w:pPr>
        <w:pStyle w:val="afffffd"/>
        <w:ind w:firstLine="480"/>
      </w:pPr>
      <w:r>
        <w:rPr>
          <w:rFonts w:hint="eastAsia"/>
        </w:rPr>
        <w:t>系统改造不应降低原有交流岸电系统的供电可靠性、安全性和可用率，改造期间应尽量减少对码头正常运营的影响。</w:t>
      </w:r>
    </w:p>
    <w:p w14:paraId="4FD99276" w14:textId="77777777" w:rsidR="00B00DB7" w:rsidRDefault="00000000">
      <w:pPr>
        <w:pStyle w:val="afff0"/>
        <w:spacing w:before="120" w:after="120"/>
      </w:pPr>
      <w:bookmarkStart w:id="85" w:name="_Toc23383"/>
      <w:r>
        <w:rPr>
          <w:rFonts w:hint="eastAsia"/>
        </w:rPr>
        <w:t>系统组成与拓扑结构</w:t>
      </w:r>
      <w:bookmarkEnd w:id="85"/>
    </w:p>
    <w:p w14:paraId="68D499E6" w14:textId="77777777" w:rsidR="00B00DB7" w:rsidRDefault="00000000">
      <w:pPr>
        <w:pStyle w:val="afffffd"/>
        <w:ind w:firstLine="480"/>
      </w:pPr>
      <w:r>
        <w:rPr>
          <w:rFonts w:hint="eastAsia"/>
        </w:rPr>
        <w:t>交流岸电系统分为交流变频岸电系统和交流工频岸电系统。其中，</w:t>
      </w:r>
      <w:proofErr w:type="gramStart"/>
      <w:r>
        <w:rPr>
          <w:rFonts w:hint="eastAsia"/>
        </w:rPr>
        <w:t>交直两用</w:t>
      </w:r>
      <w:proofErr w:type="gramEnd"/>
      <w:r>
        <w:rPr>
          <w:rFonts w:hint="eastAsia"/>
        </w:rPr>
        <w:t>船舶供电设施在建设时，如需提供交流变频岸电和直流供电岸电，</w:t>
      </w:r>
      <w:proofErr w:type="gramStart"/>
      <w:r>
        <w:rPr>
          <w:rFonts w:hint="eastAsia"/>
        </w:rPr>
        <w:t>那交直两用</w:t>
      </w:r>
      <w:proofErr w:type="gramEnd"/>
      <w:r>
        <w:rPr>
          <w:rFonts w:hint="eastAsia"/>
        </w:rPr>
        <w:t>岸电系统应至少包括输入单元（变压器</w:t>
      </w:r>
      <w:r>
        <w:rPr>
          <w:rFonts w:hint="eastAsia"/>
        </w:rPr>
        <w:t>/</w:t>
      </w:r>
      <w:r>
        <w:rPr>
          <w:rFonts w:hint="eastAsia"/>
        </w:rPr>
        <w:t>供电开关柜）、电源设备（包含有源整流功率模块、逆变模块）、输出配电单元、监控管理系统及船岸交互接口；如需提供交流工频岸电和直流供电岸电，</w:t>
      </w:r>
      <w:proofErr w:type="gramStart"/>
      <w:r>
        <w:rPr>
          <w:rFonts w:hint="eastAsia"/>
        </w:rPr>
        <w:t>那交直两用</w:t>
      </w:r>
      <w:proofErr w:type="gramEnd"/>
      <w:r>
        <w:rPr>
          <w:rFonts w:hint="eastAsia"/>
        </w:rPr>
        <w:t>岸电系统应至少包括输入单元（变压器柜）、电源设备（包含直流电源模块）、输出配电单元、监控管理系统及船岸交互接口。</w:t>
      </w:r>
    </w:p>
    <w:p w14:paraId="3F20EF03" w14:textId="77777777" w:rsidR="00B00DB7" w:rsidRDefault="00000000">
      <w:pPr>
        <w:pStyle w:val="afffffd"/>
        <w:ind w:firstLine="480"/>
      </w:pPr>
      <w:r>
        <w:rPr>
          <w:rFonts w:hint="eastAsia"/>
        </w:rPr>
        <w:t>系统拓扑应支持交流变频输出与直流输出双回路设计，两条回路应在输入侧共用上级电源，在输出</w:t>
      </w:r>
      <w:proofErr w:type="gramStart"/>
      <w:r>
        <w:rPr>
          <w:rFonts w:hint="eastAsia"/>
        </w:rPr>
        <w:t>侧分别</w:t>
      </w:r>
      <w:proofErr w:type="gramEnd"/>
      <w:r>
        <w:rPr>
          <w:rFonts w:hint="eastAsia"/>
        </w:rPr>
        <w:t>配置独立的接插件或采用复合型接口。</w:t>
      </w:r>
    </w:p>
    <w:p w14:paraId="6D7E137D" w14:textId="77777777" w:rsidR="00B00DB7" w:rsidRDefault="00000000">
      <w:pPr>
        <w:pStyle w:val="afffffd"/>
        <w:ind w:firstLine="480"/>
      </w:pPr>
      <w:proofErr w:type="gramStart"/>
      <w:r>
        <w:rPr>
          <w:rFonts w:hint="eastAsia"/>
        </w:rPr>
        <w:t>交直转换</w:t>
      </w:r>
      <w:proofErr w:type="gramEnd"/>
      <w:r>
        <w:rPr>
          <w:rFonts w:hint="eastAsia"/>
        </w:rPr>
        <w:t>单元应选用高效能充电模块，支持热插拔维护，模块故障时系统应能自动降额运行并发出报警信号。</w:t>
      </w:r>
    </w:p>
    <w:p w14:paraId="18BE949B" w14:textId="77777777" w:rsidR="00B00DB7" w:rsidRDefault="00000000">
      <w:pPr>
        <w:pStyle w:val="afff0"/>
        <w:spacing w:before="120" w:after="120"/>
      </w:pPr>
      <w:bookmarkStart w:id="86" w:name="_Toc14857"/>
      <w:r>
        <w:rPr>
          <w:rFonts w:hint="eastAsia"/>
        </w:rPr>
        <w:t>系统容量与输出要求</w:t>
      </w:r>
      <w:bookmarkEnd w:id="86"/>
    </w:p>
    <w:p w14:paraId="6257AAE4" w14:textId="77777777" w:rsidR="00B00DB7" w:rsidRDefault="00000000">
      <w:pPr>
        <w:pStyle w:val="afffffd"/>
        <w:ind w:firstLine="480"/>
      </w:pPr>
      <w:r>
        <w:rPr>
          <w:rFonts w:hint="eastAsia"/>
        </w:rPr>
        <w:t>交流变频输出应满足原岸电系统设计的电压等级、频率调节范围及额定容量要求，输出电压畸变率不应超过</w:t>
      </w:r>
      <w:r>
        <w:rPr>
          <w:rFonts w:hint="eastAsia"/>
        </w:rPr>
        <w:t>5%</w:t>
      </w:r>
      <w:r>
        <w:rPr>
          <w:rFonts w:hint="eastAsia"/>
        </w:rPr>
        <w:t>。</w:t>
      </w:r>
    </w:p>
    <w:p w14:paraId="5843C997" w14:textId="77777777" w:rsidR="00B00DB7" w:rsidRDefault="00000000">
      <w:pPr>
        <w:pStyle w:val="afffffd"/>
        <w:ind w:firstLine="480"/>
      </w:pPr>
      <w:r>
        <w:rPr>
          <w:rFonts w:hint="eastAsia"/>
        </w:rPr>
        <w:t>直流输出额定电压宜优先选用</w:t>
      </w:r>
      <w:r>
        <w:rPr>
          <w:rFonts w:hint="eastAsia"/>
        </w:rPr>
        <w:t>750V</w:t>
      </w:r>
      <w:r>
        <w:rPr>
          <w:rFonts w:hint="eastAsia"/>
        </w:rPr>
        <w:t>、</w:t>
      </w:r>
      <w:r>
        <w:rPr>
          <w:rFonts w:hint="eastAsia"/>
        </w:rPr>
        <w:t>1000V</w:t>
      </w:r>
      <w:r>
        <w:rPr>
          <w:rFonts w:hint="eastAsia"/>
        </w:rPr>
        <w:t>等级，额定电流宜优先选用</w:t>
      </w:r>
      <w:r>
        <w:rPr>
          <w:rFonts w:hint="eastAsia"/>
        </w:rPr>
        <w:t>250A</w:t>
      </w:r>
      <w:r>
        <w:rPr>
          <w:rFonts w:hint="eastAsia"/>
        </w:rPr>
        <w:t>、</w:t>
      </w:r>
      <w:r>
        <w:rPr>
          <w:rFonts w:hint="eastAsia"/>
        </w:rPr>
        <w:t>400A</w:t>
      </w:r>
      <w:r>
        <w:rPr>
          <w:rFonts w:hint="eastAsia"/>
        </w:rPr>
        <w:t>、</w:t>
      </w:r>
      <w:r>
        <w:rPr>
          <w:rFonts w:hint="eastAsia"/>
        </w:rPr>
        <w:t>630A</w:t>
      </w:r>
      <w:r>
        <w:rPr>
          <w:rFonts w:hint="eastAsia"/>
        </w:rPr>
        <w:t>、</w:t>
      </w:r>
      <w:r>
        <w:rPr>
          <w:rFonts w:hint="eastAsia"/>
        </w:rPr>
        <w:t>1000A</w:t>
      </w:r>
      <w:r>
        <w:rPr>
          <w:rFonts w:hint="eastAsia"/>
        </w:rPr>
        <w:t>等级，具体参数应结合电动船舶电池系统额定电压和充电倍率确定。</w:t>
      </w:r>
    </w:p>
    <w:p w14:paraId="3B997AC0" w14:textId="77777777" w:rsidR="00B00DB7" w:rsidRDefault="00000000">
      <w:pPr>
        <w:pStyle w:val="afffffd"/>
        <w:ind w:firstLine="480"/>
      </w:pPr>
      <w:r>
        <w:rPr>
          <w:rFonts w:hint="eastAsia"/>
        </w:rPr>
        <w:lastRenderedPageBreak/>
        <w:t>直流输出技术参数应满足</w:t>
      </w:r>
      <w:r>
        <w:rPr>
          <w:rFonts w:hint="eastAsia"/>
        </w:rPr>
        <w:t xml:space="preserve">5.4 </w:t>
      </w:r>
      <w:r>
        <w:rPr>
          <w:rFonts w:hint="eastAsia"/>
        </w:rPr>
        <w:t>电能质量与计量</w:t>
      </w:r>
      <w:r>
        <w:rPr>
          <w:rFonts w:hint="eastAsia"/>
        </w:rPr>
        <w:t xml:space="preserve"> </w:t>
      </w:r>
      <w:r>
        <w:rPr>
          <w:rFonts w:hint="eastAsia"/>
        </w:rPr>
        <w:t>要求。</w:t>
      </w:r>
    </w:p>
    <w:p w14:paraId="0A06E9E0" w14:textId="77777777" w:rsidR="00B00DB7" w:rsidRDefault="00000000">
      <w:pPr>
        <w:pStyle w:val="afffffd"/>
        <w:ind w:firstLine="480"/>
      </w:pPr>
      <w:r>
        <w:rPr>
          <w:rFonts w:hint="eastAsia"/>
        </w:rPr>
        <w:t>系统总效率（含变压器、变频器及充电模块）在额定功率下不应低于</w:t>
      </w:r>
      <w:r>
        <w:rPr>
          <w:rFonts w:hint="eastAsia"/>
        </w:rPr>
        <w:t>93%</w:t>
      </w:r>
      <w:r>
        <w:rPr>
          <w:rFonts w:hint="eastAsia"/>
        </w:rPr>
        <w:t>。</w:t>
      </w:r>
    </w:p>
    <w:p w14:paraId="4646ECD9" w14:textId="77777777" w:rsidR="00B00DB7" w:rsidRDefault="00000000">
      <w:pPr>
        <w:pStyle w:val="afff0"/>
        <w:spacing w:before="120" w:after="120"/>
      </w:pPr>
      <w:bookmarkStart w:id="87" w:name="_Toc30224"/>
      <w:r>
        <w:rPr>
          <w:rFonts w:hint="eastAsia"/>
        </w:rPr>
        <w:t>系统功能要求</w:t>
      </w:r>
      <w:bookmarkEnd w:id="87"/>
    </w:p>
    <w:p w14:paraId="29F91CB2" w14:textId="77777777" w:rsidR="00B00DB7" w:rsidRDefault="00000000">
      <w:pPr>
        <w:pStyle w:val="afffffd"/>
        <w:ind w:firstLine="480"/>
      </w:pPr>
      <w:r>
        <w:rPr>
          <w:rFonts w:hint="eastAsia"/>
        </w:rPr>
        <w:t>多制式输出控制：系统应具备交</w:t>
      </w:r>
      <w:r>
        <w:rPr>
          <w:rFonts w:hint="eastAsia"/>
        </w:rPr>
        <w:t>/</w:t>
      </w:r>
      <w:r>
        <w:rPr>
          <w:rFonts w:hint="eastAsia"/>
        </w:rPr>
        <w:t>直流输出模式选择功能，可通过人机界面或船舶管理系统指令切换输出制式，切换过程应有电气联锁确保安全。</w:t>
      </w:r>
    </w:p>
    <w:p w14:paraId="54CEA6AA" w14:textId="77777777" w:rsidR="00B00DB7" w:rsidRDefault="00000000">
      <w:pPr>
        <w:pStyle w:val="afffffd"/>
        <w:ind w:firstLine="480"/>
      </w:pPr>
      <w:r>
        <w:rPr>
          <w:rFonts w:hint="eastAsia"/>
        </w:rPr>
        <w:t>充电功能：直流充电模式应支持恒流、恒压等多种充电方式，具备电池反接保护、过压保护、过流保护、绝缘监测等功能。系统应能根据船舶电池管理系统指令自动调整输出电压和电流。</w:t>
      </w:r>
    </w:p>
    <w:p w14:paraId="16DCA4F9" w14:textId="77777777" w:rsidR="00B00DB7" w:rsidRDefault="00000000">
      <w:pPr>
        <w:pStyle w:val="afffffd"/>
        <w:ind w:firstLine="480"/>
      </w:pPr>
      <w:r>
        <w:rPr>
          <w:rFonts w:hint="eastAsia"/>
        </w:rPr>
        <w:t>变频供电功能应满足</w:t>
      </w:r>
      <w:r>
        <w:rPr>
          <w:rFonts w:hint="eastAsia"/>
        </w:rPr>
        <w:t>JTS 155-2019</w:t>
      </w:r>
      <w:r>
        <w:rPr>
          <w:rFonts w:hint="eastAsia"/>
        </w:rPr>
        <w:t>岸电系统建设规范要求。</w:t>
      </w:r>
    </w:p>
    <w:p w14:paraId="29B19670" w14:textId="77777777" w:rsidR="00B00DB7" w:rsidRDefault="00000000">
      <w:pPr>
        <w:pStyle w:val="afffffd"/>
        <w:ind w:firstLine="480"/>
      </w:pPr>
      <w:r>
        <w:rPr>
          <w:rFonts w:hint="eastAsia"/>
        </w:rPr>
        <w:t>船岸通信：系统应支持与船舶能源管理系统（</w:t>
      </w:r>
      <w:r>
        <w:rPr>
          <w:rFonts w:hint="eastAsia"/>
        </w:rPr>
        <w:t>PMS</w:t>
      </w:r>
      <w:r>
        <w:rPr>
          <w:rFonts w:hint="eastAsia"/>
        </w:rPr>
        <w:t>）的通信，通信协议应符合行业相关标准，信息</w:t>
      </w:r>
      <w:proofErr w:type="gramStart"/>
      <w:r>
        <w:rPr>
          <w:rFonts w:hint="eastAsia"/>
        </w:rPr>
        <w:t>交互应</w:t>
      </w:r>
      <w:proofErr w:type="gramEnd"/>
      <w:r>
        <w:rPr>
          <w:rFonts w:hint="eastAsia"/>
        </w:rPr>
        <w:t>至少包括连接状态、输出参数、故障报警、电池</w:t>
      </w:r>
      <w:r>
        <w:rPr>
          <w:rFonts w:hint="eastAsia"/>
        </w:rPr>
        <w:t>SOC</w:t>
      </w:r>
      <w:r>
        <w:rPr>
          <w:rFonts w:hint="eastAsia"/>
        </w:rPr>
        <w:t>等。</w:t>
      </w:r>
    </w:p>
    <w:p w14:paraId="1CE50016" w14:textId="77777777" w:rsidR="00B00DB7" w:rsidRDefault="00000000">
      <w:pPr>
        <w:pStyle w:val="afff0"/>
        <w:spacing w:before="120" w:after="120"/>
      </w:pPr>
      <w:bookmarkStart w:id="88" w:name="_Toc16023"/>
      <w:r>
        <w:rPr>
          <w:rFonts w:hint="eastAsia"/>
        </w:rPr>
        <w:t>安全与保护要求</w:t>
      </w:r>
      <w:bookmarkEnd w:id="88"/>
    </w:p>
    <w:p w14:paraId="184104B7" w14:textId="77777777" w:rsidR="00B00DB7" w:rsidRDefault="00000000">
      <w:pPr>
        <w:pStyle w:val="afffffd"/>
        <w:ind w:firstLine="480"/>
      </w:pPr>
      <w:r>
        <w:rPr>
          <w:rFonts w:hint="eastAsia"/>
        </w:rPr>
        <w:t>系统应配置完整的电气保护功能，包括但不限于过载保护、短路保护、过压保护、欠压保护、过热保护、急停保护和漏电保护。</w:t>
      </w:r>
    </w:p>
    <w:p w14:paraId="115EA737" w14:textId="77777777" w:rsidR="00B00DB7" w:rsidRDefault="00000000">
      <w:pPr>
        <w:pStyle w:val="afffffd"/>
        <w:ind w:firstLine="480"/>
      </w:pPr>
      <w:r>
        <w:rPr>
          <w:rFonts w:hint="eastAsia"/>
        </w:rPr>
        <w:t>系统应具备急停功能，急停按钮应设置在操作</w:t>
      </w:r>
      <w:proofErr w:type="gramStart"/>
      <w:r>
        <w:rPr>
          <w:rFonts w:hint="eastAsia"/>
        </w:rPr>
        <w:t>面显著</w:t>
      </w:r>
      <w:proofErr w:type="gramEnd"/>
      <w:r>
        <w:rPr>
          <w:rFonts w:hint="eastAsia"/>
        </w:rPr>
        <w:t>位置，动作后应切断主回路电源并保持锁定。</w:t>
      </w:r>
    </w:p>
    <w:p w14:paraId="7741AE70" w14:textId="77777777" w:rsidR="00B00DB7" w:rsidRDefault="00000000">
      <w:pPr>
        <w:pStyle w:val="afffffd"/>
        <w:ind w:firstLine="480"/>
      </w:pPr>
      <w:r>
        <w:rPr>
          <w:rFonts w:hint="eastAsia"/>
        </w:rPr>
        <w:t>系统应配置防雷保护装置，浪涌保护器参数应满足户外安装环境的防护等级要求。</w:t>
      </w:r>
    </w:p>
    <w:p w14:paraId="2DCDE724" w14:textId="77777777" w:rsidR="00B00DB7" w:rsidRDefault="00000000">
      <w:pPr>
        <w:pStyle w:val="afff0"/>
        <w:spacing w:before="120" w:after="120"/>
      </w:pPr>
      <w:bookmarkStart w:id="89" w:name="_Toc8289"/>
      <w:r>
        <w:rPr>
          <w:rFonts w:hint="eastAsia"/>
        </w:rPr>
        <w:t>兼容性与接口要求</w:t>
      </w:r>
      <w:bookmarkEnd w:id="89"/>
    </w:p>
    <w:p w14:paraId="4F290BA5" w14:textId="77777777" w:rsidR="00B00DB7" w:rsidRDefault="00000000">
      <w:pPr>
        <w:pStyle w:val="afffffd"/>
        <w:ind w:firstLine="480"/>
      </w:pPr>
      <w:r>
        <w:rPr>
          <w:rFonts w:hint="eastAsia"/>
        </w:rPr>
        <w:t>改造后的系统应兼容原有交流岸电接插件，同时增加直流接插件接口，接口形式应符合国家标准规定，宜采用统一接口标准以提高设备互换性。</w:t>
      </w:r>
    </w:p>
    <w:p w14:paraId="74B0A24A" w14:textId="77777777" w:rsidR="00B00DB7" w:rsidRDefault="00000000">
      <w:pPr>
        <w:pStyle w:val="afffffd"/>
        <w:ind w:firstLine="480"/>
      </w:pPr>
      <w:r>
        <w:rPr>
          <w:rFonts w:hint="eastAsia"/>
        </w:rPr>
        <w:t>直流充电接口的机械强度、防护等级（</w:t>
      </w:r>
      <w:r>
        <w:rPr>
          <w:rFonts w:hint="eastAsia"/>
        </w:rPr>
        <w:t>IP</w:t>
      </w:r>
      <w:r>
        <w:rPr>
          <w:rFonts w:hint="eastAsia"/>
        </w:rPr>
        <w:t>等级）、插拔寿命等性能指标应满足要求</w:t>
      </w:r>
    </w:p>
    <w:p w14:paraId="374ED98F" w14:textId="77777777" w:rsidR="00B00DB7" w:rsidRDefault="00000000">
      <w:pPr>
        <w:pStyle w:val="afffffd"/>
        <w:ind w:firstLine="480"/>
      </w:pPr>
      <w:r>
        <w:rPr>
          <w:rFonts w:hint="eastAsia"/>
        </w:rPr>
        <w:t>系统应能自动识别接入船舶的类型和受电需求，无法自动识别时应支持人工设定输出模式。</w:t>
      </w:r>
    </w:p>
    <w:p w14:paraId="66FD1358" w14:textId="77777777" w:rsidR="00B00DB7" w:rsidRDefault="00000000">
      <w:pPr>
        <w:pStyle w:val="afff0"/>
        <w:spacing w:before="120" w:after="120"/>
      </w:pPr>
      <w:bookmarkStart w:id="90" w:name="_Toc30033"/>
      <w:r>
        <w:rPr>
          <w:rFonts w:hint="eastAsia"/>
        </w:rPr>
        <w:t>环境适应性</w:t>
      </w:r>
      <w:bookmarkEnd w:id="90"/>
    </w:p>
    <w:p w14:paraId="15DC135A" w14:textId="77777777" w:rsidR="00B00DB7" w:rsidRDefault="00000000">
      <w:pPr>
        <w:pStyle w:val="afffffd"/>
        <w:ind w:firstLine="480"/>
      </w:pPr>
      <w:r>
        <w:rPr>
          <w:rFonts w:hint="eastAsia"/>
        </w:rPr>
        <w:t>满足</w:t>
      </w:r>
      <w:r>
        <w:rPr>
          <w:rFonts w:hint="eastAsia"/>
        </w:rPr>
        <w:t>5.1</w:t>
      </w:r>
      <w:r>
        <w:rPr>
          <w:rFonts w:hint="eastAsia"/>
        </w:rPr>
        <w:t>的要求。</w:t>
      </w:r>
    </w:p>
    <w:p w14:paraId="36DF2B41" w14:textId="77777777" w:rsidR="00B00DB7" w:rsidRDefault="00000000">
      <w:pPr>
        <w:pStyle w:val="afff0"/>
        <w:spacing w:before="120" w:after="120"/>
      </w:pPr>
      <w:bookmarkStart w:id="91" w:name="_Toc16966"/>
      <w:r>
        <w:rPr>
          <w:rFonts w:hint="eastAsia"/>
        </w:rPr>
        <w:t>计量与能效管理</w:t>
      </w:r>
      <w:bookmarkEnd w:id="91"/>
    </w:p>
    <w:p w14:paraId="2A8B2200" w14:textId="77777777" w:rsidR="00B00DB7" w:rsidRDefault="00000000">
      <w:pPr>
        <w:pStyle w:val="afffffd"/>
        <w:ind w:firstLine="480"/>
      </w:pPr>
      <w:r>
        <w:rPr>
          <w:rFonts w:hint="eastAsia"/>
        </w:rPr>
        <w:t>系统应配置交直流双向计量装置，交流输入侧计量总用电量，直流输出侧计量充电电量，计量精度应符合国家相关标准要求。</w:t>
      </w:r>
    </w:p>
    <w:p w14:paraId="36A4151F" w14:textId="77777777" w:rsidR="00B00DB7" w:rsidRDefault="00000000">
      <w:pPr>
        <w:pStyle w:val="afffffd"/>
        <w:ind w:firstLine="480"/>
      </w:pPr>
      <w:r>
        <w:rPr>
          <w:rFonts w:hint="eastAsia"/>
        </w:rPr>
        <w:t>系统应能记录充电电量、充电时间、平均功率因数等能耗数据，并上传至上级监控平台。</w:t>
      </w:r>
    </w:p>
    <w:p w14:paraId="4FCB05CD" w14:textId="77777777" w:rsidR="00B00DB7" w:rsidRDefault="00000000">
      <w:pPr>
        <w:pStyle w:val="afffffd"/>
        <w:ind w:firstLine="480"/>
      </w:pPr>
      <w:r>
        <w:rPr>
          <w:rFonts w:hint="eastAsia"/>
        </w:rPr>
        <w:t>系统宜具备需量管理功能，可根据码头总负荷情况调整充电功率，实现负荷削峰填谷。</w:t>
      </w:r>
    </w:p>
    <w:p w14:paraId="3AAA6483" w14:textId="77777777" w:rsidR="00B00DB7" w:rsidRDefault="00000000">
      <w:pPr>
        <w:pStyle w:val="1"/>
        <w:keepNext w:val="0"/>
        <w:keepLines w:val="0"/>
        <w:adjustRightInd/>
        <w:spacing w:after="0"/>
        <w:rPr>
          <w:rFonts w:ascii="Times New Roman" w:hAnsi="Times New Roman"/>
          <w:color w:val="000000"/>
        </w:rPr>
      </w:pPr>
      <w:r>
        <w:br w:type="page"/>
      </w:r>
      <w:bookmarkStart w:id="92" w:name="_Toc28669808"/>
      <w:bookmarkStart w:id="93" w:name="_Toc28669737"/>
      <w:bookmarkStart w:id="94" w:name="_Toc22460"/>
      <w:bookmarkStart w:id="95" w:name="_Toc2060"/>
      <w:r>
        <w:rPr>
          <w:rFonts w:ascii="Times New Roman" w:hAnsi="Times New Roman" w:hint="eastAsia"/>
          <w:color w:val="000000"/>
        </w:rPr>
        <w:lastRenderedPageBreak/>
        <w:t>附录</w:t>
      </w:r>
      <w:r>
        <w:rPr>
          <w:rFonts w:ascii="Times New Roman" w:hAnsi="Times New Roman" w:hint="eastAsia"/>
          <w:color w:val="000000"/>
        </w:rPr>
        <w:t>A</w:t>
      </w:r>
      <w:bookmarkEnd w:id="92"/>
      <w:bookmarkEnd w:id="93"/>
      <w:r>
        <w:rPr>
          <w:rFonts w:ascii="Times New Roman" w:hAnsi="Times New Roman" w:hint="eastAsia"/>
          <w:color w:val="000000"/>
        </w:rPr>
        <w:t xml:space="preserve"> </w:t>
      </w:r>
      <w:r>
        <w:rPr>
          <w:rFonts w:ascii="Times New Roman" w:hAnsi="Times New Roman" w:hint="eastAsia"/>
          <w:color w:val="000000"/>
        </w:rPr>
        <w:t>典型充电设施结构示意图</w:t>
      </w:r>
      <w:bookmarkEnd w:id="94"/>
      <w:bookmarkEnd w:id="95"/>
    </w:p>
    <w:p w14:paraId="35DEC3AB" w14:textId="77777777" w:rsidR="00B00DB7" w:rsidRDefault="00000000">
      <w:pPr>
        <w:pStyle w:val="afffffd"/>
        <w:ind w:firstLine="480"/>
      </w:pPr>
      <w:r>
        <w:rPr>
          <w:rFonts w:hint="eastAsia"/>
        </w:rPr>
        <w:t>本附录给出港口内河电池动力船舶充电设施的典型结构示意图，供设计、施工和维护参考。</w:t>
      </w:r>
      <w:r>
        <w:rPr>
          <w:rFonts w:hint="eastAsia"/>
        </w:rPr>
        <w:t>A.0.1</w:t>
      </w:r>
      <w:r>
        <w:rPr>
          <w:rFonts w:hint="eastAsia"/>
        </w:rPr>
        <w:t>充电设施按结构形式可分为分体式和</w:t>
      </w:r>
      <w:proofErr w:type="gramStart"/>
      <w:r>
        <w:rPr>
          <w:rFonts w:hint="eastAsia"/>
        </w:rPr>
        <w:t>一</w:t>
      </w:r>
      <w:proofErr w:type="gramEnd"/>
      <w:r>
        <w:rPr>
          <w:rFonts w:hint="eastAsia"/>
        </w:rPr>
        <w:t>体式两种：</w:t>
      </w:r>
    </w:p>
    <w:p w14:paraId="3E0534F0" w14:textId="77777777" w:rsidR="00B00DB7" w:rsidRDefault="00000000">
      <w:pPr>
        <w:pStyle w:val="afffffd"/>
        <w:ind w:firstLine="480"/>
      </w:pPr>
      <w:r>
        <w:rPr>
          <w:rFonts w:hint="eastAsia"/>
        </w:rPr>
        <w:t>(1)</w:t>
      </w:r>
      <w:r>
        <w:rPr>
          <w:rFonts w:hint="eastAsia"/>
        </w:rPr>
        <w:t>分体式：充电电源（整流装置）与充电终端（桩）在物理上分离布置。整流装置通常安装</w:t>
      </w:r>
      <w:proofErr w:type="gramStart"/>
      <w:r>
        <w:rPr>
          <w:rFonts w:hint="eastAsia"/>
        </w:rPr>
        <w:t>在岸侧变电所</w:t>
      </w:r>
      <w:proofErr w:type="gramEnd"/>
      <w:r>
        <w:rPr>
          <w:rFonts w:hint="eastAsia"/>
        </w:rPr>
        <w:t>或集装箱式机房内，通过直流电缆将电力输送至码头前沿分散布置的充电终端（桩），再通过连接电缆和插头为船舶充电。适用于多泊位共享一套大容量充电设备的场景，便于集中管理和维护。</w:t>
      </w:r>
    </w:p>
    <w:p w14:paraId="68CCAF68" w14:textId="77777777" w:rsidR="00B00DB7" w:rsidRDefault="00000000">
      <w:pPr>
        <w:pStyle w:val="afffffd"/>
        <w:ind w:firstLine="480"/>
      </w:pPr>
      <w:r>
        <w:rPr>
          <w:rFonts w:hint="eastAsia"/>
        </w:rPr>
        <w:t>(2)</w:t>
      </w:r>
      <w:proofErr w:type="gramStart"/>
      <w:r>
        <w:rPr>
          <w:rFonts w:hint="eastAsia"/>
        </w:rPr>
        <w:t>一</w:t>
      </w:r>
      <w:proofErr w:type="gramEnd"/>
      <w:r>
        <w:rPr>
          <w:rFonts w:hint="eastAsia"/>
        </w:rPr>
        <w:t>体式：充电电源与充电接口设备全部集成在一个独立的</w:t>
      </w:r>
      <w:proofErr w:type="gramStart"/>
      <w:r>
        <w:rPr>
          <w:rFonts w:hint="eastAsia"/>
        </w:rPr>
        <w:t>箱体或柜体内</w:t>
      </w:r>
      <w:proofErr w:type="gramEnd"/>
      <w:r>
        <w:rPr>
          <w:rFonts w:hint="eastAsia"/>
        </w:rPr>
        <w:t>，整体安装在码头前沿或泊位附近。适用于单泊位独立供电的场景，结构紧凑、占地面积小。</w:t>
      </w:r>
    </w:p>
    <w:p w14:paraId="0F7208EB" w14:textId="77777777" w:rsidR="00B00DB7" w:rsidRDefault="00000000">
      <w:pPr>
        <w:pStyle w:val="afffffd"/>
        <w:ind w:firstLine="480"/>
      </w:pPr>
      <w:r>
        <w:rPr>
          <w:rFonts w:hint="eastAsia"/>
        </w:rPr>
        <w:t>A.0.2</w:t>
      </w:r>
      <w:r>
        <w:rPr>
          <w:rFonts w:hint="eastAsia"/>
        </w:rPr>
        <w:t>典型充电设施的系统构成主要包括以下组成部分：</w:t>
      </w:r>
      <w:r>
        <w:rPr>
          <w:rFonts w:hint="eastAsia"/>
        </w:rPr>
        <w:t>1</w:t>
      </w:r>
      <w:r>
        <w:rPr>
          <w:rFonts w:hint="eastAsia"/>
        </w:rPr>
        <w:t>——充电装置（整流单元）；</w:t>
      </w:r>
      <w:r>
        <w:rPr>
          <w:rFonts w:hint="eastAsia"/>
        </w:rPr>
        <w:t>2</w:t>
      </w:r>
      <w:r>
        <w:rPr>
          <w:rFonts w:hint="eastAsia"/>
        </w:rPr>
        <w:t>——连接装置（含电缆管理系统）；</w:t>
      </w:r>
      <w:r>
        <w:rPr>
          <w:rFonts w:hint="eastAsia"/>
        </w:rPr>
        <w:t>3</w:t>
      </w:r>
      <w:r>
        <w:rPr>
          <w:rFonts w:hint="eastAsia"/>
        </w:rPr>
        <w:t>——监控系统；</w:t>
      </w:r>
      <w:r>
        <w:rPr>
          <w:rFonts w:hint="eastAsia"/>
        </w:rPr>
        <w:t>4</w:t>
      </w:r>
      <w:r>
        <w:rPr>
          <w:rFonts w:hint="eastAsia"/>
        </w:rPr>
        <w:t>——功率变换单元；</w:t>
      </w:r>
      <w:r>
        <w:rPr>
          <w:rFonts w:hint="eastAsia"/>
        </w:rPr>
        <w:t>5</w:t>
      </w:r>
      <w:r>
        <w:rPr>
          <w:rFonts w:hint="eastAsia"/>
        </w:rPr>
        <w:t>——充电终端；</w:t>
      </w:r>
      <w:r>
        <w:rPr>
          <w:rFonts w:hint="eastAsia"/>
        </w:rPr>
        <w:t>6</w:t>
      </w:r>
      <w:r>
        <w:rPr>
          <w:rFonts w:hint="eastAsia"/>
        </w:rPr>
        <w:t>——电缆管理装置；</w:t>
      </w:r>
      <w:r>
        <w:rPr>
          <w:rFonts w:hint="eastAsia"/>
        </w:rPr>
        <w:t>7</w:t>
      </w:r>
      <w:r>
        <w:rPr>
          <w:rFonts w:hint="eastAsia"/>
        </w:rPr>
        <w:t>——连接电缆；</w:t>
      </w:r>
      <w:r>
        <w:rPr>
          <w:rFonts w:hint="eastAsia"/>
        </w:rPr>
        <w:t>8</w:t>
      </w:r>
      <w:r>
        <w:rPr>
          <w:rFonts w:hint="eastAsia"/>
        </w:rPr>
        <w:t>——船用插头。</w:t>
      </w:r>
      <w:r>
        <w:rPr>
          <w:rFonts w:hint="eastAsia"/>
        </w:rPr>
        <w:t>A.0.3</w:t>
      </w:r>
      <w:r>
        <w:rPr>
          <w:rFonts w:hint="eastAsia"/>
        </w:rPr>
        <w:t>系统能量流向为：电网进线→变压器→功率变换单元→充电装置（整流）→充电终端</w:t>
      </w:r>
      <w:r>
        <w:rPr>
          <w:rFonts w:hint="eastAsia"/>
        </w:rPr>
        <w:t>/</w:t>
      </w:r>
      <w:r>
        <w:rPr>
          <w:rFonts w:hint="eastAsia"/>
        </w:rPr>
        <w:t>连接装置→连接电缆→船用插座→电动船舶蓄电池。</w:t>
      </w:r>
      <w:r>
        <w:rPr>
          <w:rFonts w:hint="eastAsia"/>
        </w:rPr>
        <w:t>A.0.4</w:t>
      </w:r>
      <w:r>
        <w:rPr>
          <w:rFonts w:hint="eastAsia"/>
        </w:rPr>
        <w:t>分体式与</w:t>
      </w:r>
      <w:proofErr w:type="gramStart"/>
      <w:r>
        <w:rPr>
          <w:rFonts w:hint="eastAsia"/>
        </w:rPr>
        <w:t>一</w:t>
      </w:r>
      <w:proofErr w:type="gramEnd"/>
      <w:r>
        <w:rPr>
          <w:rFonts w:hint="eastAsia"/>
        </w:rPr>
        <w:t>体式的主要区别在于功率变换单元与充电终端的空间布局关系：分体式中两者分离并通过长距离电缆连接；</w:t>
      </w:r>
      <w:proofErr w:type="gramStart"/>
      <w:r>
        <w:rPr>
          <w:rFonts w:hint="eastAsia"/>
        </w:rPr>
        <w:t>一</w:t>
      </w:r>
      <w:proofErr w:type="gramEnd"/>
      <w:r>
        <w:rPr>
          <w:rFonts w:hint="eastAsia"/>
        </w:rPr>
        <w:t>体式中两者集成在同一壳体内。</w:t>
      </w:r>
    </w:p>
    <w:p w14:paraId="24CCD492" w14:textId="77777777" w:rsidR="00B00DB7" w:rsidRDefault="00000000">
      <w:r>
        <w:rPr>
          <w:rFonts w:hint="eastAsia"/>
        </w:rPr>
        <w:br w:type="page"/>
      </w:r>
    </w:p>
    <w:p w14:paraId="6103BD87" w14:textId="77777777" w:rsidR="00B00DB7" w:rsidRDefault="00000000">
      <w:pPr>
        <w:pStyle w:val="1"/>
        <w:keepNext w:val="0"/>
        <w:keepLines w:val="0"/>
        <w:adjustRightInd/>
        <w:spacing w:after="0"/>
        <w:rPr>
          <w:rFonts w:ascii="Times New Roman" w:hAnsi="Times New Roman"/>
          <w:color w:val="000000"/>
          <w:lang w:val="zh-CN"/>
        </w:rPr>
      </w:pPr>
      <w:bookmarkStart w:id="96" w:name="_Toc8349"/>
      <w:bookmarkStart w:id="97" w:name="_Toc30837"/>
      <w:bookmarkStart w:id="98" w:name="_Toc16632"/>
      <w:bookmarkStart w:id="99" w:name="_Toc11549"/>
      <w:bookmarkStart w:id="100" w:name="_Toc19724"/>
      <w:r>
        <w:rPr>
          <w:rFonts w:ascii="Times New Roman" w:hAnsi="Times New Roman" w:hint="eastAsia"/>
          <w:color w:val="000000"/>
        </w:rPr>
        <w:lastRenderedPageBreak/>
        <w:t>附录</w:t>
      </w:r>
      <w:r>
        <w:rPr>
          <w:rFonts w:ascii="Times New Roman" w:hAnsi="Times New Roman" w:hint="eastAsia"/>
          <w:color w:val="000000"/>
        </w:rPr>
        <w:t>B</w:t>
      </w:r>
      <w:bookmarkEnd w:id="96"/>
      <w:bookmarkEnd w:id="97"/>
      <w:r>
        <w:rPr>
          <w:rFonts w:ascii="Times New Roman" w:hAnsi="Times New Roman" w:hint="eastAsia"/>
          <w:color w:val="000000"/>
        </w:rPr>
        <w:t xml:space="preserve"> </w:t>
      </w:r>
      <w:r>
        <w:rPr>
          <w:rFonts w:ascii="Times New Roman" w:hAnsi="Times New Roman" w:hint="eastAsia"/>
          <w:color w:val="000000"/>
          <w:lang w:val="zh-CN"/>
        </w:rPr>
        <w:t>典型泊位充电设施布置技术方案图</w:t>
      </w:r>
      <w:bookmarkEnd w:id="98"/>
      <w:bookmarkEnd w:id="99"/>
      <w:bookmarkEnd w:id="100"/>
    </w:p>
    <w:p w14:paraId="678AD1BC" w14:textId="77777777" w:rsidR="00B00DB7" w:rsidRDefault="00000000">
      <w:r>
        <w:rPr>
          <w:rFonts w:hint="eastAsia"/>
        </w:rPr>
        <w:t>①高压进线系统：</w:t>
      </w:r>
    </w:p>
    <w:p w14:paraId="539D1680" w14:textId="77777777" w:rsidR="00B00DB7" w:rsidRDefault="00000000">
      <w:r>
        <w:rPr>
          <w:noProof/>
        </w:rPr>
        <w:drawing>
          <wp:inline distT="0" distB="0" distL="0" distR="0" wp14:anchorId="557D80ED" wp14:editId="4AC7D924">
            <wp:extent cx="6252210" cy="508635"/>
            <wp:effectExtent l="0" t="0" r="889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517708" cy="530834"/>
                    </a:xfrm>
                    <a:prstGeom prst="rect">
                      <a:avLst/>
                    </a:prstGeom>
                    <a:noFill/>
                  </pic:spPr>
                </pic:pic>
              </a:graphicData>
            </a:graphic>
          </wp:inline>
        </w:drawing>
      </w:r>
    </w:p>
    <w:p w14:paraId="4C751A58" w14:textId="77777777" w:rsidR="00B00DB7" w:rsidRDefault="00000000">
      <w:r>
        <w:rPr>
          <w:rFonts w:hint="eastAsia"/>
        </w:rPr>
        <w:t>②低压进线系统：</w:t>
      </w:r>
    </w:p>
    <w:p w14:paraId="438086BF" w14:textId="77777777" w:rsidR="00B00DB7" w:rsidRDefault="00000000">
      <w:pPr>
        <w:jc w:val="center"/>
      </w:pPr>
      <w:r>
        <w:rPr>
          <w:noProof/>
        </w:rPr>
        <w:drawing>
          <wp:inline distT="0" distB="0" distL="0" distR="0" wp14:anchorId="6FE21A22" wp14:editId="5011854F">
            <wp:extent cx="5418455" cy="536575"/>
            <wp:effectExtent l="0" t="0" r="444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3951" cy="580374"/>
                    </a:xfrm>
                    <a:prstGeom prst="rect">
                      <a:avLst/>
                    </a:prstGeom>
                    <a:noFill/>
                  </pic:spPr>
                </pic:pic>
              </a:graphicData>
            </a:graphic>
          </wp:inline>
        </w:drawing>
      </w:r>
    </w:p>
    <w:p w14:paraId="34BE32FE" w14:textId="77777777" w:rsidR="00B00DB7" w:rsidRDefault="00000000">
      <w:r>
        <w:rPr>
          <w:rFonts w:hint="eastAsia"/>
        </w:rPr>
        <w:t>③交直流混用岸电系统</w:t>
      </w:r>
    </w:p>
    <w:p w14:paraId="7FB6F96F" w14:textId="77777777" w:rsidR="00B00DB7" w:rsidRDefault="00000000">
      <w:r>
        <w:rPr>
          <w:noProof/>
        </w:rPr>
        <w:drawing>
          <wp:inline distT="0" distB="0" distL="0" distR="0" wp14:anchorId="4B340463" wp14:editId="259917E4">
            <wp:extent cx="5476875" cy="1259840"/>
            <wp:effectExtent l="0" t="0" r="952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61512" cy="1279854"/>
                    </a:xfrm>
                    <a:prstGeom prst="rect">
                      <a:avLst/>
                    </a:prstGeom>
                    <a:noFill/>
                  </pic:spPr>
                </pic:pic>
              </a:graphicData>
            </a:graphic>
          </wp:inline>
        </w:drawing>
      </w:r>
    </w:p>
    <w:p w14:paraId="298C1C40" w14:textId="77777777" w:rsidR="00B00DB7" w:rsidRDefault="00000000">
      <w:pPr>
        <w:pStyle w:val="1"/>
        <w:keepNext w:val="0"/>
        <w:keepLines w:val="0"/>
        <w:adjustRightInd/>
        <w:spacing w:after="0"/>
        <w:rPr>
          <w:rFonts w:ascii="Times New Roman" w:hAnsi="Times New Roman"/>
          <w:color w:val="000000"/>
          <w:highlight w:val="yellow"/>
        </w:rPr>
      </w:pPr>
      <w:r>
        <w:rPr>
          <w:rFonts w:ascii="Times New Roman" w:hAnsi="Times New Roman" w:hint="eastAsia"/>
          <w:color w:val="000000"/>
          <w:lang w:val="zh-CN"/>
        </w:rPr>
        <w:br w:type="page"/>
      </w:r>
      <w:bookmarkStart w:id="101" w:name="_Toc1773"/>
      <w:bookmarkStart w:id="102" w:name="_Toc7756"/>
      <w:bookmarkStart w:id="103" w:name="_Toc17981"/>
      <w:bookmarkStart w:id="104" w:name="_Toc25977"/>
      <w:r>
        <w:rPr>
          <w:rFonts w:ascii="Times New Roman" w:hAnsi="Times New Roman" w:hint="eastAsia"/>
          <w:color w:val="000000"/>
        </w:rPr>
        <w:lastRenderedPageBreak/>
        <w:t>附录</w:t>
      </w:r>
      <w:r>
        <w:rPr>
          <w:rFonts w:ascii="Times New Roman" w:hAnsi="Times New Roman" w:hint="eastAsia"/>
          <w:color w:val="000000"/>
        </w:rPr>
        <w:t xml:space="preserve">C </w:t>
      </w:r>
      <w:r>
        <w:rPr>
          <w:rFonts w:ascii="Times New Roman" w:hAnsi="Times New Roman" w:hint="eastAsia"/>
          <w:color w:val="000000"/>
        </w:rPr>
        <w:t>金属封闭开关设备设计等级</w:t>
      </w:r>
      <w:bookmarkEnd w:id="101"/>
      <w:bookmarkEnd w:id="102"/>
      <w:bookmarkEnd w:id="103"/>
    </w:p>
    <w:p w14:paraId="7F247FB7" w14:textId="77777777" w:rsidR="00B00DB7" w:rsidRDefault="00000000">
      <w:pPr>
        <w:jc w:val="center"/>
      </w:pPr>
      <w:r>
        <w:rPr>
          <w:rFonts w:hint="eastAsia"/>
          <w:b/>
          <w:bCs/>
          <w:sz w:val="21"/>
        </w:rPr>
        <w:t>表</w:t>
      </w:r>
      <w:r>
        <w:rPr>
          <w:rFonts w:hint="eastAsia"/>
          <w:b/>
          <w:bCs/>
          <w:sz w:val="21"/>
        </w:rPr>
        <w:t xml:space="preserve">C.0.1  </w:t>
      </w:r>
      <w:r>
        <w:rPr>
          <w:rFonts w:hint="eastAsia"/>
          <w:b/>
          <w:bCs/>
          <w:sz w:val="21"/>
        </w:rPr>
        <w:t>设计等级分类和使用条件</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8"/>
        <w:gridCol w:w="1019"/>
        <w:gridCol w:w="1423"/>
        <w:gridCol w:w="1423"/>
        <w:gridCol w:w="2204"/>
        <w:gridCol w:w="2273"/>
      </w:tblGrid>
      <w:tr w:rsidR="00B00DB7" w14:paraId="39073556" w14:textId="77777777">
        <w:tc>
          <w:tcPr>
            <w:tcW w:w="2037" w:type="dxa"/>
            <w:gridSpan w:val="2"/>
            <w:tcBorders>
              <w:top w:val="single" w:sz="2" w:space="0" w:color="000000"/>
              <w:left w:val="single" w:sz="2" w:space="0" w:color="000000"/>
              <w:bottom w:val="single" w:sz="2" w:space="0" w:color="000000"/>
              <w:right w:val="single" w:sz="2" w:space="0" w:color="000000"/>
            </w:tcBorders>
            <w:shd w:val="clear" w:color="auto" w:fill="E7E6E6"/>
            <w:vAlign w:val="center"/>
          </w:tcPr>
          <w:p w14:paraId="36447FB9" w14:textId="77777777" w:rsidR="00B00DB7" w:rsidRDefault="00000000">
            <w:pPr>
              <w:jc w:val="center"/>
            </w:pPr>
            <w:r>
              <w:rPr>
                <w:rFonts w:hint="eastAsia"/>
                <w:b/>
                <w:bCs/>
                <w:sz w:val="21"/>
              </w:rPr>
              <w:t>设计等级</w:t>
            </w:r>
            <w:r>
              <w:rPr>
                <w:rFonts w:hint="eastAsia"/>
                <w:b/>
                <w:bCs/>
                <w:sz w:val="21"/>
              </w:rPr>
              <w:t xml:space="preserve"> </w:t>
            </w:r>
            <w:r>
              <w:rPr>
                <w:rFonts w:hint="eastAsia"/>
                <w:b/>
                <w:bCs/>
                <w:sz w:val="21"/>
              </w:rPr>
              <w:t>分类</w:t>
            </w:r>
          </w:p>
        </w:tc>
        <w:tc>
          <w:tcPr>
            <w:tcW w:w="1423" w:type="dxa"/>
            <w:tcBorders>
              <w:top w:val="single" w:sz="2" w:space="0" w:color="000000"/>
              <w:left w:val="single" w:sz="2" w:space="0" w:color="000000"/>
              <w:bottom w:val="single" w:sz="2" w:space="0" w:color="000000"/>
              <w:right w:val="single" w:sz="2" w:space="0" w:color="000000"/>
            </w:tcBorders>
            <w:shd w:val="clear" w:color="auto" w:fill="E7E6E6"/>
            <w:vAlign w:val="center"/>
          </w:tcPr>
          <w:p w14:paraId="7CE4B9F0" w14:textId="77777777" w:rsidR="00B00DB7" w:rsidRDefault="00000000">
            <w:pPr>
              <w:jc w:val="center"/>
            </w:pPr>
            <w:r>
              <w:rPr>
                <w:rFonts w:hint="eastAsia"/>
                <w:b/>
                <w:bCs/>
                <w:sz w:val="21"/>
              </w:rPr>
              <w:t>安装处温度</w:t>
            </w:r>
            <w:r>
              <w:rPr>
                <w:rFonts w:hint="eastAsia"/>
                <w:b/>
                <w:bCs/>
                <w:sz w:val="21"/>
              </w:rPr>
              <w:t xml:space="preserve"> </w:t>
            </w:r>
            <w:r>
              <w:rPr>
                <w:rFonts w:hint="eastAsia"/>
                <w:b/>
                <w:bCs/>
                <w:sz w:val="21"/>
              </w:rPr>
              <w:t>控制情况</w:t>
            </w:r>
          </w:p>
        </w:tc>
        <w:tc>
          <w:tcPr>
            <w:tcW w:w="1423" w:type="dxa"/>
            <w:tcBorders>
              <w:top w:val="single" w:sz="2" w:space="0" w:color="000000"/>
              <w:left w:val="single" w:sz="2" w:space="0" w:color="000000"/>
              <w:bottom w:val="single" w:sz="2" w:space="0" w:color="000000"/>
              <w:right w:val="single" w:sz="2" w:space="0" w:color="000000"/>
            </w:tcBorders>
            <w:shd w:val="clear" w:color="auto" w:fill="E7E6E6"/>
            <w:vAlign w:val="center"/>
          </w:tcPr>
          <w:p w14:paraId="6DBE354E" w14:textId="77777777" w:rsidR="00B00DB7" w:rsidRDefault="00000000">
            <w:pPr>
              <w:jc w:val="center"/>
            </w:pPr>
            <w:r>
              <w:rPr>
                <w:rFonts w:hint="eastAsia"/>
                <w:b/>
                <w:bCs/>
                <w:sz w:val="21"/>
              </w:rPr>
              <w:t>受户外气候日变化</w:t>
            </w:r>
            <w:r>
              <w:rPr>
                <w:rFonts w:hint="eastAsia"/>
                <w:b/>
                <w:bCs/>
                <w:sz w:val="21"/>
              </w:rPr>
              <w:t xml:space="preserve"> </w:t>
            </w:r>
            <w:r>
              <w:rPr>
                <w:rFonts w:hint="eastAsia"/>
                <w:b/>
                <w:bCs/>
                <w:sz w:val="21"/>
              </w:rPr>
              <w:t>影响程度</w:t>
            </w:r>
          </w:p>
        </w:tc>
        <w:tc>
          <w:tcPr>
            <w:tcW w:w="2204" w:type="dxa"/>
            <w:tcBorders>
              <w:top w:val="single" w:sz="2" w:space="0" w:color="000000"/>
              <w:left w:val="single" w:sz="2" w:space="0" w:color="000000"/>
              <w:bottom w:val="single" w:sz="2" w:space="0" w:color="000000"/>
              <w:right w:val="single" w:sz="2" w:space="0" w:color="000000"/>
            </w:tcBorders>
            <w:shd w:val="clear" w:color="auto" w:fill="E7E6E6"/>
            <w:vAlign w:val="center"/>
          </w:tcPr>
          <w:p w14:paraId="350FDAC3" w14:textId="77777777" w:rsidR="00B00DB7" w:rsidRDefault="00000000">
            <w:pPr>
              <w:jc w:val="center"/>
            </w:pPr>
            <w:r>
              <w:rPr>
                <w:rFonts w:hint="eastAsia"/>
                <w:b/>
                <w:bCs/>
                <w:sz w:val="21"/>
              </w:rPr>
              <w:t>凝露</w:t>
            </w:r>
          </w:p>
        </w:tc>
        <w:tc>
          <w:tcPr>
            <w:tcW w:w="2273" w:type="dxa"/>
            <w:tcBorders>
              <w:top w:val="single" w:sz="2" w:space="0" w:color="000000"/>
              <w:left w:val="single" w:sz="2" w:space="0" w:color="000000"/>
              <w:bottom w:val="single" w:sz="2" w:space="0" w:color="000000"/>
              <w:right w:val="single" w:sz="2" w:space="0" w:color="000000"/>
            </w:tcBorders>
            <w:shd w:val="clear" w:color="auto" w:fill="E7E6E6"/>
            <w:vAlign w:val="center"/>
          </w:tcPr>
          <w:p w14:paraId="3C483432" w14:textId="77777777" w:rsidR="00B00DB7" w:rsidRDefault="00000000">
            <w:pPr>
              <w:jc w:val="center"/>
            </w:pPr>
            <w:r>
              <w:rPr>
                <w:rFonts w:hint="eastAsia"/>
                <w:b/>
                <w:bCs/>
                <w:sz w:val="21"/>
              </w:rPr>
              <w:t>预防积尘措施</w:t>
            </w:r>
          </w:p>
        </w:tc>
      </w:tr>
      <w:tr w:rsidR="00B00DB7" w14:paraId="4C9CA656" w14:textId="77777777">
        <w:tc>
          <w:tcPr>
            <w:tcW w:w="2037" w:type="dxa"/>
            <w:gridSpan w:val="2"/>
            <w:tcBorders>
              <w:top w:val="single" w:sz="2" w:space="0" w:color="000000"/>
              <w:left w:val="single" w:sz="2" w:space="0" w:color="000000"/>
              <w:bottom w:val="single" w:sz="2" w:space="0" w:color="000000"/>
              <w:right w:val="single" w:sz="2" w:space="0" w:color="000000"/>
            </w:tcBorders>
            <w:vAlign w:val="center"/>
          </w:tcPr>
          <w:p w14:paraId="6495EF8B" w14:textId="77777777" w:rsidR="00B00DB7" w:rsidRDefault="00000000">
            <w:pPr>
              <w:jc w:val="center"/>
            </w:pPr>
            <w:r>
              <w:rPr>
                <w:rFonts w:hint="eastAsia"/>
                <w:sz w:val="21"/>
              </w:rPr>
              <w:t>0</w:t>
            </w:r>
            <w:r>
              <w:rPr>
                <w:rFonts w:hint="eastAsia"/>
                <w:sz w:val="21"/>
              </w:rPr>
              <w:t>类</w:t>
            </w:r>
          </w:p>
        </w:tc>
        <w:tc>
          <w:tcPr>
            <w:tcW w:w="1423" w:type="dxa"/>
            <w:tcBorders>
              <w:top w:val="single" w:sz="2" w:space="0" w:color="000000"/>
              <w:left w:val="single" w:sz="2" w:space="0" w:color="000000"/>
              <w:bottom w:val="single" w:sz="2" w:space="0" w:color="000000"/>
              <w:right w:val="single" w:sz="2" w:space="0" w:color="000000"/>
            </w:tcBorders>
            <w:vAlign w:val="center"/>
          </w:tcPr>
          <w:p w14:paraId="67139663" w14:textId="77777777" w:rsidR="00B00DB7" w:rsidRDefault="00000000">
            <w:pPr>
              <w:jc w:val="center"/>
            </w:pPr>
            <w:r>
              <w:rPr>
                <w:rFonts w:hint="eastAsia"/>
                <w:sz w:val="21"/>
              </w:rPr>
              <w:t>温度可控制</w:t>
            </w:r>
          </w:p>
        </w:tc>
        <w:tc>
          <w:tcPr>
            <w:tcW w:w="1423" w:type="dxa"/>
            <w:tcBorders>
              <w:top w:val="single" w:sz="2" w:space="0" w:color="000000"/>
              <w:left w:val="single" w:sz="2" w:space="0" w:color="000000"/>
              <w:bottom w:val="single" w:sz="2" w:space="0" w:color="000000"/>
              <w:right w:val="single" w:sz="2" w:space="0" w:color="000000"/>
            </w:tcBorders>
          </w:tcPr>
          <w:p w14:paraId="757D4D92" w14:textId="77777777" w:rsidR="00B00DB7" w:rsidRDefault="00000000">
            <w:pPr>
              <w:jc w:val="center"/>
              <w:rPr>
                <w:sz w:val="21"/>
              </w:rPr>
            </w:pPr>
            <w:r>
              <w:rPr>
                <w:rFonts w:hint="eastAsia"/>
                <w:sz w:val="21"/>
              </w:rPr>
              <w:t>建筑物或房屋提供防护使设备免受影响</w:t>
            </w:r>
          </w:p>
        </w:tc>
        <w:tc>
          <w:tcPr>
            <w:tcW w:w="2204" w:type="dxa"/>
            <w:tcBorders>
              <w:top w:val="single" w:sz="2" w:space="0" w:color="000000"/>
              <w:left w:val="single" w:sz="2" w:space="0" w:color="000000"/>
              <w:bottom w:val="single" w:sz="2" w:space="0" w:color="000000"/>
              <w:right w:val="single" w:sz="2" w:space="0" w:color="000000"/>
            </w:tcBorders>
            <w:vAlign w:val="center"/>
          </w:tcPr>
          <w:p w14:paraId="6315D2AC" w14:textId="77777777" w:rsidR="00B00DB7" w:rsidRDefault="00000000">
            <w:pPr>
              <w:jc w:val="center"/>
            </w:pPr>
            <w:r>
              <w:rPr>
                <w:rFonts w:hint="eastAsia"/>
                <w:sz w:val="21"/>
              </w:rPr>
              <w:t>—</w:t>
            </w:r>
          </w:p>
        </w:tc>
        <w:tc>
          <w:tcPr>
            <w:tcW w:w="2273" w:type="dxa"/>
            <w:tcBorders>
              <w:top w:val="single" w:sz="2" w:space="0" w:color="000000"/>
              <w:left w:val="single" w:sz="2" w:space="0" w:color="000000"/>
              <w:bottom w:val="single" w:sz="2" w:space="0" w:color="000000"/>
              <w:right w:val="single" w:sz="2" w:space="0" w:color="000000"/>
            </w:tcBorders>
            <w:vAlign w:val="center"/>
          </w:tcPr>
          <w:p w14:paraId="573FFB68" w14:textId="77777777" w:rsidR="00B00DB7" w:rsidRDefault="00000000">
            <w:pPr>
              <w:jc w:val="center"/>
            </w:pPr>
            <w:r>
              <w:rPr>
                <w:rFonts w:hint="eastAsia"/>
                <w:sz w:val="21"/>
              </w:rPr>
              <w:t>采取预防措施使沉积物减到最少</w:t>
            </w:r>
          </w:p>
        </w:tc>
      </w:tr>
      <w:tr w:rsidR="00B00DB7" w14:paraId="74D724BA" w14:textId="77777777">
        <w:tc>
          <w:tcPr>
            <w:tcW w:w="1018" w:type="dxa"/>
            <w:vMerge w:val="restart"/>
            <w:tcBorders>
              <w:top w:val="single" w:sz="2" w:space="0" w:color="000000"/>
              <w:left w:val="single" w:sz="2" w:space="0" w:color="000000"/>
              <w:bottom w:val="single" w:sz="2" w:space="0" w:color="000000"/>
              <w:right w:val="single" w:sz="2" w:space="0" w:color="000000"/>
            </w:tcBorders>
            <w:vAlign w:val="center"/>
          </w:tcPr>
          <w:p w14:paraId="30A61E1D" w14:textId="77777777" w:rsidR="00B00DB7" w:rsidRDefault="00000000">
            <w:pPr>
              <w:jc w:val="center"/>
            </w:pPr>
            <w:r>
              <w:rPr>
                <w:rFonts w:hint="eastAsia"/>
                <w:sz w:val="21"/>
              </w:rPr>
              <w:t>1</w:t>
            </w:r>
            <w:r>
              <w:rPr>
                <w:rFonts w:hint="eastAsia"/>
                <w:sz w:val="21"/>
              </w:rPr>
              <w:t>类</w:t>
            </w:r>
          </w:p>
        </w:tc>
        <w:tc>
          <w:tcPr>
            <w:tcW w:w="1019" w:type="dxa"/>
            <w:tcBorders>
              <w:top w:val="single" w:sz="2" w:space="0" w:color="000000"/>
              <w:left w:val="single" w:sz="2" w:space="0" w:color="000000"/>
              <w:bottom w:val="single" w:sz="2" w:space="0" w:color="000000"/>
              <w:right w:val="single" w:sz="2" w:space="0" w:color="000000"/>
            </w:tcBorders>
            <w:vAlign w:val="center"/>
          </w:tcPr>
          <w:p w14:paraId="6FDE1573" w14:textId="77777777" w:rsidR="00B00DB7" w:rsidRDefault="00000000">
            <w:pPr>
              <w:jc w:val="center"/>
            </w:pPr>
            <w:r>
              <w:rPr>
                <w:rFonts w:hint="eastAsia"/>
                <w:sz w:val="21"/>
              </w:rPr>
              <w:t>a</w:t>
            </w:r>
          </w:p>
        </w:tc>
        <w:tc>
          <w:tcPr>
            <w:tcW w:w="1423" w:type="dxa"/>
            <w:tcBorders>
              <w:top w:val="single" w:sz="2" w:space="0" w:color="000000"/>
              <w:left w:val="single" w:sz="2" w:space="0" w:color="000000"/>
              <w:bottom w:val="single" w:sz="2" w:space="0" w:color="000000"/>
              <w:right w:val="single" w:sz="2" w:space="0" w:color="000000"/>
            </w:tcBorders>
            <w:vAlign w:val="center"/>
          </w:tcPr>
          <w:p w14:paraId="35E9D197" w14:textId="77777777" w:rsidR="00B00DB7" w:rsidRDefault="00000000">
            <w:pPr>
              <w:jc w:val="center"/>
            </w:pPr>
            <w:r>
              <w:rPr>
                <w:rFonts w:hint="eastAsia"/>
                <w:sz w:val="21"/>
              </w:rPr>
              <w:t>没有温度控制</w:t>
            </w:r>
          </w:p>
        </w:tc>
        <w:tc>
          <w:tcPr>
            <w:tcW w:w="1423" w:type="dxa"/>
            <w:tcBorders>
              <w:top w:val="single" w:sz="2" w:space="0" w:color="000000"/>
              <w:left w:val="single" w:sz="2" w:space="0" w:color="000000"/>
              <w:bottom w:val="single" w:sz="2" w:space="0" w:color="000000"/>
              <w:right w:val="single" w:sz="2" w:space="0" w:color="000000"/>
            </w:tcBorders>
            <w:vAlign w:val="center"/>
          </w:tcPr>
          <w:p w14:paraId="661A6E96" w14:textId="77777777" w:rsidR="00B00DB7" w:rsidRDefault="00000000">
            <w:pPr>
              <w:jc w:val="center"/>
            </w:pPr>
            <w:r>
              <w:rPr>
                <w:rFonts w:hint="eastAsia"/>
                <w:sz w:val="21"/>
              </w:rPr>
              <w:t>建筑物或房屋提供防护使设备免受影响</w:t>
            </w:r>
          </w:p>
        </w:tc>
        <w:tc>
          <w:tcPr>
            <w:tcW w:w="2204" w:type="dxa"/>
            <w:tcBorders>
              <w:top w:val="single" w:sz="2" w:space="0" w:color="000000"/>
              <w:left w:val="single" w:sz="2" w:space="0" w:color="000000"/>
              <w:bottom w:val="single" w:sz="2" w:space="0" w:color="000000"/>
              <w:right w:val="single" w:sz="2" w:space="0" w:color="000000"/>
            </w:tcBorders>
            <w:vAlign w:val="center"/>
          </w:tcPr>
          <w:p w14:paraId="1F115D71" w14:textId="77777777" w:rsidR="00B00DB7" w:rsidRDefault="00000000">
            <w:pPr>
              <w:jc w:val="center"/>
            </w:pPr>
            <w:r>
              <w:rPr>
                <w:rFonts w:hint="eastAsia"/>
                <w:sz w:val="21"/>
              </w:rPr>
              <w:t>凝露不能排除</w:t>
            </w:r>
          </w:p>
        </w:tc>
        <w:tc>
          <w:tcPr>
            <w:tcW w:w="2273" w:type="dxa"/>
            <w:tcBorders>
              <w:top w:val="single" w:sz="2" w:space="0" w:color="000000"/>
              <w:left w:val="single" w:sz="2" w:space="0" w:color="000000"/>
              <w:bottom w:val="single" w:sz="2" w:space="0" w:color="000000"/>
              <w:right w:val="single" w:sz="2" w:space="0" w:color="000000"/>
            </w:tcBorders>
            <w:vAlign w:val="center"/>
          </w:tcPr>
          <w:p w14:paraId="783A6F92" w14:textId="77777777" w:rsidR="00B00DB7" w:rsidRDefault="00000000">
            <w:pPr>
              <w:jc w:val="center"/>
            </w:pPr>
            <w:r>
              <w:rPr>
                <w:rFonts w:hint="eastAsia"/>
                <w:sz w:val="21"/>
              </w:rPr>
              <w:t>采取预防措施使沉积物减到最少</w:t>
            </w:r>
          </w:p>
        </w:tc>
      </w:tr>
      <w:tr w:rsidR="00B00DB7" w14:paraId="065D2FE4" w14:textId="77777777">
        <w:tc>
          <w:tcPr>
            <w:tcW w:w="0" w:type="auto"/>
            <w:vMerge/>
            <w:tcBorders>
              <w:top w:val="single" w:sz="2" w:space="0" w:color="000000"/>
              <w:left w:val="single" w:sz="2" w:space="0" w:color="000000"/>
              <w:bottom w:val="single" w:sz="2" w:space="0" w:color="000000"/>
              <w:right w:val="single" w:sz="2" w:space="0" w:color="000000"/>
            </w:tcBorders>
            <w:vAlign w:val="center"/>
          </w:tcPr>
          <w:p w14:paraId="7CA8FAF6" w14:textId="77777777" w:rsidR="00B00DB7" w:rsidRDefault="00B00DB7">
            <w:pPr>
              <w:widowControl/>
              <w:jc w:val="left"/>
              <w:rPr>
                <w:szCs w:val="24"/>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79B0B842" w14:textId="77777777" w:rsidR="00B00DB7" w:rsidRDefault="00000000">
            <w:pPr>
              <w:jc w:val="center"/>
            </w:pPr>
            <w:r>
              <w:rPr>
                <w:rFonts w:hint="eastAsia"/>
                <w:sz w:val="21"/>
              </w:rPr>
              <w:t>b</w:t>
            </w:r>
          </w:p>
        </w:tc>
        <w:tc>
          <w:tcPr>
            <w:tcW w:w="1423" w:type="dxa"/>
            <w:tcBorders>
              <w:top w:val="single" w:sz="2" w:space="0" w:color="000000"/>
              <w:left w:val="single" w:sz="2" w:space="0" w:color="000000"/>
              <w:bottom w:val="single" w:sz="2" w:space="0" w:color="000000"/>
              <w:right w:val="single" w:sz="2" w:space="0" w:color="000000"/>
            </w:tcBorders>
            <w:vAlign w:val="center"/>
          </w:tcPr>
          <w:p w14:paraId="0B99B6CA" w14:textId="77777777" w:rsidR="00B00DB7" w:rsidRDefault="00000000">
            <w:pPr>
              <w:jc w:val="center"/>
            </w:pPr>
            <w:r>
              <w:rPr>
                <w:rFonts w:hint="eastAsia"/>
                <w:sz w:val="21"/>
              </w:rPr>
              <w:t>温度可控制</w:t>
            </w:r>
          </w:p>
        </w:tc>
        <w:tc>
          <w:tcPr>
            <w:tcW w:w="1423" w:type="dxa"/>
            <w:tcBorders>
              <w:top w:val="single" w:sz="2" w:space="0" w:color="000000"/>
              <w:left w:val="single" w:sz="2" w:space="0" w:color="000000"/>
              <w:bottom w:val="single" w:sz="2" w:space="0" w:color="000000"/>
              <w:right w:val="single" w:sz="2" w:space="0" w:color="000000"/>
            </w:tcBorders>
            <w:vAlign w:val="center"/>
          </w:tcPr>
          <w:p w14:paraId="23060BC5" w14:textId="77777777" w:rsidR="00B00DB7" w:rsidRDefault="00000000">
            <w:pPr>
              <w:jc w:val="center"/>
            </w:pPr>
            <w:r>
              <w:rPr>
                <w:rFonts w:hint="eastAsia"/>
                <w:sz w:val="21"/>
              </w:rPr>
              <w:t>—</w:t>
            </w:r>
          </w:p>
        </w:tc>
        <w:tc>
          <w:tcPr>
            <w:tcW w:w="2204" w:type="dxa"/>
            <w:tcBorders>
              <w:top w:val="single" w:sz="2" w:space="0" w:color="000000"/>
              <w:left w:val="single" w:sz="2" w:space="0" w:color="000000"/>
              <w:bottom w:val="single" w:sz="2" w:space="0" w:color="000000"/>
              <w:right w:val="single" w:sz="2" w:space="0" w:color="000000"/>
            </w:tcBorders>
            <w:vAlign w:val="center"/>
          </w:tcPr>
          <w:p w14:paraId="39FE5ABC" w14:textId="77777777" w:rsidR="00B00DB7" w:rsidRDefault="00000000">
            <w:pPr>
              <w:jc w:val="center"/>
            </w:pPr>
            <w:r>
              <w:rPr>
                <w:rFonts w:hint="eastAsia"/>
                <w:sz w:val="21"/>
              </w:rPr>
              <w:t>—</w:t>
            </w:r>
          </w:p>
        </w:tc>
        <w:tc>
          <w:tcPr>
            <w:tcW w:w="2273" w:type="dxa"/>
            <w:tcBorders>
              <w:top w:val="single" w:sz="2" w:space="0" w:color="000000"/>
              <w:left w:val="single" w:sz="2" w:space="0" w:color="000000"/>
              <w:bottom w:val="single" w:sz="2" w:space="0" w:color="000000"/>
              <w:right w:val="single" w:sz="2" w:space="0" w:color="000000"/>
            </w:tcBorders>
            <w:vAlign w:val="center"/>
          </w:tcPr>
          <w:p w14:paraId="6DEBB3CA" w14:textId="77777777" w:rsidR="00B00DB7" w:rsidRDefault="00000000">
            <w:pPr>
              <w:jc w:val="center"/>
            </w:pPr>
            <w:r>
              <w:rPr>
                <w:rFonts w:hint="eastAsia"/>
                <w:sz w:val="21"/>
              </w:rPr>
              <w:t>无专门预防措施使沉积物减到最少，或设备处在极</w:t>
            </w:r>
            <w:proofErr w:type="gramStart"/>
            <w:r>
              <w:rPr>
                <w:rFonts w:hint="eastAsia"/>
                <w:sz w:val="21"/>
              </w:rPr>
              <w:t>接近尘源的</w:t>
            </w:r>
            <w:proofErr w:type="gramEnd"/>
            <w:r>
              <w:rPr>
                <w:rFonts w:hint="eastAsia"/>
                <w:sz w:val="21"/>
              </w:rPr>
              <w:t>地方</w:t>
            </w:r>
          </w:p>
        </w:tc>
      </w:tr>
      <w:tr w:rsidR="00B00DB7" w14:paraId="2EC60A2A" w14:textId="77777777">
        <w:tc>
          <w:tcPr>
            <w:tcW w:w="1018" w:type="dxa"/>
            <w:vMerge w:val="restart"/>
            <w:tcBorders>
              <w:top w:val="single" w:sz="2" w:space="0" w:color="000000"/>
              <w:left w:val="single" w:sz="2" w:space="0" w:color="000000"/>
              <w:bottom w:val="single" w:sz="2" w:space="0" w:color="000000"/>
              <w:right w:val="single" w:sz="2" w:space="0" w:color="000000"/>
            </w:tcBorders>
            <w:vAlign w:val="center"/>
          </w:tcPr>
          <w:p w14:paraId="4002F9B2" w14:textId="77777777" w:rsidR="00B00DB7" w:rsidRDefault="00000000">
            <w:pPr>
              <w:jc w:val="center"/>
            </w:pPr>
            <w:r>
              <w:rPr>
                <w:rFonts w:hint="eastAsia"/>
                <w:sz w:val="21"/>
              </w:rPr>
              <w:t>2</w:t>
            </w:r>
            <w:r>
              <w:rPr>
                <w:rFonts w:hint="eastAsia"/>
                <w:sz w:val="21"/>
              </w:rPr>
              <w:t>类</w:t>
            </w:r>
          </w:p>
        </w:tc>
        <w:tc>
          <w:tcPr>
            <w:tcW w:w="1019" w:type="dxa"/>
            <w:tcBorders>
              <w:top w:val="single" w:sz="2" w:space="0" w:color="000000"/>
              <w:left w:val="single" w:sz="2" w:space="0" w:color="000000"/>
              <w:bottom w:val="single" w:sz="2" w:space="0" w:color="000000"/>
              <w:right w:val="single" w:sz="2" w:space="0" w:color="000000"/>
            </w:tcBorders>
            <w:vAlign w:val="center"/>
          </w:tcPr>
          <w:p w14:paraId="4D320086" w14:textId="77777777" w:rsidR="00B00DB7" w:rsidRDefault="00000000">
            <w:pPr>
              <w:jc w:val="center"/>
            </w:pPr>
            <w:r>
              <w:rPr>
                <w:rFonts w:hint="eastAsia"/>
                <w:sz w:val="21"/>
              </w:rPr>
              <w:t>a</w:t>
            </w:r>
          </w:p>
        </w:tc>
        <w:tc>
          <w:tcPr>
            <w:tcW w:w="1423" w:type="dxa"/>
            <w:tcBorders>
              <w:top w:val="single" w:sz="2" w:space="0" w:color="000000"/>
              <w:left w:val="single" w:sz="2" w:space="0" w:color="000000"/>
              <w:bottom w:val="single" w:sz="2" w:space="0" w:color="000000"/>
              <w:right w:val="single" w:sz="2" w:space="0" w:color="000000"/>
            </w:tcBorders>
            <w:vAlign w:val="center"/>
          </w:tcPr>
          <w:p w14:paraId="124AECE0" w14:textId="77777777" w:rsidR="00B00DB7" w:rsidRDefault="00000000">
            <w:pPr>
              <w:jc w:val="center"/>
            </w:pPr>
            <w:r>
              <w:rPr>
                <w:rFonts w:hint="eastAsia"/>
                <w:sz w:val="21"/>
              </w:rPr>
              <w:t>没有温度控制</w:t>
            </w:r>
          </w:p>
        </w:tc>
        <w:tc>
          <w:tcPr>
            <w:tcW w:w="1423" w:type="dxa"/>
            <w:tcBorders>
              <w:top w:val="single" w:sz="2" w:space="0" w:color="000000"/>
              <w:left w:val="single" w:sz="2" w:space="0" w:color="000000"/>
              <w:bottom w:val="single" w:sz="2" w:space="0" w:color="000000"/>
              <w:right w:val="single" w:sz="2" w:space="0" w:color="000000"/>
            </w:tcBorders>
            <w:vAlign w:val="center"/>
          </w:tcPr>
          <w:p w14:paraId="5F6DF8D5" w14:textId="77777777" w:rsidR="00B00DB7" w:rsidRDefault="00000000">
            <w:pPr>
              <w:jc w:val="center"/>
            </w:pPr>
            <w:r>
              <w:rPr>
                <w:rFonts w:hint="eastAsia"/>
                <w:sz w:val="21"/>
              </w:rPr>
              <w:t>建筑物或房屋提供防护使设备免受影响</w:t>
            </w:r>
          </w:p>
        </w:tc>
        <w:tc>
          <w:tcPr>
            <w:tcW w:w="2204" w:type="dxa"/>
            <w:tcBorders>
              <w:top w:val="single" w:sz="2" w:space="0" w:color="000000"/>
              <w:left w:val="single" w:sz="2" w:space="0" w:color="000000"/>
              <w:bottom w:val="single" w:sz="2" w:space="0" w:color="000000"/>
              <w:right w:val="single" w:sz="2" w:space="0" w:color="000000"/>
            </w:tcBorders>
            <w:vAlign w:val="center"/>
          </w:tcPr>
          <w:p w14:paraId="18EFEAB5" w14:textId="77777777" w:rsidR="00B00DB7" w:rsidRDefault="00000000">
            <w:pPr>
              <w:jc w:val="center"/>
            </w:pPr>
            <w:r>
              <w:rPr>
                <w:rFonts w:hint="eastAsia"/>
                <w:sz w:val="21"/>
              </w:rPr>
              <w:t>凝露不能排除</w:t>
            </w:r>
          </w:p>
        </w:tc>
        <w:tc>
          <w:tcPr>
            <w:tcW w:w="2273" w:type="dxa"/>
            <w:tcBorders>
              <w:top w:val="single" w:sz="2" w:space="0" w:color="000000"/>
              <w:left w:val="single" w:sz="2" w:space="0" w:color="000000"/>
              <w:bottom w:val="single" w:sz="2" w:space="0" w:color="000000"/>
              <w:right w:val="single" w:sz="2" w:space="0" w:color="000000"/>
            </w:tcBorders>
            <w:vAlign w:val="center"/>
          </w:tcPr>
          <w:p w14:paraId="470BE7BD" w14:textId="77777777" w:rsidR="00B00DB7" w:rsidRDefault="00000000">
            <w:pPr>
              <w:jc w:val="center"/>
            </w:pPr>
            <w:r>
              <w:rPr>
                <w:rFonts w:hint="eastAsia"/>
                <w:sz w:val="21"/>
              </w:rPr>
              <w:t>无专门预防措施使沉积物减到最少，或设备处在极</w:t>
            </w:r>
            <w:proofErr w:type="gramStart"/>
            <w:r>
              <w:rPr>
                <w:rFonts w:hint="eastAsia"/>
                <w:sz w:val="21"/>
              </w:rPr>
              <w:t>接近尘源的</w:t>
            </w:r>
            <w:proofErr w:type="gramEnd"/>
            <w:r>
              <w:rPr>
                <w:rFonts w:hint="eastAsia"/>
                <w:sz w:val="21"/>
              </w:rPr>
              <w:t>地方</w:t>
            </w:r>
          </w:p>
        </w:tc>
      </w:tr>
      <w:tr w:rsidR="00B00DB7" w14:paraId="672B35F6" w14:textId="77777777">
        <w:tc>
          <w:tcPr>
            <w:tcW w:w="0" w:type="auto"/>
            <w:vMerge/>
            <w:tcBorders>
              <w:top w:val="single" w:sz="2" w:space="0" w:color="000000"/>
              <w:left w:val="single" w:sz="2" w:space="0" w:color="000000"/>
              <w:bottom w:val="single" w:sz="2" w:space="0" w:color="000000"/>
              <w:right w:val="single" w:sz="2" w:space="0" w:color="000000"/>
            </w:tcBorders>
            <w:vAlign w:val="center"/>
          </w:tcPr>
          <w:p w14:paraId="7E80B230" w14:textId="77777777" w:rsidR="00B00DB7" w:rsidRDefault="00B00DB7">
            <w:pPr>
              <w:widowControl/>
              <w:jc w:val="left"/>
              <w:rPr>
                <w:szCs w:val="24"/>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2A40DFD6" w14:textId="77777777" w:rsidR="00B00DB7" w:rsidRDefault="00000000">
            <w:pPr>
              <w:jc w:val="center"/>
            </w:pPr>
            <w:r>
              <w:rPr>
                <w:rFonts w:hint="eastAsia"/>
                <w:sz w:val="21"/>
              </w:rPr>
              <w:t>b</w:t>
            </w:r>
          </w:p>
        </w:tc>
        <w:tc>
          <w:tcPr>
            <w:tcW w:w="1423" w:type="dxa"/>
            <w:tcBorders>
              <w:top w:val="single" w:sz="2" w:space="0" w:color="000000"/>
              <w:left w:val="single" w:sz="2" w:space="0" w:color="000000"/>
              <w:bottom w:val="single" w:sz="2" w:space="0" w:color="000000"/>
              <w:right w:val="single" w:sz="2" w:space="0" w:color="000000"/>
            </w:tcBorders>
            <w:vAlign w:val="center"/>
          </w:tcPr>
          <w:p w14:paraId="15D7ED16" w14:textId="77777777" w:rsidR="00B00DB7" w:rsidRDefault="00000000">
            <w:pPr>
              <w:jc w:val="center"/>
            </w:pPr>
            <w:r>
              <w:rPr>
                <w:rFonts w:hint="eastAsia"/>
                <w:sz w:val="21"/>
              </w:rPr>
              <w:t>没有温度控制</w:t>
            </w:r>
          </w:p>
        </w:tc>
        <w:tc>
          <w:tcPr>
            <w:tcW w:w="1423" w:type="dxa"/>
            <w:tcBorders>
              <w:top w:val="single" w:sz="2" w:space="0" w:color="000000"/>
              <w:left w:val="single" w:sz="2" w:space="0" w:color="000000"/>
              <w:bottom w:val="single" w:sz="2" w:space="0" w:color="000000"/>
              <w:right w:val="single" w:sz="2" w:space="0" w:color="000000"/>
            </w:tcBorders>
            <w:vAlign w:val="center"/>
          </w:tcPr>
          <w:p w14:paraId="17AF1E64" w14:textId="77777777" w:rsidR="00B00DB7" w:rsidRDefault="00000000">
            <w:pPr>
              <w:jc w:val="center"/>
            </w:pPr>
            <w:r>
              <w:rPr>
                <w:rFonts w:hint="eastAsia"/>
                <w:sz w:val="21"/>
              </w:rPr>
              <w:t>建筑物或房屋使设备免受影响的防护很少</w:t>
            </w:r>
          </w:p>
        </w:tc>
        <w:tc>
          <w:tcPr>
            <w:tcW w:w="2204" w:type="dxa"/>
            <w:tcBorders>
              <w:top w:val="single" w:sz="2" w:space="0" w:color="000000"/>
              <w:left w:val="single" w:sz="2" w:space="0" w:color="000000"/>
              <w:bottom w:val="single" w:sz="2" w:space="0" w:color="000000"/>
              <w:right w:val="single" w:sz="2" w:space="0" w:color="000000"/>
            </w:tcBorders>
            <w:vAlign w:val="center"/>
          </w:tcPr>
          <w:p w14:paraId="342D9B0D" w14:textId="77777777" w:rsidR="00B00DB7" w:rsidRDefault="00000000">
            <w:pPr>
              <w:jc w:val="center"/>
            </w:pPr>
            <w:r>
              <w:rPr>
                <w:rFonts w:hint="eastAsia"/>
                <w:sz w:val="21"/>
              </w:rPr>
              <w:t>凝露可能频繁出现</w:t>
            </w:r>
          </w:p>
        </w:tc>
        <w:tc>
          <w:tcPr>
            <w:tcW w:w="2273" w:type="dxa"/>
            <w:tcBorders>
              <w:top w:val="single" w:sz="2" w:space="0" w:color="000000"/>
              <w:left w:val="single" w:sz="2" w:space="0" w:color="000000"/>
              <w:bottom w:val="single" w:sz="2" w:space="0" w:color="000000"/>
              <w:right w:val="single" w:sz="2" w:space="0" w:color="000000"/>
            </w:tcBorders>
            <w:vAlign w:val="center"/>
          </w:tcPr>
          <w:p w14:paraId="54A20874" w14:textId="77777777" w:rsidR="00B00DB7" w:rsidRDefault="00000000">
            <w:pPr>
              <w:jc w:val="center"/>
            </w:pPr>
            <w:r>
              <w:rPr>
                <w:rFonts w:hint="eastAsia"/>
                <w:sz w:val="21"/>
              </w:rPr>
              <w:t>采取预防措施使沉积物减到最少</w:t>
            </w:r>
          </w:p>
        </w:tc>
      </w:tr>
      <w:tr w:rsidR="00B00DB7" w14:paraId="366A6AC8" w14:textId="77777777">
        <w:tc>
          <w:tcPr>
            <w:tcW w:w="0" w:type="auto"/>
            <w:vMerge/>
            <w:tcBorders>
              <w:top w:val="single" w:sz="2" w:space="0" w:color="000000"/>
              <w:left w:val="single" w:sz="2" w:space="0" w:color="000000"/>
              <w:bottom w:val="single" w:sz="2" w:space="0" w:color="000000"/>
              <w:right w:val="single" w:sz="2" w:space="0" w:color="000000"/>
            </w:tcBorders>
            <w:vAlign w:val="center"/>
          </w:tcPr>
          <w:p w14:paraId="7FC206D0" w14:textId="77777777" w:rsidR="00B00DB7" w:rsidRDefault="00B00DB7">
            <w:pPr>
              <w:widowControl/>
              <w:jc w:val="left"/>
              <w:rPr>
                <w:szCs w:val="24"/>
              </w:rPr>
            </w:pPr>
          </w:p>
        </w:tc>
        <w:tc>
          <w:tcPr>
            <w:tcW w:w="1019" w:type="dxa"/>
            <w:tcBorders>
              <w:top w:val="single" w:sz="2" w:space="0" w:color="000000"/>
              <w:left w:val="single" w:sz="2" w:space="0" w:color="000000"/>
              <w:bottom w:val="single" w:sz="2" w:space="0" w:color="000000"/>
              <w:right w:val="single" w:sz="2" w:space="0" w:color="000000"/>
            </w:tcBorders>
            <w:vAlign w:val="center"/>
          </w:tcPr>
          <w:p w14:paraId="518C61B5" w14:textId="77777777" w:rsidR="00B00DB7" w:rsidRDefault="00000000">
            <w:pPr>
              <w:jc w:val="center"/>
            </w:pPr>
            <w:r>
              <w:rPr>
                <w:rFonts w:hint="eastAsia"/>
                <w:sz w:val="21"/>
              </w:rPr>
              <w:t>c</w:t>
            </w:r>
          </w:p>
        </w:tc>
        <w:tc>
          <w:tcPr>
            <w:tcW w:w="1423" w:type="dxa"/>
            <w:tcBorders>
              <w:top w:val="single" w:sz="2" w:space="0" w:color="000000"/>
              <w:left w:val="single" w:sz="2" w:space="0" w:color="000000"/>
              <w:bottom w:val="single" w:sz="2" w:space="0" w:color="000000"/>
              <w:right w:val="single" w:sz="2" w:space="0" w:color="000000"/>
            </w:tcBorders>
            <w:vAlign w:val="center"/>
          </w:tcPr>
          <w:p w14:paraId="118D383F" w14:textId="77777777" w:rsidR="00B00DB7" w:rsidRDefault="00000000">
            <w:pPr>
              <w:jc w:val="center"/>
            </w:pPr>
            <w:r>
              <w:rPr>
                <w:rFonts w:hint="eastAsia"/>
                <w:sz w:val="21"/>
              </w:rPr>
              <w:t>没有温度控制</w:t>
            </w:r>
          </w:p>
        </w:tc>
        <w:tc>
          <w:tcPr>
            <w:tcW w:w="1423" w:type="dxa"/>
            <w:tcBorders>
              <w:top w:val="single" w:sz="2" w:space="0" w:color="000000"/>
              <w:left w:val="single" w:sz="2" w:space="0" w:color="000000"/>
              <w:bottom w:val="single" w:sz="2" w:space="0" w:color="000000"/>
              <w:right w:val="single" w:sz="2" w:space="0" w:color="000000"/>
            </w:tcBorders>
            <w:vAlign w:val="center"/>
          </w:tcPr>
          <w:p w14:paraId="71B3740B" w14:textId="77777777" w:rsidR="00B00DB7" w:rsidRDefault="00000000">
            <w:pPr>
              <w:jc w:val="center"/>
            </w:pPr>
            <w:r>
              <w:rPr>
                <w:rFonts w:hint="eastAsia"/>
                <w:sz w:val="21"/>
              </w:rPr>
              <w:t>建筑物或房屋使设备免受影响的防护很少</w:t>
            </w:r>
          </w:p>
        </w:tc>
        <w:tc>
          <w:tcPr>
            <w:tcW w:w="2204" w:type="dxa"/>
            <w:tcBorders>
              <w:top w:val="single" w:sz="2" w:space="0" w:color="000000"/>
              <w:left w:val="single" w:sz="2" w:space="0" w:color="000000"/>
              <w:bottom w:val="single" w:sz="2" w:space="0" w:color="000000"/>
              <w:right w:val="single" w:sz="2" w:space="0" w:color="000000"/>
            </w:tcBorders>
            <w:vAlign w:val="center"/>
          </w:tcPr>
          <w:p w14:paraId="0C77BBD1" w14:textId="77777777" w:rsidR="00B00DB7" w:rsidRDefault="00000000">
            <w:pPr>
              <w:jc w:val="center"/>
            </w:pPr>
            <w:r>
              <w:rPr>
                <w:rFonts w:hint="eastAsia"/>
                <w:sz w:val="21"/>
              </w:rPr>
              <w:t>凝露可能频繁出现</w:t>
            </w:r>
          </w:p>
        </w:tc>
        <w:tc>
          <w:tcPr>
            <w:tcW w:w="2273" w:type="dxa"/>
            <w:tcBorders>
              <w:top w:val="single" w:sz="2" w:space="0" w:color="000000"/>
              <w:left w:val="single" w:sz="2" w:space="0" w:color="000000"/>
              <w:bottom w:val="single" w:sz="2" w:space="0" w:color="000000"/>
              <w:right w:val="single" w:sz="2" w:space="0" w:color="000000"/>
            </w:tcBorders>
            <w:vAlign w:val="center"/>
          </w:tcPr>
          <w:p w14:paraId="686CF11A" w14:textId="77777777" w:rsidR="00B00DB7" w:rsidRDefault="00000000">
            <w:pPr>
              <w:jc w:val="center"/>
            </w:pPr>
            <w:r>
              <w:rPr>
                <w:rFonts w:hint="eastAsia"/>
                <w:sz w:val="21"/>
              </w:rPr>
              <w:t>无专门预防措施使沉积物减到最少，或设备处在极</w:t>
            </w:r>
            <w:proofErr w:type="gramStart"/>
            <w:r>
              <w:rPr>
                <w:rFonts w:hint="eastAsia"/>
                <w:sz w:val="21"/>
              </w:rPr>
              <w:t>接近尘源的</w:t>
            </w:r>
            <w:proofErr w:type="gramEnd"/>
            <w:r>
              <w:rPr>
                <w:rFonts w:hint="eastAsia"/>
                <w:sz w:val="21"/>
              </w:rPr>
              <w:t>地方</w:t>
            </w:r>
          </w:p>
        </w:tc>
      </w:tr>
    </w:tbl>
    <w:p w14:paraId="2B8F498F" w14:textId="77777777" w:rsidR="00B00DB7" w:rsidRDefault="00000000">
      <w:pPr>
        <w:rPr>
          <w:rFonts w:ascii="Times New Roman" w:hAnsi="Times New Roman"/>
          <w:color w:val="000000"/>
        </w:rPr>
      </w:pPr>
      <w:r>
        <w:rPr>
          <w:rFonts w:ascii="Times New Roman" w:hAnsi="Times New Roman" w:hint="eastAsia"/>
          <w:color w:val="000000"/>
        </w:rPr>
        <w:br w:type="page"/>
      </w:r>
    </w:p>
    <w:p w14:paraId="3305B0B1" w14:textId="77777777" w:rsidR="00B00DB7" w:rsidRDefault="00000000">
      <w:pPr>
        <w:pStyle w:val="1"/>
        <w:keepNext w:val="0"/>
        <w:keepLines w:val="0"/>
        <w:adjustRightInd/>
        <w:spacing w:after="0"/>
        <w:rPr>
          <w:rFonts w:ascii="Times New Roman" w:hAnsi="Times New Roman"/>
          <w:color w:val="000000"/>
        </w:rPr>
      </w:pPr>
      <w:bookmarkStart w:id="105" w:name="_Toc29842"/>
      <w:bookmarkStart w:id="106" w:name="_Toc44"/>
      <w:bookmarkStart w:id="107" w:name="_Toc20688"/>
      <w:r>
        <w:rPr>
          <w:rFonts w:ascii="Times New Roman" w:hAnsi="Times New Roman" w:hint="eastAsia"/>
          <w:color w:val="000000"/>
        </w:rPr>
        <w:lastRenderedPageBreak/>
        <w:t>附录</w:t>
      </w:r>
      <w:r>
        <w:rPr>
          <w:rFonts w:ascii="Times New Roman" w:hAnsi="Times New Roman" w:hint="eastAsia"/>
          <w:color w:val="000000"/>
        </w:rPr>
        <w:t xml:space="preserve">D </w:t>
      </w:r>
      <w:r>
        <w:rPr>
          <w:rFonts w:ascii="Times New Roman" w:hAnsi="Times New Roman" w:hint="eastAsia"/>
          <w:color w:val="000000"/>
        </w:rPr>
        <w:t>连接装置插头布置及安全回路</w:t>
      </w:r>
      <w:bookmarkEnd w:id="104"/>
      <w:bookmarkEnd w:id="105"/>
      <w:bookmarkEnd w:id="106"/>
      <w:bookmarkEnd w:id="107"/>
    </w:p>
    <w:p w14:paraId="7C58438C" w14:textId="77777777" w:rsidR="00B00DB7" w:rsidRDefault="00000000">
      <w:pPr>
        <w:spacing w:beforeLines="50" w:before="120" w:afterLines="50" w:after="120"/>
        <w:jc w:val="center"/>
        <w:rPr>
          <w:rFonts w:ascii="黑体" w:eastAsia="黑体" w:hAnsi="黑体" w:hint="eastAsia"/>
        </w:rPr>
      </w:pPr>
      <w:r>
        <w:rPr>
          <w:rFonts w:ascii="黑体" w:eastAsia="黑体" w:hAnsi="黑体"/>
          <w:noProof/>
        </w:rPr>
        <w:drawing>
          <wp:inline distT="0" distB="0" distL="114300" distR="114300" wp14:anchorId="7D365C11" wp14:editId="2976FB01">
            <wp:extent cx="4233545" cy="1979295"/>
            <wp:effectExtent l="0" t="0" r="8255"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8">
                      <a:lum contrast="60000"/>
                    </a:blip>
                    <a:stretch>
                      <a:fillRect/>
                    </a:stretch>
                  </pic:blipFill>
                  <pic:spPr>
                    <a:xfrm>
                      <a:off x="0" y="0"/>
                      <a:ext cx="4233545" cy="1979295"/>
                    </a:xfrm>
                    <a:prstGeom prst="rect">
                      <a:avLst/>
                    </a:prstGeom>
                    <a:noFill/>
                    <a:ln>
                      <a:noFill/>
                    </a:ln>
                  </pic:spPr>
                </pic:pic>
              </a:graphicData>
            </a:graphic>
          </wp:inline>
        </w:drawing>
      </w:r>
    </w:p>
    <w:p w14:paraId="61245C7A" w14:textId="77777777" w:rsidR="00B00DB7" w:rsidRDefault="00000000">
      <w:pPr>
        <w:spacing w:line="360" w:lineRule="auto"/>
        <w:jc w:val="center"/>
        <w:rPr>
          <w:rFonts w:ascii="黑体" w:eastAsia="黑体" w:hAnsi="黑体" w:hint="eastAsia"/>
        </w:rPr>
      </w:pPr>
      <w:r>
        <w:rPr>
          <w:rFonts w:ascii="黑体" w:eastAsia="黑体" w:hAnsi="黑体" w:hint="eastAsia"/>
        </w:rPr>
        <w:t>图C.1  插头触头布置示意图</w:t>
      </w:r>
    </w:p>
    <w:p w14:paraId="4AFC8FA8" w14:textId="77777777" w:rsidR="00B00DB7" w:rsidRDefault="00000000">
      <w:pPr>
        <w:spacing w:line="360" w:lineRule="auto"/>
        <w:rPr>
          <w:rFonts w:ascii="黑体" w:eastAsia="黑体" w:hAnsi="黑体" w:hint="eastAsia"/>
        </w:rPr>
      </w:pPr>
      <w:r>
        <w:rPr>
          <w:rFonts w:ascii="Times New Roman" w:hAnsi="Times New Roman" w:hint="eastAsia"/>
        </w:rPr>
        <w:t>单接口安全回路控制示意图如图</w:t>
      </w:r>
      <w:r>
        <w:rPr>
          <w:rFonts w:ascii="Times New Roman" w:hAnsi="Times New Roman" w:hint="eastAsia"/>
        </w:rPr>
        <w:t>C.2</w:t>
      </w:r>
    </w:p>
    <w:p w14:paraId="562009FB" w14:textId="77777777" w:rsidR="00B00DB7" w:rsidRDefault="00000000">
      <w:pPr>
        <w:spacing w:line="360" w:lineRule="auto"/>
      </w:pPr>
      <w:r>
        <w:rPr>
          <w:noProof/>
        </w:rPr>
        <w:drawing>
          <wp:inline distT="0" distB="0" distL="114300" distR="114300" wp14:anchorId="54880E88" wp14:editId="02A267F4">
            <wp:extent cx="5272405" cy="1695450"/>
            <wp:effectExtent l="0" t="0" r="10795" b="635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9"/>
                    <a:stretch>
                      <a:fillRect/>
                    </a:stretch>
                  </pic:blipFill>
                  <pic:spPr>
                    <a:xfrm>
                      <a:off x="0" y="0"/>
                      <a:ext cx="5272405" cy="1695450"/>
                    </a:xfrm>
                    <a:prstGeom prst="rect">
                      <a:avLst/>
                    </a:prstGeom>
                    <a:noFill/>
                    <a:ln>
                      <a:noFill/>
                    </a:ln>
                  </pic:spPr>
                </pic:pic>
              </a:graphicData>
            </a:graphic>
          </wp:inline>
        </w:drawing>
      </w:r>
    </w:p>
    <w:p w14:paraId="262BB5E1" w14:textId="77777777" w:rsidR="00B00DB7" w:rsidRDefault="00000000">
      <w:pPr>
        <w:spacing w:line="360" w:lineRule="auto"/>
        <w:jc w:val="center"/>
      </w:pPr>
      <w:r>
        <w:rPr>
          <w:rFonts w:ascii="黑体" w:eastAsia="黑体" w:hAnsi="黑体" w:hint="eastAsia"/>
        </w:rPr>
        <w:t>图C.2  单接口安全回路示意图</w:t>
      </w:r>
    </w:p>
    <w:p w14:paraId="75ED4E74" w14:textId="77777777" w:rsidR="00B00DB7" w:rsidRDefault="00000000">
      <w:r>
        <w:rPr>
          <w:rFonts w:hint="eastAsia"/>
        </w:rPr>
        <w:t>标引序号说明：</w:t>
      </w:r>
      <w:r>
        <w:rPr>
          <w:rFonts w:hint="eastAsia"/>
        </w:rPr>
        <w:t xml:space="preserve"> </w:t>
      </w:r>
    </w:p>
    <w:p w14:paraId="2BE7B08D" w14:textId="77777777" w:rsidR="00B00DB7" w:rsidRDefault="00000000">
      <w:r>
        <w:rPr>
          <w:rFonts w:hint="eastAsia"/>
        </w:rPr>
        <w:t>1</w:t>
      </w:r>
      <w:r>
        <w:rPr>
          <w:rFonts w:hint="eastAsia"/>
        </w:rPr>
        <w:t>——</w:t>
      </w:r>
      <w:proofErr w:type="gramStart"/>
      <w:r>
        <w:rPr>
          <w:rFonts w:hint="eastAsia"/>
        </w:rPr>
        <w:t>岸方控制回路</w:t>
      </w:r>
      <w:proofErr w:type="gramEnd"/>
      <w:r>
        <w:rPr>
          <w:rFonts w:hint="eastAsia"/>
        </w:rPr>
        <w:t>；</w:t>
      </w:r>
      <w:r>
        <w:rPr>
          <w:rFonts w:hint="eastAsia"/>
        </w:rPr>
        <w:t xml:space="preserve"> </w:t>
      </w:r>
    </w:p>
    <w:p w14:paraId="726CE72A" w14:textId="77777777" w:rsidR="00B00DB7" w:rsidRDefault="00000000">
      <w:r>
        <w:rPr>
          <w:rFonts w:hint="eastAsia"/>
        </w:rPr>
        <w:t>2</w:t>
      </w:r>
      <w:r>
        <w:rPr>
          <w:rFonts w:hint="eastAsia"/>
        </w:rPr>
        <w:t>——输出断路器欠压保护；</w:t>
      </w:r>
      <w:r>
        <w:rPr>
          <w:rFonts w:hint="eastAsia"/>
        </w:rPr>
        <w:t xml:space="preserve"> </w:t>
      </w:r>
    </w:p>
    <w:p w14:paraId="56ED1D35" w14:textId="77777777" w:rsidR="00B00DB7" w:rsidRDefault="00000000">
      <w:r>
        <w:rPr>
          <w:rFonts w:hint="eastAsia"/>
        </w:rPr>
        <w:t>3</w:t>
      </w:r>
      <w:r>
        <w:rPr>
          <w:rFonts w:hint="eastAsia"/>
        </w:rPr>
        <w:t>——岸上安全保护回路；</w:t>
      </w:r>
      <w:r>
        <w:rPr>
          <w:rFonts w:hint="eastAsia"/>
        </w:rPr>
        <w:t xml:space="preserve"> </w:t>
      </w:r>
    </w:p>
    <w:p w14:paraId="61866A45" w14:textId="77777777" w:rsidR="00B00DB7" w:rsidRDefault="00000000">
      <w:r>
        <w:rPr>
          <w:rFonts w:hint="eastAsia"/>
        </w:rPr>
        <w:t>4</w:t>
      </w:r>
      <w:r>
        <w:rPr>
          <w:rFonts w:hint="eastAsia"/>
        </w:rPr>
        <w:t>——岸上紧急停止装置（触点）；</w:t>
      </w:r>
      <w:r>
        <w:rPr>
          <w:rFonts w:hint="eastAsia"/>
        </w:rPr>
        <w:t xml:space="preserve"> </w:t>
      </w:r>
    </w:p>
    <w:p w14:paraId="7CA7C81B" w14:textId="77777777" w:rsidR="00B00DB7" w:rsidRDefault="00000000">
      <w:r>
        <w:rPr>
          <w:rFonts w:hint="eastAsia"/>
        </w:rPr>
        <w:t>5</w:t>
      </w:r>
      <w:r>
        <w:rPr>
          <w:rFonts w:hint="eastAsia"/>
        </w:rPr>
        <w:t>——船上紧急停止装置（触点）；</w:t>
      </w:r>
      <w:r>
        <w:rPr>
          <w:rFonts w:hint="eastAsia"/>
        </w:rPr>
        <w:t xml:space="preserve"> </w:t>
      </w:r>
    </w:p>
    <w:p w14:paraId="4BB4BB5A" w14:textId="77777777" w:rsidR="00B00DB7" w:rsidRDefault="00000000">
      <w:r>
        <w:rPr>
          <w:rFonts w:hint="eastAsia"/>
        </w:rPr>
        <w:t>6</w:t>
      </w:r>
      <w:r>
        <w:rPr>
          <w:rFonts w:hint="eastAsia"/>
        </w:rPr>
        <w:t>——岸上紧急停止装置（开关、手动、两组）；</w:t>
      </w:r>
      <w:r>
        <w:rPr>
          <w:rFonts w:hint="eastAsia"/>
        </w:rPr>
        <w:t xml:space="preserve"> </w:t>
      </w:r>
    </w:p>
    <w:p w14:paraId="6F845C29" w14:textId="77777777" w:rsidR="00B00DB7" w:rsidRDefault="00000000">
      <w:r>
        <w:rPr>
          <w:rFonts w:hint="eastAsia"/>
        </w:rPr>
        <w:t>7</w:t>
      </w:r>
      <w:r>
        <w:rPr>
          <w:rFonts w:hint="eastAsia"/>
        </w:rPr>
        <w:t>——船上紧急停止装置（开关、手动、两组）；</w:t>
      </w:r>
      <w:r>
        <w:rPr>
          <w:rFonts w:hint="eastAsia"/>
        </w:rPr>
        <w:t xml:space="preserve"> </w:t>
      </w:r>
    </w:p>
    <w:p w14:paraId="43D08363" w14:textId="77777777" w:rsidR="00B00DB7" w:rsidRDefault="00000000">
      <w:r>
        <w:rPr>
          <w:rFonts w:hint="eastAsia"/>
        </w:rPr>
        <w:t>ES1</w:t>
      </w:r>
      <w:r>
        <w:rPr>
          <w:rFonts w:hint="eastAsia"/>
        </w:rPr>
        <w:t>——紧急停止触头；</w:t>
      </w:r>
      <w:r>
        <w:rPr>
          <w:rFonts w:hint="eastAsia"/>
        </w:rPr>
        <w:t xml:space="preserve"> </w:t>
      </w:r>
    </w:p>
    <w:p w14:paraId="314D356C" w14:textId="77777777" w:rsidR="00B00DB7" w:rsidRDefault="00000000">
      <w:r>
        <w:rPr>
          <w:rFonts w:hint="eastAsia"/>
        </w:rPr>
        <w:t>ES2</w:t>
      </w:r>
      <w:r>
        <w:rPr>
          <w:rFonts w:hint="eastAsia"/>
        </w:rPr>
        <w:t>——紧急停止触头。</w:t>
      </w:r>
    </w:p>
    <w:p w14:paraId="7A073C82" w14:textId="77777777" w:rsidR="00B00DB7" w:rsidRDefault="00B00DB7">
      <w:pPr>
        <w:spacing w:line="360" w:lineRule="auto"/>
        <w:rPr>
          <w:rFonts w:ascii="Times New Roman" w:hAnsi="Times New Roman"/>
        </w:rPr>
      </w:pPr>
    </w:p>
    <w:p w14:paraId="02A943FC" w14:textId="77777777" w:rsidR="00B00DB7" w:rsidRDefault="00000000">
      <w:pPr>
        <w:spacing w:line="360" w:lineRule="auto"/>
        <w:rPr>
          <w:rFonts w:ascii="Times New Roman" w:hAnsi="Times New Roman"/>
        </w:rPr>
      </w:pPr>
      <w:r>
        <w:rPr>
          <w:rFonts w:ascii="Times New Roman" w:hAnsi="Times New Roman" w:hint="eastAsia"/>
        </w:rPr>
        <w:lastRenderedPageBreak/>
        <w:t>多接口安全回路控制示意图如图</w:t>
      </w:r>
      <w:r>
        <w:rPr>
          <w:rFonts w:ascii="Times New Roman" w:hAnsi="Times New Roman" w:hint="eastAsia"/>
        </w:rPr>
        <w:t>C.3</w:t>
      </w:r>
    </w:p>
    <w:p w14:paraId="32A1DEA8" w14:textId="77777777" w:rsidR="00B00DB7" w:rsidRDefault="00000000">
      <w:pPr>
        <w:spacing w:line="360" w:lineRule="auto"/>
      </w:pPr>
      <w:r>
        <w:rPr>
          <w:noProof/>
        </w:rPr>
        <w:drawing>
          <wp:inline distT="0" distB="0" distL="114300" distR="114300" wp14:anchorId="2B7AA860" wp14:editId="1B9A2F37">
            <wp:extent cx="5271135" cy="5017770"/>
            <wp:effectExtent l="0" t="0" r="12065"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0"/>
                    <a:stretch>
                      <a:fillRect/>
                    </a:stretch>
                  </pic:blipFill>
                  <pic:spPr>
                    <a:xfrm>
                      <a:off x="0" y="0"/>
                      <a:ext cx="5271135" cy="5017770"/>
                    </a:xfrm>
                    <a:prstGeom prst="rect">
                      <a:avLst/>
                    </a:prstGeom>
                    <a:noFill/>
                    <a:ln>
                      <a:noFill/>
                    </a:ln>
                  </pic:spPr>
                </pic:pic>
              </a:graphicData>
            </a:graphic>
          </wp:inline>
        </w:drawing>
      </w:r>
    </w:p>
    <w:p w14:paraId="06E7B126" w14:textId="77777777" w:rsidR="00B00DB7" w:rsidRDefault="00000000">
      <w:pPr>
        <w:spacing w:line="360" w:lineRule="auto"/>
        <w:jc w:val="center"/>
      </w:pPr>
      <w:r>
        <w:rPr>
          <w:rFonts w:ascii="黑体" w:eastAsia="黑体" w:hAnsi="黑体" w:hint="eastAsia"/>
        </w:rPr>
        <w:t>图C.3  多接口安全回路示意图</w:t>
      </w:r>
    </w:p>
    <w:p w14:paraId="0183A852" w14:textId="77777777" w:rsidR="00B00DB7" w:rsidRDefault="00B00DB7">
      <w:pPr>
        <w:spacing w:line="360" w:lineRule="auto"/>
      </w:pPr>
    </w:p>
    <w:p w14:paraId="32DCF708" w14:textId="77777777" w:rsidR="00B00DB7" w:rsidRDefault="00000000">
      <w:r>
        <w:rPr>
          <w:rFonts w:hint="eastAsia"/>
        </w:rPr>
        <w:t>标引序号说明：</w:t>
      </w:r>
      <w:r>
        <w:rPr>
          <w:rFonts w:hint="eastAsia"/>
        </w:rPr>
        <w:t xml:space="preserve"> </w:t>
      </w:r>
    </w:p>
    <w:p w14:paraId="61FDABF2" w14:textId="77777777" w:rsidR="00B00DB7" w:rsidRDefault="00000000">
      <w:r>
        <w:rPr>
          <w:rFonts w:hint="eastAsia"/>
        </w:rPr>
        <w:t>1</w:t>
      </w:r>
      <w:r>
        <w:rPr>
          <w:rFonts w:hint="eastAsia"/>
        </w:rPr>
        <w:t>——</w:t>
      </w:r>
      <w:proofErr w:type="gramStart"/>
      <w:r>
        <w:rPr>
          <w:rFonts w:hint="eastAsia"/>
        </w:rPr>
        <w:t>岸方控制回路</w:t>
      </w:r>
      <w:proofErr w:type="gramEnd"/>
      <w:r>
        <w:rPr>
          <w:rFonts w:hint="eastAsia"/>
        </w:rPr>
        <w:t>；</w:t>
      </w:r>
      <w:r>
        <w:rPr>
          <w:rFonts w:hint="eastAsia"/>
        </w:rPr>
        <w:t xml:space="preserve"> </w:t>
      </w:r>
    </w:p>
    <w:p w14:paraId="5BBA578A" w14:textId="77777777" w:rsidR="00B00DB7" w:rsidRDefault="00000000">
      <w:r>
        <w:rPr>
          <w:rFonts w:hint="eastAsia"/>
        </w:rPr>
        <w:t>2</w:t>
      </w:r>
      <w:r>
        <w:rPr>
          <w:rFonts w:hint="eastAsia"/>
        </w:rPr>
        <w:t>——船方控制回路；</w:t>
      </w:r>
      <w:r>
        <w:rPr>
          <w:rFonts w:hint="eastAsia"/>
        </w:rPr>
        <w:t xml:space="preserve"> </w:t>
      </w:r>
    </w:p>
    <w:p w14:paraId="16BD2B97" w14:textId="77777777" w:rsidR="00B00DB7" w:rsidRDefault="00000000">
      <w:r>
        <w:rPr>
          <w:rFonts w:hint="eastAsia"/>
        </w:rPr>
        <w:t>3</w:t>
      </w:r>
      <w:r>
        <w:rPr>
          <w:rFonts w:hint="eastAsia"/>
        </w:rPr>
        <w:t>——输出断路器欠压保护；</w:t>
      </w:r>
      <w:r>
        <w:rPr>
          <w:rFonts w:hint="eastAsia"/>
        </w:rPr>
        <w:t xml:space="preserve"> </w:t>
      </w:r>
    </w:p>
    <w:p w14:paraId="723E0D41" w14:textId="77777777" w:rsidR="00B00DB7" w:rsidRDefault="00000000">
      <w:r>
        <w:rPr>
          <w:rFonts w:hint="eastAsia"/>
        </w:rPr>
        <w:t>4</w:t>
      </w:r>
      <w:r>
        <w:rPr>
          <w:rFonts w:hint="eastAsia"/>
        </w:rPr>
        <w:t>——岸上安全保护回路；</w:t>
      </w:r>
      <w:r>
        <w:rPr>
          <w:rFonts w:hint="eastAsia"/>
        </w:rPr>
        <w:t xml:space="preserve"> </w:t>
      </w:r>
    </w:p>
    <w:p w14:paraId="518F68CE" w14:textId="77777777" w:rsidR="00B00DB7" w:rsidRDefault="00000000">
      <w:r>
        <w:rPr>
          <w:rFonts w:hint="eastAsia"/>
        </w:rPr>
        <w:t>5</w:t>
      </w:r>
      <w:r>
        <w:rPr>
          <w:rFonts w:hint="eastAsia"/>
        </w:rPr>
        <w:t>——船上断路器欠压保护；</w:t>
      </w:r>
      <w:r>
        <w:rPr>
          <w:rFonts w:hint="eastAsia"/>
        </w:rPr>
        <w:t xml:space="preserve"> </w:t>
      </w:r>
    </w:p>
    <w:p w14:paraId="05B479C9" w14:textId="77777777" w:rsidR="00B00DB7" w:rsidRDefault="00000000">
      <w:r>
        <w:rPr>
          <w:rFonts w:hint="eastAsia"/>
        </w:rPr>
        <w:t>6</w:t>
      </w:r>
      <w:r>
        <w:rPr>
          <w:rFonts w:hint="eastAsia"/>
        </w:rPr>
        <w:t>——船上安全保护回路；</w:t>
      </w:r>
      <w:r>
        <w:rPr>
          <w:rFonts w:hint="eastAsia"/>
        </w:rPr>
        <w:t xml:space="preserve"> </w:t>
      </w:r>
    </w:p>
    <w:p w14:paraId="77B0CA6A" w14:textId="77777777" w:rsidR="00B00DB7" w:rsidRDefault="00000000">
      <w:r>
        <w:rPr>
          <w:rFonts w:hint="eastAsia"/>
        </w:rPr>
        <w:t>7</w:t>
      </w:r>
      <w:r>
        <w:rPr>
          <w:rFonts w:hint="eastAsia"/>
        </w:rPr>
        <w:t>——岸上紧急停止装置（触点）；</w:t>
      </w:r>
      <w:r>
        <w:rPr>
          <w:rFonts w:hint="eastAsia"/>
        </w:rPr>
        <w:t xml:space="preserve"> </w:t>
      </w:r>
    </w:p>
    <w:p w14:paraId="54523FC4" w14:textId="77777777" w:rsidR="00B00DB7" w:rsidRDefault="00000000">
      <w:r>
        <w:rPr>
          <w:rFonts w:hint="eastAsia"/>
        </w:rPr>
        <w:t>8</w:t>
      </w:r>
      <w:r>
        <w:rPr>
          <w:rFonts w:hint="eastAsia"/>
        </w:rPr>
        <w:t>——船上紧急停止装置（触点）；</w:t>
      </w:r>
      <w:r>
        <w:rPr>
          <w:rFonts w:hint="eastAsia"/>
        </w:rPr>
        <w:t xml:space="preserve"> </w:t>
      </w:r>
    </w:p>
    <w:p w14:paraId="72651466" w14:textId="77777777" w:rsidR="00B00DB7" w:rsidRDefault="00000000">
      <w:r>
        <w:rPr>
          <w:rFonts w:hint="eastAsia"/>
        </w:rPr>
        <w:t>9</w:t>
      </w:r>
      <w:r>
        <w:rPr>
          <w:rFonts w:hint="eastAsia"/>
        </w:rPr>
        <w:t>——岸上紧急停止装置（开关、手动、两组）；</w:t>
      </w:r>
      <w:r>
        <w:rPr>
          <w:rFonts w:hint="eastAsia"/>
        </w:rPr>
        <w:t xml:space="preserve"> </w:t>
      </w:r>
    </w:p>
    <w:p w14:paraId="2ACC70DC" w14:textId="77777777" w:rsidR="00B00DB7" w:rsidRDefault="00000000">
      <w:r>
        <w:rPr>
          <w:rFonts w:hint="eastAsia"/>
        </w:rPr>
        <w:lastRenderedPageBreak/>
        <w:t>10</w:t>
      </w:r>
      <w:r>
        <w:rPr>
          <w:rFonts w:hint="eastAsia"/>
        </w:rPr>
        <w:t>——船上紧急停止装置（开关、手动、两组）；</w:t>
      </w:r>
      <w:r>
        <w:rPr>
          <w:rFonts w:hint="eastAsia"/>
        </w:rPr>
        <w:t xml:space="preserve"> </w:t>
      </w:r>
    </w:p>
    <w:p w14:paraId="00127FAB" w14:textId="77777777" w:rsidR="00B00DB7" w:rsidRDefault="00000000">
      <w:r>
        <w:rPr>
          <w:rFonts w:hint="eastAsia"/>
        </w:rPr>
        <w:t>ES1</w:t>
      </w:r>
      <w:r>
        <w:rPr>
          <w:rFonts w:hint="eastAsia"/>
        </w:rPr>
        <w:t>——紧急停止触头；</w:t>
      </w:r>
      <w:r>
        <w:rPr>
          <w:rFonts w:hint="eastAsia"/>
        </w:rPr>
        <w:t xml:space="preserve"> </w:t>
      </w:r>
    </w:p>
    <w:p w14:paraId="60B86B22" w14:textId="77777777" w:rsidR="00B00DB7" w:rsidRDefault="00000000">
      <w:r>
        <w:rPr>
          <w:rFonts w:hint="eastAsia"/>
        </w:rPr>
        <w:t>ES2</w:t>
      </w:r>
      <w:r>
        <w:rPr>
          <w:rFonts w:hint="eastAsia"/>
        </w:rPr>
        <w:t>——紧急停止触头；</w:t>
      </w:r>
      <w:r>
        <w:rPr>
          <w:rFonts w:hint="eastAsia"/>
        </w:rPr>
        <w:t xml:space="preserve"> </w:t>
      </w:r>
    </w:p>
    <w:p w14:paraId="1DF2D10B" w14:textId="77777777" w:rsidR="00B00DB7" w:rsidRDefault="00000000">
      <w:r>
        <w:rPr>
          <w:rFonts w:hint="eastAsia"/>
        </w:rPr>
        <w:t>ES2</w:t>
      </w:r>
      <w:r>
        <w:rPr>
          <w:rFonts w:hint="eastAsia"/>
        </w:rPr>
        <w:t>——紧急停止触头。</w:t>
      </w:r>
    </w:p>
    <w:p w14:paraId="074A645F" w14:textId="77777777" w:rsidR="00B00DB7" w:rsidRDefault="00000000">
      <w:r>
        <w:rPr>
          <w:rFonts w:hint="eastAsia"/>
        </w:rPr>
        <w:t>引用自</w:t>
      </w:r>
      <w:r>
        <w:rPr>
          <w:rFonts w:hint="eastAsia"/>
        </w:rPr>
        <w:t xml:space="preserve">DL/T2804 </w:t>
      </w:r>
      <w:r>
        <w:rPr>
          <w:rFonts w:hint="eastAsia"/>
        </w:rPr>
        <w:t>图</w:t>
      </w:r>
      <w:r>
        <w:rPr>
          <w:rFonts w:hint="eastAsia"/>
        </w:rPr>
        <w:t>A.4</w:t>
      </w:r>
      <w:r>
        <w:rPr>
          <w:rFonts w:hint="eastAsia"/>
        </w:rPr>
        <w:t>和图</w:t>
      </w:r>
      <w:r>
        <w:rPr>
          <w:rFonts w:hint="eastAsia"/>
        </w:rPr>
        <w:t>B.5</w:t>
      </w:r>
    </w:p>
    <w:p w14:paraId="4BF94E07" w14:textId="77777777" w:rsidR="00B00DB7" w:rsidRDefault="00000000">
      <w:r>
        <w:rPr>
          <w:rFonts w:hint="eastAsia"/>
        </w:rPr>
        <w:br/>
      </w:r>
      <w:r>
        <w:rPr>
          <w:rFonts w:hint="eastAsia"/>
        </w:rPr>
        <w:br/>
      </w:r>
      <w:r>
        <w:rPr>
          <w:rFonts w:hint="eastAsia"/>
        </w:rPr>
        <w:br w:type="page"/>
      </w:r>
    </w:p>
    <w:p w14:paraId="36334141" w14:textId="77777777" w:rsidR="00B00DB7" w:rsidRDefault="00B00DB7">
      <w:pPr>
        <w:sectPr w:rsidR="00B00DB7">
          <w:headerReference w:type="default" r:id="rId21"/>
          <w:footerReference w:type="default" r:id="rId22"/>
          <w:pgSz w:w="11906" w:h="16838"/>
          <w:pgMar w:top="1928" w:right="1134" w:bottom="1134" w:left="1134" w:header="1418" w:footer="1134" w:gutter="284"/>
          <w:pgNumType w:start="1"/>
          <w:cols w:space="425"/>
          <w:formProt w:val="0"/>
          <w:docGrid w:linePitch="312"/>
        </w:sectPr>
      </w:pPr>
    </w:p>
    <w:p w14:paraId="675B24DD" w14:textId="77777777" w:rsidR="00B00DB7" w:rsidRDefault="00B00DB7"/>
    <w:p w14:paraId="2EA232B7" w14:textId="77777777" w:rsidR="00B00DB7" w:rsidRDefault="00B00DB7"/>
    <w:p w14:paraId="1F8056B2" w14:textId="77777777" w:rsidR="00B00DB7" w:rsidRDefault="00B00DB7">
      <w:pPr>
        <w:pStyle w:val="affffffffffff5"/>
        <w:rPr>
          <w:i/>
          <w:iCs/>
        </w:rPr>
      </w:pPr>
    </w:p>
    <w:p w14:paraId="198AB7B1" w14:textId="77777777" w:rsidR="00B00DB7" w:rsidRDefault="00000000">
      <w:pPr>
        <w:pStyle w:val="1"/>
        <w:keepNext w:val="0"/>
        <w:keepLines w:val="0"/>
        <w:spacing w:after="0"/>
        <w:rPr>
          <w:rFonts w:ascii="Times New Roman" w:hAnsi="Times New Roman"/>
          <w:color w:val="000000"/>
        </w:rPr>
      </w:pPr>
      <w:bookmarkStart w:id="108" w:name="_Toc755"/>
      <w:bookmarkStart w:id="109" w:name="_Toc30722"/>
      <w:bookmarkStart w:id="110" w:name="_Toc21965"/>
      <w:bookmarkStart w:id="111" w:name="_Toc27285"/>
      <w:r>
        <w:rPr>
          <w:rFonts w:ascii="Times New Roman" w:hAnsi="Times New Roman" w:hint="eastAsia"/>
          <w:color w:val="000000"/>
          <w:lang w:val="zh-CN"/>
        </w:rPr>
        <w:t>附录</w:t>
      </w:r>
      <w:r>
        <w:rPr>
          <w:rFonts w:ascii="Times New Roman" w:hAnsi="Times New Roman" w:hint="eastAsia"/>
          <w:color w:val="000000"/>
        </w:rPr>
        <w:t xml:space="preserve">F </w:t>
      </w:r>
      <w:r>
        <w:rPr>
          <w:rFonts w:ascii="Times New Roman" w:hAnsi="Times New Roman" w:hint="eastAsia"/>
          <w:color w:val="000000"/>
        </w:rPr>
        <w:t>船岸通讯协议</w:t>
      </w:r>
      <w:bookmarkEnd w:id="108"/>
      <w:bookmarkEnd w:id="109"/>
      <w:bookmarkEnd w:id="110"/>
      <w:bookmarkEnd w:id="111"/>
    </w:p>
    <w:p w14:paraId="79B5D0A6" w14:textId="77777777" w:rsidR="00B00DB7" w:rsidRDefault="00000000">
      <w:r>
        <w:rPr>
          <w:rFonts w:ascii="Times New Roman" w:hint="eastAsia"/>
          <w:b/>
          <w:bCs/>
          <w:color w:val="000000"/>
          <w:szCs w:val="24"/>
        </w:rPr>
        <w:t>E.0.1</w:t>
      </w:r>
      <w:r>
        <w:rPr>
          <w:rFonts w:ascii="Times New Roman" w:hint="eastAsia"/>
          <w:color w:val="000000"/>
          <w:szCs w:val="24"/>
        </w:rPr>
        <w:t xml:space="preserve">　</w:t>
      </w:r>
      <w:r>
        <w:t>本</w:t>
      </w:r>
      <w:r>
        <w:rPr>
          <w:rFonts w:hint="eastAsia"/>
        </w:rPr>
        <w:t>协议</w:t>
      </w:r>
      <w:r>
        <w:t>适用于岸基</w:t>
      </w:r>
      <w:r>
        <w:rPr>
          <w:rFonts w:hint="eastAsia"/>
        </w:rPr>
        <w:t>充电设施监控系统与</w:t>
      </w:r>
      <w:r>
        <w:t>电池动力船舶</w:t>
      </w:r>
      <w:r>
        <w:rPr>
          <w:rFonts w:hint="eastAsia"/>
        </w:rPr>
        <w:t>的数据交互</w:t>
      </w:r>
      <w:r>
        <w:t>。</w:t>
      </w:r>
    </w:p>
    <w:p w14:paraId="4F1257DB" w14:textId="77777777" w:rsidR="00B00DB7" w:rsidRDefault="00000000">
      <w:r>
        <w:rPr>
          <w:rFonts w:ascii="Times New Roman" w:hint="eastAsia"/>
          <w:b/>
          <w:bCs/>
          <w:color w:val="000000"/>
          <w:szCs w:val="24"/>
        </w:rPr>
        <w:t>E.0.2</w:t>
      </w:r>
      <w:r>
        <w:rPr>
          <w:rFonts w:ascii="Times New Roman" w:hint="eastAsia"/>
          <w:color w:val="000000"/>
          <w:szCs w:val="24"/>
        </w:rPr>
        <w:t xml:space="preserve">　</w:t>
      </w:r>
      <w:r>
        <w:t>数据报送</w:t>
      </w:r>
      <w:r>
        <w:t>/</w:t>
      </w:r>
      <w:r>
        <w:t>接收采用</w:t>
      </w:r>
      <w:r>
        <w:t>HTTPs API</w:t>
      </w:r>
      <w:r>
        <w:t>接口和</w:t>
      </w:r>
      <w:r>
        <w:t>MQTTs</w:t>
      </w:r>
      <w:r>
        <w:t>消息发布</w:t>
      </w:r>
      <w:r>
        <w:t>/</w:t>
      </w:r>
      <w:r>
        <w:t>订阅。</w:t>
      </w:r>
    </w:p>
    <w:p w14:paraId="0DC1479A" w14:textId="77777777" w:rsidR="00B00DB7" w:rsidRDefault="00000000">
      <w:r>
        <w:rPr>
          <w:rFonts w:ascii="Times New Roman" w:hint="eastAsia"/>
          <w:b/>
          <w:bCs/>
          <w:color w:val="000000"/>
          <w:szCs w:val="24"/>
        </w:rPr>
        <w:t>E.0.3</w:t>
      </w:r>
      <w:r>
        <w:rPr>
          <w:rFonts w:ascii="Times New Roman" w:hint="eastAsia"/>
          <w:color w:val="000000"/>
          <w:szCs w:val="24"/>
        </w:rPr>
        <w:t xml:space="preserve">　</w:t>
      </w:r>
      <w:r>
        <w:rPr>
          <w:rFonts w:hint="eastAsia"/>
        </w:rPr>
        <w:t>本附录所涉及的定义如下：</w:t>
      </w:r>
    </w:p>
    <w:p w14:paraId="4AE486A8" w14:textId="77777777" w:rsidR="00B00DB7" w:rsidRDefault="00000000">
      <w:r>
        <w:rPr>
          <w:rFonts w:hint="eastAsia"/>
        </w:rPr>
        <w:t>(1)</w:t>
      </w:r>
      <w:r>
        <w:rPr>
          <w:rFonts w:hint="eastAsia"/>
        </w:rPr>
        <w:tab/>
      </w:r>
      <w:r>
        <w:rPr>
          <w:rFonts w:hint="eastAsia"/>
        </w:rPr>
        <w:t>静态数据：船舶系统及充电设施通常不会发生变动的静态参数，例如配置参数等。</w:t>
      </w:r>
    </w:p>
    <w:p w14:paraId="3C0EBF36" w14:textId="77777777" w:rsidR="00B00DB7" w:rsidRDefault="00000000">
      <w:r>
        <w:rPr>
          <w:rFonts w:hint="eastAsia"/>
        </w:rPr>
        <w:t>(2)</w:t>
      </w:r>
      <w:r>
        <w:rPr>
          <w:rFonts w:hint="eastAsia"/>
        </w:rPr>
        <w:tab/>
      </w:r>
      <w:r>
        <w:rPr>
          <w:rFonts w:hint="eastAsia"/>
        </w:rPr>
        <w:t>动态数据：船舶系统及充电设施会随时间更新变化的动态参数，例如运行数据等。</w:t>
      </w:r>
    </w:p>
    <w:p w14:paraId="1CCA4ED7" w14:textId="77777777" w:rsidR="00B00DB7" w:rsidRDefault="00000000">
      <w:r>
        <w:rPr>
          <w:rFonts w:hint="eastAsia"/>
        </w:rPr>
        <w:t>(3)</w:t>
      </w:r>
      <w:r>
        <w:rPr>
          <w:rFonts w:hint="eastAsia"/>
        </w:rPr>
        <w:tab/>
      </w:r>
      <w:r>
        <w:rPr>
          <w:rFonts w:hint="eastAsia"/>
        </w:rPr>
        <w:t>一组采样数据：同一时刻所有采样动态数据的组合。</w:t>
      </w:r>
    </w:p>
    <w:p w14:paraId="183F47E1" w14:textId="77777777" w:rsidR="00B00DB7" w:rsidRDefault="00000000">
      <w:r>
        <w:rPr>
          <w:rFonts w:ascii="Times New Roman" w:hint="eastAsia"/>
          <w:b/>
          <w:bCs/>
          <w:color w:val="000000"/>
          <w:szCs w:val="24"/>
        </w:rPr>
        <w:t>E.0.4</w:t>
      </w:r>
      <w:r>
        <w:rPr>
          <w:rFonts w:ascii="Times New Roman" w:hint="eastAsia"/>
          <w:color w:val="000000"/>
          <w:szCs w:val="24"/>
        </w:rPr>
        <w:t xml:space="preserve">　</w:t>
      </w:r>
      <w:r>
        <w:rPr>
          <w:rFonts w:hint="eastAsia"/>
        </w:rPr>
        <w:t>本附录所涉及的缩略语如下：</w:t>
      </w:r>
    </w:p>
    <w:p w14:paraId="4EB537F0" w14:textId="77777777" w:rsidR="00B00DB7" w:rsidRDefault="00000000">
      <w:r>
        <w:rPr>
          <w:rFonts w:hint="eastAsia"/>
        </w:rPr>
        <w:t>(1)</w:t>
      </w:r>
      <w:r>
        <w:rPr>
          <w:rFonts w:hint="eastAsia"/>
        </w:rPr>
        <w:tab/>
        <w:t>HTTPs</w:t>
      </w:r>
      <w:r>
        <w:rPr>
          <w:rFonts w:hint="eastAsia"/>
        </w:rPr>
        <w:t>：超文本传输安全协议（</w:t>
      </w:r>
      <w:r>
        <w:rPr>
          <w:rFonts w:hint="eastAsia"/>
        </w:rPr>
        <w:t>Hypertext Transfer Protocol Secure</w:t>
      </w:r>
      <w:r>
        <w:rPr>
          <w:rFonts w:hint="eastAsia"/>
        </w:rPr>
        <w:t>）</w:t>
      </w:r>
    </w:p>
    <w:p w14:paraId="192FCAAE" w14:textId="77777777" w:rsidR="00B00DB7" w:rsidRDefault="00000000">
      <w:r>
        <w:rPr>
          <w:rFonts w:hint="eastAsia"/>
        </w:rPr>
        <w:t>(2)</w:t>
      </w:r>
      <w:r>
        <w:rPr>
          <w:rFonts w:hint="eastAsia"/>
        </w:rPr>
        <w:tab/>
        <w:t>MQTTs</w:t>
      </w:r>
      <w:r>
        <w:rPr>
          <w:rFonts w:hint="eastAsia"/>
        </w:rPr>
        <w:t>：消息队列遥测传输安全协议（</w:t>
      </w:r>
      <w:r>
        <w:rPr>
          <w:rFonts w:hint="eastAsia"/>
        </w:rPr>
        <w:t>Message Queuing Telemetry Transport Secure</w:t>
      </w:r>
      <w:r>
        <w:rPr>
          <w:rFonts w:hint="eastAsia"/>
        </w:rPr>
        <w:t>）</w:t>
      </w:r>
    </w:p>
    <w:p w14:paraId="597F3C8B" w14:textId="77777777" w:rsidR="00B00DB7" w:rsidRDefault="00000000">
      <w:r>
        <w:rPr>
          <w:rFonts w:hint="eastAsia"/>
        </w:rPr>
        <w:t>(3)</w:t>
      </w:r>
      <w:r>
        <w:rPr>
          <w:rFonts w:hint="eastAsia"/>
        </w:rPr>
        <w:tab/>
        <w:t>JSON</w:t>
      </w:r>
      <w:r>
        <w:rPr>
          <w:rFonts w:hint="eastAsia"/>
        </w:rPr>
        <w:t>：</w:t>
      </w:r>
      <w:r>
        <w:rPr>
          <w:rFonts w:hint="eastAsia"/>
        </w:rPr>
        <w:t>JavaScript</w:t>
      </w:r>
      <w:r>
        <w:rPr>
          <w:rFonts w:hint="eastAsia"/>
        </w:rPr>
        <w:t>对象表示法（</w:t>
      </w:r>
      <w:r>
        <w:rPr>
          <w:rFonts w:hint="eastAsia"/>
        </w:rPr>
        <w:t>JavaScript Object Notation</w:t>
      </w:r>
      <w:r>
        <w:rPr>
          <w:rFonts w:hint="eastAsia"/>
        </w:rPr>
        <w:t>）</w:t>
      </w:r>
    </w:p>
    <w:p w14:paraId="01427758" w14:textId="77777777" w:rsidR="00B00DB7" w:rsidRDefault="00000000">
      <w:r>
        <w:rPr>
          <w:rFonts w:hint="eastAsia"/>
        </w:rPr>
        <w:t>(4)</w:t>
      </w:r>
      <w:r>
        <w:rPr>
          <w:rFonts w:hint="eastAsia"/>
        </w:rPr>
        <w:tab/>
        <w:t>UTF8</w:t>
      </w:r>
      <w:r>
        <w:rPr>
          <w:rFonts w:hint="eastAsia"/>
        </w:rPr>
        <w:t>：</w:t>
      </w:r>
      <w:r>
        <w:rPr>
          <w:rFonts w:hint="eastAsia"/>
        </w:rPr>
        <w:t>8</w:t>
      </w:r>
      <w:r>
        <w:rPr>
          <w:rFonts w:hint="eastAsia"/>
        </w:rPr>
        <w:t>位统一码转换格式（</w:t>
      </w:r>
      <w:r>
        <w:rPr>
          <w:rFonts w:hint="eastAsia"/>
        </w:rPr>
        <w:t>8 bit Unicode Transformation Format</w:t>
      </w:r>
      <w:r>
        <w:rPr>
          <w:rFonts w:hint="eastAsia"/>
        </w:rPr>
        <w:t>）</w:t>
      </w:r>
    </w:p>
    <w:p w14:paraId="6DE90C16" w14:textId="77777777" w:rsidR="00B00DB7" w:rsidRDefault="00000000">
      <w:r>
        <w:rPr>
          <w:rFonts w:hint="eastAsia"/>
        </w:rPr>
        <w:t>(5)</w:t>
      </w:r>
      <w:r>
        <w:rPr>
          <w:rFonts w:hint="eastAsia"/>
        </w:rPr>
        <w:tab/>
        <w:t>UTC</w:t>
      </w:r>
      <w:r>
        <w:rPr>
          <w:rFonts w:hint="eastAsia"/>
        </w:rPr>
        <w:t>：协调世界时间（</w:t>
      </w:r>
      <w:r>
        <w:rPr>
          <w:rFonts w:hint="eastAsia"/>
        </w:rPr>
        <w:t>Universal Time Coordinated</w:t>
      </w:r>
      <w:r>
        <w:rPr>
          <w:rFonts w:hint="eastAsia"/>
        </w:rPr>
        <w:t>）</w:t>
      </w:r>
    </w:p>
    <w:p w14:paraId="20818CC6" w14:textId="77777777" w:rsidR="00B00DB7" w:rsidRDefault="00000000">
      <w:r>
        <w:rPr>
          <w:rFonts w:ascii="Times New Roman" w:hint="eastAsia"/>
          <w:b/>
          <w:bCs/>
          <w:color w:val="000000"/>
          <w:szCs w:val="24"/>
        </w:rPr>
        <w:t>E.0.5</w:t>
      </w:r>
      <w:r>
        <w:rPr>
          <w:rFonts w:ascii="Times New Roman" w:hint="eastAsia"/>
          <w:color w:val="000000"/>
          <w:szCs w:val="24"/>
        </w:rPr>
        <w:t xml:space="preserve">　</w:t>
      </w:r>
      <w:r>
        <w:rPr>
          <w:rFonts w:hint="eastAsia"/>
        </w:rPr>
        <w:t>船舶申请充电服务时，应提供《船岸监测数据对照表》给直流充电设施所属方查阅，该对照表能表明</w:t>
      </w:r>
      <w:proofErr w:type="gramStart"/>
      <w:r>
        <w:rPr>
          <w:rFonts w:hint="eastAsia"/>
        </w:rPr>
        <w:t>本要求</w:t>
      </w:r>
      <w:proofErr w:type="gramEnd"/>
      <w:r>
        <w:rPr>
          <w:rFonts w:hint="eastAsia"/>
        </w:rPr>
        <w:t>所述监测数据项与实船监测数据项之间的对应关系，充电时应基于此对照表验证实船监测数据与电池动力船舶检验验证平台收到数据之间的一致性。</w:t>
      </w:r>
    </w:p>
    <w:p w14:paraId="250252C9" w14:textId="77777777" w:rsidR="00B00DB7" w:rsidRDefault="00000000">
      <w:r>
        <w:rPr>
          <w:rFonts w:ascii="Times New Roman" w:hint="eastAsia"/>
          <w:b/>
          <w:bCs/>
          <w:color w:val="000000"/>
          <w:szCs w:val="24"/>
        </w:rPr>
        <w:t>E.0.6</w:t>
      </w:r>
      <w:r>
        <w:rPr>
          <w:rFonts w:ascii="Times New Roman" w:hint="eastAsia"/>
          <w:color w:val="000000"/>
          <w:szCs w:val="24"/>
        </w:rPr>
        <w:t xml:space="preserve">　</w:t>
      </w:r>
      <w:r>
        <w:rPr>
          <w:rFonts w:hint="eastAsia"/>
        </w:rPr>
        <w:t>静态数据以数据包的形式交换，应在初始时交换一次，后续有变更时按需交换。当监测对象（系统</w:t>
      </w:r>
      <w:r>
        <w:rPr>
          <w:rFonts w:hint="eastAsia"/>
        </w:rPr>
        <w:t>/</w:t>
      </w:r>
      <w:r>
        <w:rPr>
          <w:rFonts w:hint="eastAsia"/>
        </w:rPr>
        <w:t>设备）不存在时，数据包内可不包含其对应数据。</w:t>
      </w:r>
    </w:p>
    <w:p w14:paraId="652EAE1A" w14:textId="77777777" w:rsidR="00B00DB7" w:rsidRDefault="00000000">
      <w:r>
        <w:rPr>
          <w:rFonts w:ascii="Times New Roman" w:hint="eastAsia"/>
          <w:b/>
          <w:bCs/>
          <w:color w:val="000000"/>
          <w:szCs w:val="24"/>
        </w:rPr>
        <w:t>E.0.7</w:t>
      </w:r>
      <w:r>
        <w:rPr>
          <w:rFonts w:ascii="Times New Roman" w:hint="eastAsia"/>
          <w:color w:val="000000"/>
          <w:szCs w:val="24"/>
        </w:rPr>
        <w:t xml:space="preserve">　</w:t>
      </w:r>
      <w:r>
        <w:rPr>
          <w:rFonts w:hint="eastAsia"/>
        </w:rPr>
        <w:t>动态数据以数据包的形式交换，单个数据包内可包含多组采样数据，动态数据包报送时间间隔不应超过</w:t>
      </w:r>
      <w:r>
        <w:rPr>
          <w:rFonts w:hint="eastAsia"/>
        </w:rPr>
        <w:t>30s</w:t>
      </w:r>
      <w:r>
        <w:rPr>
          <w:rFonts w:hint="eastAsia"/>
        </w:rPr>
        <w:t>。单个动态数据包内多组采样数据的最大采样间隔，除特别说明之外，重要数据项不应超过</w:t>
      </w:r>
      <w:r>
        <w:rPr>
          <w:rFonts w:hint="eastAsia"/>
        </w:rPr>
        <w:t>1s</w:t>
      </w:r>
      <w:r>
        <w:rPr>
          <w:rFonts w:hint="eastAsia"/>
        </w:rPr>
        <w:t>，其他数据项不应超过</w:t>
      </w:r>
      <w:r>
        <w:rPr>
          <w:rFonts w:hint="eastAsia"/>
        </w:rPr>
        <w:t>5min</w:t>
      </w:r>
      <w:r>
        <w:rPr>
          <w:rFonts w:hint="eastAsia"/>
        </w:rPr>
        <w:t>。</w:t>
      </w:r>
    </w:p>
    <w:p w14:paraId="4ADA076B" w14:textId="77777777" w:rsidR="00B00DB7" w:rsidRDefault="00000000">
      <w:r>
        <w:rPr>
          <w:rFonts w:ascii="Times New Roman" w:hint="eastAsia"/>
          <w:b/>
          <w:bCs/>
          <w:color w:val="000000"/>
          <w:szCs w:val="24"/>
        </w:rPr>
        <w:t>E.0.8</w:t>
      </w:r>
      <w:r>
        <w:rPr>
          <w:rFonts w:ascii="Times New Roman" w:hint="eastAsia"/>
          <w:color w:val="000000"/>
          <w:szCs w:val="24"/>
        </w:rPr>
        <w:t xml:space="preserve">　</w:t>
      </w:r>
      <w:r>
        <w:rPr>
          <w:rFonts w:hint="eastAsia"/>
        </w:rPr>
        <w:t>当监测对象（系统</w:t>
      </w:r>
      <w:r>
        <w:rPr>
          <w:rFonts w:hint="eastAsia"/>
        </w:rPr>
        <w:t>/</w:t>
      </w:r>
      <w:r>
        <w:rPr>
          <w:rFonts w:hint="eastAsia"/>
        </w:rPr>
        <w:t>设备）处于</w:t>
      </w:r>
      <w:proofErr w:type="gramStart"/>
      <w:r>
        <w:rPr>
          <w:rFonts w:hint="eastAsia"/>
        </w:rPr>
        <w:t>非运行</w:t>
      </w:r>
      <w:proofErr w:type="gramEnd"/>
      <w:r>
        <w:rPr>
          <w:rFonts w:hint="eastAsia"/>
        </w:rPr>
        <w:t>状态时（例如设备关停、未装配，或因缺少传感器而采集不到其运行数据），动态数据包内可不包含其对应数据。</w:t>
      </w:r>
    </w:p>
    <w:p w14:paraId="295B63E5" w14:textId="77777777" w:rsidR="00B00DB7" w:rsidRDefault="00000000">
      <w:r>
        <w:rPr>
          <w:rFonts w:ascii="Times New Roman" w:hint="eastAsia"/>
          <w:b/>
          <w:bCs/>
          <w:color w:val="000000"/>
          <w:szCs w:val="24"/>
        </w:rPr>
        <w:t>E.0.9</w:t>
      </w:r>
      <w:r>
        <w:rPr>
          <w:rFonts w:ascii="Times New Roman" w:hint="eastAsia"/>
          <w:color w:val="000000"/>
          <w:szCs w:val="24"/>
        </w:rPr>
        <w:t xml:space="preserve">　</w:t>
      </w:r>
      <w:r>
        <w:rPr>
          <w:rFonts w:hint="eastAsia"/>
        </w:rPr>
        <w:t>当电池系统处于</w:t>
      </w:r>
      <w:proofErr w:type="gramStart"/>
      <w:r>
        <w:rPr>
          <w:rFonts w:hint="eastAsia"/>
        </w:rPr>
        <w:t>非运行</w:t>
      </w:r>
      <w:proofErr w:type="gramEnd"/>
      <w:r>
        <w:rPr>
          <w:rFonts w:hint="eastAsia"/>
        </w:rPr>
        <w:t>状态时，动态数据包内可仅包含如下监测对象的数据，数据包报送时间间隔可调整为不超过</w:t>
      </w:r>
      <w:r>
        <w:rPr>
          <w:rFonts w:hint="eastAsia"/>
        </w:rPr>
        <w:t>5min</w:t>
      </w:r>
      <w:r>
        <w:rPr>
          <w:rFonts w:hint="eastAsia"/>
        </w:rPr>
        <w:t>：</w:t>
      </w:r>
    </w:p>
    <w:p w14:paraId="321421BB" w14:textId="77777777" w:rsidR="00B00DB7" w:rsidRDefault="00000000">
      <w:pPr>
        <w:pStyle w:val="22"/>
      </w:pPr>
      <w:bookmarkStart w:id="112" w:name="_Toc30823"/>
      <w:bookmarkStart w:id="113" w:name="_Toc9963"/>
      <w:bookmarkStart w:id="114" w:name="_Toc4109"/>
      <w:bookmarkStart w:id="115" w:name="_Toc10183"/>
      <w:r>
        <w:rPr>
          <w:rFonts w:hint="eastAsia"/>
        </w:rPr>
        <w:lastRenderedPageBreak/>
        <w:t>E</w:t>
      </w:r>
      <w:r>
        <w:t>.1</w:t>
      </w:r>
      <w:r>
        <w:rPr>
          <w:rFonts w:hint="eastAsia"/>
        </w:rPr>
        <w:t>数据包格式一般要求</w:t>
      </w:r>
      <w:bookmarkEnd w:id="112"/>
      <w:bookmarkEnd w:id="113"/>
      <w:bookmarkEnd w:id="114"/>
      <w:bookmarkEnd w:id="115"/>
    </w:p>
    <w:p w14:paraId="495EDF18" w14:textId="77777777" w:rsidR="00B00DB7" w:rsidRDefault="00000000">
      <w:r>
        <w:rPr>
          <w:rFonts w:ascii="Times New Roman" w:hint="eastAsia"/>
          <w:b/>
          <w:bCs/>
          <w:color w:val="000000"/>
          <w:szCs w:val="24"/>
        </w:rPr>
        <w:t>E.1.1</w:t>
      </w:r>
      <w:r>
        <w:rPr>
          <w:rFonts w:ascii="Times New Roman" w:hint="eastAsia"/>
          <w:color w:val="000000"/>
          <w:szCs w:val="24"/>
        </w:rPr>
        <w:t xml:space="preserve">　</w:t>
      </w:r>
      <w:r>
        <w:t>数据包通常应按规定的</w:t>
      </w:r>
      <w:r>
        <w:t>JSON</w:t>
      </w:r>
      <w:r>
        <w:t>格式组装，采用</w:t>
      </w:r>
      <w:r>
        <w:t>UTF8</w:t>
      </w:r>
      <w:r>
        <w:t>编码。</w:t>
      </w:r>
    </w:p>
    <w:p w14:paraId="57A18597" w14:textId="77777777" w:rsidR="00B00DB7" w:rsidRDefault="00000000">
      <w:r>
        <w:rPr>
          <w:rFonts w:ascii="Times New Roman" w:hint="eastAsia"/>
          <w:b/>
          <w:bCs/>
          <w:color w:val="000000"/>
          <w:szCs w:val="24"/>
        </w:rPr>
        <w:t>E.1.2</w:t>
      </w:r>
      <w:r>
        <w:rPr>
          <w:rFonts w:ascii="Times New Roman" w:hint="eastAsia"/>
          <w:color w:val="000000"/>
          <w:szCs w:val="24"/>
        </w:rPr>
        <w:t xml:space="preserve">　</w:t>
      </w:r>
      <w:r>
        <w:t>数据包中的时间相关数据项应统一采用</w:t>
      </w:r>
      <w:r>
        <w:t>UTC</w:t>
      </w:r>
      <w:r>
        <w:t>时间表达。</w:t>
      </w:r>
    </w:p>
    <w:p w14:paraId="6A8EE4F1" w14:textId="77777777" w:rsidR="00B00DB7" w:rsidRDefault="00000000">
      <w:r>
        <w:rPr>
          <w:rFonts w:ascii="Times New Roman" w:hint="eastAsia"/>
          <w:b/>
          <w:bCs/>
          <w:color w:val="000000"/>
          <w:szCs w:val="24"/>
        </w:rPr>
        <w:t>E.1.3</w:t>
      </w:r>
      <w:r>
        <w:rPr>
          <w:rFonts w:ascii="Times New Roman" w:hint="eastAsia"/>
          <w:color w:val="000000"/>
          <w:szCs w:val="24"/>
        </w:rPr>
        <w:t xml:space="preserve">　</w:t>
      </w:r>
      <w:r>
        <w:t>JSON</w:t>
      </w:r>
      <w:r>
        <w:t>格式数据包中的数据项应采用表</w:t>
      </w:r>
      <w:r>
        <w:rPr>
          <w:rFonts w:hint="eastAsia"/>
        </w:rPr>
        <w:t>E</w:t>
      </w:r>
      <w:r>
        <w:t>1</w:t>
      </w:r>
      <w:r>
        <w:t>所列的数据类型。</w:t>
      </w:r>
    </w:p>
    <w:p w14:paraId="06F1F1C2" w14:textId="77777777" w:rsidR="00B00DB7" w:rsidRDefault="00000000">
      <w:pPr>
        <w:jc w:val="center"/>
      </w:pPr>
      <w:r>
        <w:t>表</w:t>
      </w:r>
      <w:r>
        <w:rPr>
          <w:rFonts w:hint="eastAsia"/>
        </w:rPr>
        <w:t>E1</w:t>
      </w:r>
      <w:r>
        <w:t xml:space="preserve"> JSON</w:t>
      </w:r>
      <w:r>
        <w:t>格式数据类型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7103"/>
      </w:tblGrid>
      <w:tr w:rsidR="00B00DB7" w14:paraId="4BD8BC5F" w14:textId="77777777">
        <w:trPr>
          <w:jc w:val="center"/>
        </w:trPr>
        <w:tc>
          <w:tcPr>
            <w:tcW w:w="1191" w:type="pct"/>
            <w:tcBorders>
              <w:top w:val="single" w:sz="12" w:space="0" w:color="000000"/>
              <w:left w:val="single" w:sz="12" w:space="0" w:color="000000"/>
              <w:bottom w:val="single" w:sz="4" w:space="0" w:color="000000"/>
              <w:right w:val="single" w:sz="4" w:space="0" w:color="000000"/>
            </w:tcBorders>
            <w:shd w:val="clear" w:color="auto" w:fill="FFFFFF"/>
          </w:tcPr>
          <w:p w14:paraId="0AD44ACA" w14:textId="77777777" w:rsidR="00B00DB7" w:rsidRDefault="00000000">
            <w:r>
              <w:t>数据类型</w:t>
            </w:r>
          </w:p>
        </w:tc>
        <w:tc>
          <w:tcPr>
            <w:tcW w:w="3808" w:type="pct"/>
            <w:tcBorders>
              <w:top w:val="single" w:sz="12" w:space="0" w:color="000000"/>
              <w:left w:val="single" w:sz="4" w:space="0" w:color="000000"/>
              <w:bottom w:val="single" w:sz="4" w:space="0" w:color="000000"/>
              <w:right w:val="single" w:sz="12" w:space="0" w:color="000000"/>
            </w:tcBorders>
            <w:shd w:val="clear" w:color="auto" w:fill="FFFFFF"/>
          </w:tcPr>
          <w:p w14:paraId="0D45DA6A" w14:textId="77777777" w:rsidR="00B00DB7" w:rsidRDefault="00000000">
            <w:r>
              <w:t>描述及要求</w:t>
            </w:r>
          </w:p>
        </w:tc>
      </w:tr>
      <w:tr w:rsidR="00B00DB7" w14:paraId="53257418"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54BF5443" w14:textId="77777777" w:rsidR="00B00DB7" w:rsidRDefault="00000000">
            <w:r>
              <w:t>整数</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4B1080AE" w14:textId="77777777" w:rsidR="00B00DB7" w:rsidRDefault="00000000">
            <w:r>
              <w:t>整数，以</w:t>
            </w:r>
            <w:r>
              <w:t>10</w:t>
            </w:r>
            <w:r>
              <w:t>为基数表示，不使用八进制和十六进制格式</w:t>
            </w:r>
          </w:p>
        </w:tc>
      </w:tr>
      <w:tr w:rsidR="00B00DB7" w14:paraId="66D6F7E9"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5EE3913C" w14:textId="77777777" w:rsidR="00B00DB7" w:rsidRDefault="00000000">
            <w:r>
              <w:t>实数</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5B47A6CD" w14:textId="77777777" w:rsidR="00B00DB7" w:rsidRDefault="00000000">
            <w:r>
              <w:t>实数，以</w:t>
            </w:r>
            <w:r>
              <w:t>10</w:t>
            </w:r>
            <w:r>
              <w:t>为基数表示，不使用八进制和十六进制格式</w:t>
            </w:r>
          </w:p>
        </w:tc>
      </w:tr>
      <w:tr w:rsidR="00B00DB7" w14:paraId="6874CD08"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5FF1A5FF" w14:textId="77777777" w:rsidR="00B00DB7" w:rsidRDefault="00000000">
            <w:r>
              <w:t>字符串</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547A073F" w14:textId="77777777" w:rsidR="00B00DB7" w:rsidRDefault="00000000">
            <w:r>
              <w:t>字符串</w:t>
            </w:r>
          </w:p>
        </w:tc>
      </w:tr>
      <w:tr w:rsidR="00B00DB7" w14:paraId="092860B7"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63EAA13E" w14:textId="77777777" w:rsidR="00B00DB7" w:rsidRDefault="00000000">
            <w:r>
              <w:t>对象</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3B38B299" w14:textId="77777777" w:rsidR="00B00DB7" w:rsidRDefault="00000000">
            <w:r>
              <w:t>对象，它是在</w:t>
            </w:r>
            <w:r>
              <w:t>{}</w:t>
            </w:r>
            <w:r>
              <w:t>之间插入的一组键值对。键（字段标识）必须是字符串，并且应该是唯一的，并且多个键和值对由逗号分隔</w:t>
            </w:r>
          </w:p>
        </w:tc>
      </w:tr>
      <w:tr w:rsidR="00B00DB7" w14:paraId="491DF5A4"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6D130ABE" w14:textId="77777777" w:rsidR="00B00DB7" w:rsidRDefault="00000000">
            <w:r>
              <w:t>对象数组</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0E90190E" w14:textId="77777777" w:rsidR="00B00DB7" w:rsidRDefault="00000000">
            <w:r>
              <w:t>数组，它是一个有序的值集合，以</w:t>
            </w:r>
            <w:r>
              <w:t>[</w:t>
            </w:r>
            <w:r>
              <w:t>开始和以</w:t>
            </w:r>
            <w:r>
              <w:t>]</w:t>
            </w:r>
            <w:r>
              <w:t>结尾，数组的值用逗号分隔</w:t>
            </w:r>
          </w:p>
        </w:tc>
      </w:tr>
      <w:tr w:rsidR="00B00DB7" w14:paraId="398F19C1" w14:textId="77777777">
        <w:trPr>
          <w:jc w:val="center"/>
        </w:trPr>
        <w:tc>
          <w:tcPr>
            <w:tcW w:w="1191" w:type="pct"/>
            <w:tcBorders>
              <w:top w:val="single" w:sz="4" w:space="0" w:color="000000"/>
              <w:left w:val="single" w:sz="12" w:space="0" w:color="000000"/>
              <w:bottom w:val="single" w:sz="4" w:space="0" w:color="000000"/>
              <w:right w:val="single" w:sz="4" w:space="0" w:color="000000"/>
            </w:tcBorders>
            <w:shd w:val="clear" w:color="auto" w:fill="FFFFFF"/>
          </w:tcPr>
          <w:p w14:paraId="1D658054" w14:textId="77777777" w:rsidR="00B00DB7" w:rsidRDefault="00000000">
            <w:r>
              <w:t>实数数组</w:t>
            </w:r>
          </w:p>
        </w:tc>
        <w:tc>
          <w:tcPr>
            <w:tcW w:w="3808" w:type="pct"/>
            <w:tcBorders>
              <w:top w:val="single" w:sz="4" w:space="0" w:color="000000"/>
              <w:left w:val="single" w:sz="4" w:space="0" w:color="000000"/>
              <w:bottom w:val="single" w:sz="4" w:space="0" w:color="000000"/>
              <w:right w:val="single" w:sz="12" w:space="0" w:color="000000"/>
            </w:tcBorders>
            <w:shd w:val="clear" w:color="auto" w:fill="FFFFFF"/>
          </w:tcPr>
          <w:p w14:paraId="59F8D1A2" w14:textId="77777777" w:rsidR="00B00DB7" w:rsidRDefault="00000000">
            <w:r>
              <w:t>实数数组，它是一个有序的值集合，以</w:t>
            </w:r>
            <w:r>
              <w:t>[</w:t>
            </w:r>
            <w:r>
              <w:t>开始和以</w:t>
            </w:r>
            <w:r>
              <w:t>]</w:t>
            </w:r>
            <w:r>
              <w:t>结尾，数组的值用逗号分隔</w:t>
            </w:r>
          </w:p>
        </w:tc>
      </w:tr>
      <w:tr w:rsidR="00B00DB7" w14:paraId="608C38B3" w14:textId="77777777">
        <w:trPr>
          <w:trHeight w:val="90"/>
          <w:jc w:val="center"/>
        </w:trPr>
        <w:tc>
          <w:tcPr>
            <w:tcW w:w="1191" w:type="pct"/>
            <w:tcBorders>
              <w:top w:val="single" w:sz="4" w:space="0" w:color="000000"/>
              <w:left w:val="single" w:sz="12" w:space="0" w:color="000000"/>
              <w:bottom w:val="single" w:sz="12" w:space="0" w:color="000000"/>
              <w:right w:val="single" w:sz="4" w:space="0" w:color="000000"/>
            </w:tcBorders>
            <w:shd w:val="clear" w:color="auto" w:fill="FFFFFF"/>
          </w:tcPr>
          <w:p w14:paraId="41DBDC27" w14:textId="77777777" w:rsidR="00B00DB7" w:rsidRDefault="00000000">
            <w:r>
              <w:t>整数数组</w:t>
            </w:r>
          </w:p>
        </w:tc>
        <w:tc>
          <w:tcPr>
            <w:tcW w:w="3808" w:type="pct"/>
            <w:tcBorders>
              <w:top w:val="single" w:sz="4" w:space="0" w:color="000000"/>
              <w:left w:val="single" w:sz="4" w:space="0" w:color="000000"/>
              <w:bottom w:val="single" w:sz="12" w:space="0" w:color="000000"/>
              <w:right w:val="single" w:sz="12" w:space="0" w:color="000000"/>
            </w:tcBorders>
            <w:shd w:val="clear" w:color="auto" w:fill="FFFFFF"/>
          </w:tcPr>
          <w:p w14:paraId="2A99923F" w14:textId="77777777" w:rsidR="00B00DB7" w:rsidRDefault="00000000">
            <w:r>
              <w:t>整数数组，它是一个有序的值集合，以</w:t>
            </w:r>
            <w:r>
              <w:t>[</w:t>
            </w:r>
            <w:r>
              <w:t>开始和以</w:t>
            </w:r>
            <w:r>
              <w:t>]</w:t>
            </w:r>
            <w:r>
              <w:t>结尾，数组的值用逗号分隔</w:t>
            </w:r>
          </w:p>
        </w:tc>
      </w:tr>
    </w:tbl>
    <w:p w14:paraId="7E68259B" w14:textId="77777777" w:rsidR="00B00DB7" w:rsidRDefault="00000000">
      <w:r>
        <w:rPr>
          <w:rFonts w:ascii="Times New Roman" w:hint="eastAsia"/>
          <w:b/>
          <w:bCs/>
          <w:color w:val="000000"/>
          <w:szCs w:val="24"/>
        </w:rPr>
        <w:t>E.1.4</w:t>
      </w:r>
      <w:r>
        <w:rPr>
          <w:rFonts w:ascii="Times New Roman" w:hint="eastAsia"/>
          <w:color w:val="000000"/>
          <w:szCs w:val="24"/>
        </w:rPr>
        <w:t xml:space="preserve">　</w:t>
      </w:r>
      <w:r>
        <w:t>JSON</w:t>
      </w:r>
      <w:r>
        <w:t>格式数据中提到的数据项，除特别说明外，若没有采样数据时，其值用</w:t>
      </w:r>
      <w:r>
        <w:t>null</w:t>
      </w:r>
      <w:r>
        <w:t>表示，或者该数据项可以不出现，字符串也可以用空字符串表示。</w:t>
      </w:r>
    </w:p>
    <w:p w14:paraId="7C77B1CD" w14:textId="77777777" w:rsidR="00B00DB7" w:rsidRDefault="00000000">
      <w:pPr>
        <w:pStyle w:val="22"/>
      </w:pPr>
      <w:bookmarkStart w:id="116" w:name="_Toc12815"/>
      <w:bookmarkStart w:id="117" w:name="_Toc212497521"/>
      <w:bookmarkStart w:id="118" w:name="_Toc15315"/>
      <w:bookmarkStart w:id="119" w:name="_Toc194686511"/>
      <w:bookmarkStart w:id="120" w:name="_Toc22913"/>
      <w:bookmarkStart w:id="121" w:name="_Toc19624"/>
      <w:bookmarkStart w:id="122" w:name="_Toc26319"/>
      <w:r>
        <w:rPr>
          <w:rFonts w:hint="eastAsia"/>
        </w:rPr>
        <w:t>E</w:t>
      </w:r>
      <w:r>
        <w:t>.2</w:t>
      </w:r>
      <w:r>
        <w:t>静态数据的</w:t>
      </w:r>
      <w:r>
        <w:t>JSON</w:t>
      </w:r>
      <w:r>
        <w:t>格式数据包</w:t>
      </w:r>
      <w:bookmarkEnd w:id="116"/>
      <w:bookmarkEnd w:id="117"/>
      <w:bookmarkEnd w:id="118"/>
      <w:bookmarkEnd w:id="119"/>
      <w:bookmarkEnd w:id="120"/>
      <w:bookmarkEnd w:id="121"/>
      <w:bookmarkEnd w:id="122"/>
    </w:p>
    <w:p w14:paraId="16ED077A" w14:textId="77777777" w:rsidR="00B00DB7" w:rsidRDefault="00000000">
      <w:r>
        <w:rPr>
          <w:rFonts w:ascii="Times New Roman" w:hint="eastAsia"/>
          <w:b/>
          <w:bCs/>
          <w:color w:val="000000"/>
          <w:szCs w:val="24"/>
        </w:rPr>
        <w:t>E.2.1</w:t>
      </w:r>
      <w:r>
        <w:rPr>
          <w:rFonts w:ascii="Times New Roman" w:hint="eastAsia"/>
          <w:color w:val="000000"/>
          <w:szCs w:val="24"/>
        </w:rPr>
        <w:t xml:space="preserve">　</w:t>
      </w:r>
      <w:r>
        <w:t>静态数据的数据包以包对象（</w:t>
      </w:r>
      <w:r>
        <w:t>Package</w:t>
      </w:r>
      <w:r>
        <w:t>）表达，由包头（</w:t>
      </w:r>
      <w:r>
        <w:t>Header</w:t>
      </w:r>
      <w:r>
        <w:t>）和数据单元（</w:t>
      </w:r>
      <w:proofErr w:type="spellStart"/>
      <w:r>
        <w:t>BaseInfo</w:t>
      </w:r>
      <w:proofErr w:type="spellEnd"/>
      <w:r>
        <w:t>）组成，见表</w:t>
      </w:r>
      <w:r>
        <w:t>2</w:t>
      </w:r>
      <w:r>
        <w:t>。</w:t>
      </w:r>
    </w:p>
    <w:p w14:paraId="1E448C7E" w14:textId="77777777" w:rsidR="00B00DB7" w:rsidRDefault="00B00DB7">
      <w:pPr>
        <w:jc w:val="center"/>
      </w:pPr>
    </w:p>
    <w:p w14:paraId="46CE87F4" w14:textId="77777777" w:rsidR="00B00DB7" w:rsidRDefault="00000000">
      <w:pPr>
        <w:jc w:val="center"/>
      </w:pPr>
      <w:r>
        <w:t>表</w:t>
      </w:r>
      <w:r>
        <w:rPr>
          <w:rFonts w:hint="eastAsia"/>
        </w:rPr>
        <w:t>E</w:t>
      </w:r>
      <w:r>
        <w:t xml:space="preserve">2 </w:t>
      </w:r>
      <w:r>
        <w:t>静态数据数据包的字段格式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481"/>
        <w:gridCol w:w="1213"/>
        <w:gridCol w:w="4684"/>
      </w:tblGrid>
      <w:tr w:rsidR="00B00DB7" w14:paraId="702EFDE7" w14:textId="77777777">
        <w:trPr>
          <w:jc w:val="center"/>
        </w:trPr>
        <w:tc>
          <w:tcPr>
            <w:tcW w:w="1778"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7C426EBC" w14:textId="77777777" w:rsidR="00B00DB7" w:rsidRDefault="00000000">
            <w:r>
              <w:t>字段标识</w:t>
            </w:r>
          </w:p>
        </w:tc>
        <w:tc>
          <w:tcPr>
            <w:tcW w:w="1354"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1B9F0CFF" w14:textId="77777777" w:rsidR="00B00DB7" w:rsidRDefault="00000000">
            <w:r>
              <w:t>数据类型</w:t>
            </w:r>
          </w:p>
        </w:tc>
        <w:tc>
          <w:tcPr>
            <w:tcW w:w="1109"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FC25F4A" w14:textId="77777777" w:rsidR="00B00DB7" w:rsidRDefault="00000000">
            <w:r>
              <w:t>字段名称</w:t>
            </w:r>
          </w:p>
        </w:tc>
        <w:tc>
          <w:tcPr>
            <w:tcW w:w="4281"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1ECE6CC1" w14:textId="77777777" w:rsidR="00B00DB7" w:rsidRDefault="00000000">
            <w:r>
              <w:t>解释说明</w:t>
            </w:r>
          </w:p>
        </w:tc>
      </w:tr>
      <w:tr w:rsidR="00B00DB7" w14:paraId="4095D6F3" w14:textId="77777777">
        <w:trPr>
          <w:jc w:val="center"/>
        </w:trPr>
        <w:tc>
          <w:tcPr>
            <w:tcW w:w="1778"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55CF864C" w14:textId="77777777" w:rsidR="00B00DB7" w:rsidRDefault="00000000">
            <w:r>
              <w:t>Header</w:t>
            </w:r>
          </w:p>
        </w:tc>
        <w:tc>
          <w:tcPr>
            <w:tcW w:w="13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FE35C" w14:textId="77777777" w:rsidR="00B00DB7" w:rsidRDefault="00000000">
            <w:r>
              <w:t>对象</w:t>
            </w:r>
          </w:p>
        </w:tc>
        <w:tc>
          <w:tcPr>
            <w:tcW w:w="1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1FA6B" w14:textId="77777777" w:rsidR="00B00DB7" w:rsidRDefault="00000000">
            <w:r>
              <w:t>包头</w:t>
            </w:r>
          </w:p>
        </w:tc>
        <w:tc>
          <w:tcPr>
            <w:tcW w:w="4281"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310A4F9" w14:textId="77777777" w:rsidR="00B00DB7" w:rsidRDefault="00B00DB7"/>
        </w:tc>
      </w:tr>
      <w:tr w:rsidR="00B00DB7" w14:paraId="4ED0ED95" w14:textId="77777777">
        <w:trPr>
          <w:jc w:val="center"/>
        </w:trPr>
        <w:tc>
          <w:tcPr>
            <w:tcW w:w="1778"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4F63F0BB" w14:textId="77777777" w:rsidR="00B00DB7" w:rsidRDefault="00000000">
            <w:proofErr w:type="spellStart"/>
            <w:r>
              <w:t>BaseInfo</w:t>
            </w:r>
            <w:proofErr w:type="spellEnd"/>
          </w:p>
        </w:tc>
        <w:tc>
          <w:tcPr>
            <w:tcW w:w="135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8172893" w14:textId="77777777" w:rsidR="00B00DB7" w:rsidRDefault="00000000">
            <w:r>
              <w:t>对象</w:t>
            </w:r>
          </w:p>
        </w:tc>
        <w:tc>
          <w:tcPr>
            <w:tcW w:w="110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B7C65CC" w14:textId="77777777" w:rsidR="00B00DB7" w:rsidRDefault="00000000">
            <w:r>
              <w:t>数据单元</w:t>
            </w:r>
          </w:p>
        </w:tc>
        <w:tc>
          <w:tcPr>
            <w:tcW w:w="4281" w:type="dxa"/>
            <w:tcBorders>
              <w:top w:val="single" w:sz="4" w:space="0" w:color="000000"/>
              <w:left w:val="single" w:sz="4" w:space="0" w:color="000000"/>
              <w:bottom w:val="single" w:sz="12" w:space="0" w:color="000000"/>
              <w:right w:val="single" w:sz="12" w:space="0" w:color="000000"/>
            </w:tcBorders>
            <w:shd w:val="clear" w:color="auto" w:fill="FFFFFF"/>
            <w:vAlign w:val="center"/>
          </w:tcPr>
          <w:p w14:paraId="2E5A0725" w14:textId="77777777" w:rsidR="00B00DB7" w:rsidRDefault="00B00DB7"/>
        </w:tc>
      </w:tr>
    </w:tbl>
    <w:p w14:paraId="4037507C" w14:textId="77777777" w:rsidR="00B00DB7" w:rsidRDefault="00000000">
      <w:r>
        <w:rPr>
          <w:rFonts w:ascii="Times New Roman" w:hint="eastAsia"/>
          <w:b/>
          <w:bCs/>
          <w:color w:val="000000"/>
          <w:szCs w:val="24"/>
        </w:rPr>
        <w:t>E.2.2</w:t>
      </w:r>
      <w:r>
        <w:rPr>
          <w:rFonts w:ascii="Times New Roman" w:hint="eastAsia"/>
          <w:color w:val="000000"/>
          <w:szCs w:val="24"/>
        </w:rPr>
        <w:t xml:space="preserve">　</w:t>
      </w:r>
      <w:r>
        <w:t>包头（</w:t>
      </w:r>
      <w:r>
        <w:t>Header</w:t>
      </w:r>
      <w:r>
        <w:t>）应由表</w:t>
      </w:r>
      <w:r>
        <w:rPr>
          <w:rFonts w:hint="eastAsia"/>
        </w:rPr>
        <w:t>E</w:t>
      </w:r>
      <w:r>
        <w:t>3</w:t>
      </w:r>
      <w:r>
        <w:t>所列数据字段组成，表中所列数据项除特别说明外均为必选项。</w:t>
      </w:r>
    </w:p>
    <w:p w14:paraId="25177958" w14:textId="77777777" w:rsidR="00B00DB7" w:rsidRDefault="00000000">
      <w:pPr>
        <w:jc w:val="center"/>
      </w:pPr>
      <w:r>
        <w:lastRenderedPageBreak/>
        <w:t>表</w:t>
      </w:r>
      <w:r>
        <w:rPr>
          <w:rFonts w:hint="eastAsia"/>
        </w:rPr>
        <w:t>E</w:t>
      </w:r>
      <w:r>
        <w:t xml:space="preserve">3 </w:t>
      </w:r>
      <w:r>
        <w:t>静态数据包头的字段格式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484"/>
        <w:gridCol w:w="1214"/>
        <w:gridCol w:w="4678"/>
      </w:tblGrid>
      <w:tr w:rsidR="00B00DB7" w14:paraId="6905CA14" w14:textId="77777777">
        <w:trPr>
          <w:jc w:val="center"/>
        </w:trPr>
        <w:tc>
          <w:tcPr>
            <w:tcW w:w="1780"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1096E5B6" w14:textId="77777777" w:rsidR="00B00DB7" w:rsidRDefault="00000000">
            <w:r>
              <w:t>字段标识</w:t>
            </w:r>
          </w:p>
        </w:tc>
        <w:tc>
          <w:tcPr>
            <w:tcW w:w="1356"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07F72833" w14:textId="77777777" w:rsidR="00B00DB7" w:rsidRDefault="00000000">
            <w:r>
              <w:t>数据类型</w:t>
            </w:r>
          </w:p>
        </w:tc>
        <w:tc>
          <w:tcPr>
            <w:tcW w:w="1110"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FCDDF08" w14:textId="77777777" w:rsidR="00B00DB7" w:rsidRDefault="00000000">
            <w:r>
              <w:t>字段名称</w:t>
            </w:r>
          </w:p>
        </w:tc>
        <w:tc>
          <w:tcPr>
            <w:tcW w:w="4276"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07F1F9B8" w14:textId="77777777" w:rsidR="00B00DB7" w:rsidRDefault="00000000">
            <w:r>
              <w:t>解释说明</w:t>
            </w:r>
          </w:p>
        </w:tc>
      </w:tr>
      <w:tr w:rsidR="00B00DB7" w14:paraId="27A8147D" w14:textId="77777777">
        <w:trPr>
          <w:jc w:val="center"/>
        </w:trPr>
        <w:tc>
          <w:tcPr>
            <w:tcW w:w="178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E2650FC" w14:textId="77777777" w:rsidR="00B00DB7" w:rsidRDefault="00000000">
            <w:r>
              <w:t>Version</w:t>
            </w:r>
          </w:p>
        </w:tc>
        <w:tc>
          <w:tcPr>
            <w:tcW w:w="13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DA6B8" w14:textId="77777777" w:rsidR="00B00DB7" w:rsidRDefault="00000000">
            <w:r>
              <w:t>整数</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1AC26" w14:textId="77777777" w:rsidR="00B00DB7" w:rsidRDefault="00000000">
            <w:r>
              <w:t>版本号</w:t>
            </w:r>
          </w:p>
        </w:tc>
        <w:tc>
          <w:tcPr>
            <w:tcW w:w="4276"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965F657" w14:textId="77777777" w:rsidR="00B00DB7" w:rsidRDefault="00000000">
            <w:r>
              <w:t>区分数据格式的版本，恒定为</w:t>
            </w:r>
            <w:r>
              <w:t>2025</w:t>
            </w:r>
          </w:p>
        </w:tc>
      </w:tr>
      <w:tr w:rsidR="00B00DB7" w14:paraId="5045DD92" w14:textId="77777777">
        <w:trPr>
          <w:jc w:val="center"/>
        </w:trPr>
        <w:tc>
          <w:tcPr>
            <w:tcW w:w="178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7626D1AE" w14:textId="77777777" w:rsidR="00B00DB7" w:rsidRDefault="00000000">
            <w:r>
              <w:t>Author</w:t>
            </w:r>
          </w:p>
        </w:tc>
        <w:tc>
          <w:tcPr>
            <w:tcW w:w="13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6EAFC" w14:textId="77777777" w:rsidR="00B00DB7" w:rsidRDefault="00000000">
            <w:r>
              <w:t>字符串</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1993F" w14:textId="77777777" w:rsidR="00B00DB7" w:rsidRDefault="00000000">
            <w:r>
              <w:t>报送方</w:t>
            </w:r>
          </w:p>
        </w:tc>
        <w:tc>
          <w:tcPr>
            <w:tcW w:w="4276"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150B53E" w14:textId="77777777" w:rsidR="00B00DB7" w:rsidRDefault="00000000">
            <w:r>
              <w:t>数据报送方，例如：</w:t>
            </w:r>
            <w:r>
              <w:t>xxx</w:t>
            </w:r>
            <w:r>
              <w:t>单位</w:t>
            </w:r>
          </w:p>
        </w:tc>
      </w:tr>
      <w:tr w:rsidR="00B00DB7" w14:paraId="1B2C69D6" w14:textId="77777777">
        <w:trPr>
          <w:jc w:val="center"/>
        </w:trPr>
        <w:tc>
          <w:tcPr>
            <w:tcW w:w="178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2351FFE9" w14:textId="77777777" w:rsidR="00B00DB7" w:rsidRDefault="00000000">
            <w:proofErr w:type="spellStart"/>
            <w:r>
              <w:t>TimeStamp</w:t>
            </w:r>
            <w:proofErr w:type="spellEnd"/>
          </w:p>
        </w:tc>
        <w:tc>
          <w:tcPr>
            <w:tcW w:w="13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D34744" w14:textId="77777777" w:rsidR="00B00DB7" w:rsidRDefault="00000000">
            <w:r>
              <w:t>字符串</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1C955" w14:textId="77777777" w:rsidR="00B00DB7" w:rsidRDefault="00000000">
            <w:r>
              <w:t>报送时间</w:t>
            </w:r>
          </w:p>
        </w:tc>
        <w:tc>
          <w:tcPr>
            <w:tcW w:w="4276"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9757C40" w14:textId="77777777" w:rsidR="00B00DB7" w:rsidRDefault="00000000">
            <w:r>
              <w:t>报送数据的时间，</w:t>
            </w:r>
            <w:r>
              <w:t>UTC</w:t>
            </w:r>
            <w:r>
              <w:t>时间，年月日时分秒，例如：</w:t>
            </w:r>
            <w:r>
              <w:t>2024-01-01T12:05:01Z</w:t>
            </w:r>
          </w:p>
        </w:tc>
      </w:tr>
      <w:tr w:rsidR="00B00DB7" w14:paraId="5F617C7E" w14:textId="77777777">
        <w:trPr>
          <w:jc w:val="center"/>
        </w:trPr>
        <w:tc>
          <w:tcPr>
            <w:tcW w:w="1780"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11E4EE44" w14:textId="77777777" w:rsidR="00B00DB7" w:rsidRDefault="00000000">
            <w:proofErr w:type="spellStart"/>
            <w:r>
              <w:t>ShipID</w:t>
            </w:r>
            <w:proofErr w:type="spellEnd"/>
          </w:p>
        </w:tc>
        <w:tc>
          <w:tcPr>
            <w:tcW w:w="1356"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6957109" w14:textId="77777777" w:rsidR="00B00DB7" w:rsidRDefault="00000000">
            <w:r>
              <w:t>字符串</w:t>
            </w:r>
          </w:p>
        </w:tc>
        <w:tc>
          <w:tcPr>
            <w:tcW w:w="111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7E1E20EF" w14:textId="77777777" w:rsidR="00B00DB7" w:rsidRDefault="00000000">
            <w:r>
              <w:t>船舶编号</w:t>
            </w:r>
          </w:p>
        </w:tc>
        <w:tc>
          <w:tcPr>
            <w:tcW w:w="4276" w:type="dxa"/>
            <w:tcBorders>
              <w:top w:val="single" w:sz="4" w:space="0" w:color="000000"/>
              <w:left w:val="single" w:sz="4" w:space="0" w:color="000000"/>
              <w:bottom w:val="single" w:sz="12" w:space="0" w:color="000000"/>
              <w:right w:val="single" w:sz="12" w:space="0" w:color="000000"/>
            </w:tcBorders>
            <w:shd w:val="clear" w:color="auto" w:fill="FFFFFF"/>
            <w:vAlign w:val="center"/>
          </w:tcPr>
          <w:p w14:paraId="64E279A4" w14:textId="77777777" w:rsidR="00B00DB7" w:rsidRDefault="00000000">
            <w:r>
              <w:t>国内船舶的船舶识别号，或国际船舶的</w:t>
            </w:r>
            <w:r>
              <w:t>IMO</w:t>
            </w:r>
            <w:r>
              <w:t>登记号。例如：</w:t>
            </w:r>
            <w:r>
              <w:t>CN202212345672</w:t>
            </w:r>
            <w:r>
              <w:t>或</w:t>
            </w:r>
            <w:r>
              <w:t>IMO1234567</w:t>
            </w:r>
          </w:p>
        </w:tc>
      </w:tr>
    </w:tbl>
    <w:p w14:paraId="39F1C78A" w14:textId="77777777" w:rsidR="00B00DB7" w:rsidRDefault="00000000">
      <w:r>
        <w:rPr>
          <w:rFonts w:ascii="Times New Roman" w:hint="eastAsia"/>
          <w:b/>
          <w:bCs/>
          <w:color w:val="000000"/>
          <w:szCs w:val="24"/>
        </w:rPr>
        <w:t>E.2.3</w:t>
      </w:r>
      <w:r>
        <w:rPr>
          <w:rFonts w:ascii="Times New Roman" w:hint="eastAsia"/>
          <w:color w:val="000000"/>
          <w:szCs w:val="24"/>
        </w:rPr>
        <w:t xml:space="preserve">　</w:t>
      </w:r>
      <w:r>
        <w:t>数据单元（</w:t>
      </w:r>
      <w:proofErr w:type="spellStart"/>
      <w:r>
        <w:t>BaseInfo</w:t>
      </w:r>
      <w:proofErr w:type="spellEnd"/>
      <w:r>
        <w:t>）应由表</w:t>
      </w:r>
      <w:r>
        <w:rPr>
          <w:rFonts w:hint="eastAsia"/>
        </w:rPr>
        <w:t>E</w:t>
      </w:r>
      <w:r>
        <w:t>4</w:t>
      </w:r>
      <w:r>
        <w:t>所列静态信息体和静态信息体数组组成，表中所列数据项均为可选项。</w:t>
      </w:r>
    </w:p>
    <w:p w14:paraId="0B80C3D7" w14:textId="77777777" w:rsidR="00B00DB7" w:rsidRDefault="00000000">
      <w:pPr>
        <w:jc w:val="center"/>
      </w:pPr>
      <w:r>
        <w:t>表</w:t>
      </w:r>
      <w:r>
        <w:rPr>
          <w:rFonts w:hint="eastAsia"/>
        </w:rPr>
        <w:t>E</w:t>
      </w:r>
      <w:r>
        <w:t xml:space="preserve">4 </w:t>
      </w:r>
      <w:r>
        <w:t>静态</w:t>
      </w:r>
      <w:proofErr w:type="gramStart"/>
      <w:r>
        <w:t>数据数据</w:t>
      </w:r>
      <w:proofErr w:type="gramEnd"/>
      <w:r>
        <w:t>单元的静态信息体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502"/>
        <w:gridCol w:w="2907"/>
        <w:gridCol w:w="2942"/>
      </w:tblGrid>
      <w:tr w:rsidR="00B00DB7" w14:paraId="1C1B566D" w14:textId="77777777">
        <w:trPr>
          <w:jc w:val="center"/>
        </w:trPr>
        <w:tc>
          <w:tcPr>
            <w:tcW w:w="1803"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65E5C640" w14:textId="77777777" w:rsidR="00B00DB7" w:rsidRDefault="00000000">
            <w:r>
              <w:t>字段标识</w:t>
            </w:r>
          </w:p>
        </w:tc>
        <w:tc>
          <w:tcPr>
            <w:tcW w:w="1373"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AF37977" w14:textId="77777777" w:rsidR="00B00DB7" w:rsidRDefault="00000000">
            <w:r>
              <w:t>数据类型</w:t>
            </w:r>
          </w:p>
        </w:tc>
        <w:tc>
          <w:tcPr>
            <w:tcW w:w="265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9879982" w14:textId="77777777" w:rsidR="00B00DB7" w:rsidRDefault="00000000">
            <w:r>
              <w:t>字段名称</w:t>
            </w:r>
          </w:p>
        </w:tc>
        <w:tc>
          <w:tcPr>
            <w:tcW w:w="2689"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5218CA72" w14:textId="77777777" w:rsidR="00B00DB7" w:rsidRDefault="00000000">
            <w:r>
              <w:t>解释说明</w:t>
            </w:r>
          </w:p>
        </w:tc>
      </w:tr>
      <w:tr w:rsidR="00B00DB7" w14:paraId="310FF2BA"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5FCF535C" w14:textId="77777777" w:rsidR="00B00DB7" w:rsidRDefault="00000000">
            <w:r>
              <w:t>Ship</w:t>
            </w:r>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BDE05E" w14:textId="77777777" w:rsidR="00B00DB7" w:rsidRDefault="00000000">
            <w:r>
              <w:t>对象</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537DD" w14:textId="77777777" w:rsidR="00B00DB7" w:rsidRDefault="00000000">
            <w:r>
              <w:t>船舶静态信息体</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A4CD83A" w14:textId="77777777" w:rsidR="00B00DB7" w:rsidRDefault="00000000">
            <w:r>
              <w:t>静态信息体详见第</w:t>
            </w:r>
            <w:r>
              <w:t>3</w:t>
            </w:r>
            <w:r>
              <w:t>节</w:t>
            </w:r>
          </w:p>
        </w:tc>
      </w:tr>
      <w:tr w:rsidR="00B00DB7" w14:paraId="18674EEC"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4BDF9240" w14:textId="77777777" w:rsidR="00B00DB7" w:rsidRDefault="00000000">
            <w:proofErr w:type="spellStart"/>
            <w:r>
              <w:t>PowerSys</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FA826E" w14:textId="77777777" w:rsidR="00B00DB7" w:rsidRDefault="00000000">
            <w:r>
              <w:t>对象</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AA65A" w14:textId="77777777" w:rsidR="00B00DB7" w:rsidRDefault="00000000">
            <w:r>
              <w:t>船舶动力系统静态信息体</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17CB638" w14:textId="77777777" w:rsidR="00B00DB7" w:rsidRDefault="00000000">
            <w:r>
              <w:t>静态信息体详见第</w:t>
            </w:r>
            <w:r>
              <w:t>3</w:t>
            </w:r>
            <w:r>
              <w:t>节</w:t>
            </w:r>
          </w:p>
        </w:tc>
      </w:tr>
      <w:tr w:rsidR="00B00DB7" w14:paraId="64FC8E39"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4E4B7FA3" w14:textId="77777777" w:rsidR="00B00DB7" w:rsidRDefault="00000000">
            <w:proofErr w:type="spellStart"/>
            <w:r>
              <w:t>BatterySys</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C6A21" w14:textId="77777777" w:rsidR="00B00DB7" w:rsidRDefault="00000000">
            <w:r>
              <w:t>对象</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04CA0" w14:textId="77777777" w:rsidR="00B00DB7" w:rsidRDefault="00000000">
            <w:r>
              <w:t>电池系统静态信息体</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2F891C3" w14:textId="77777777" w:rsidR="00B00DB7" w:rsidRDefault="00000000">
            <w:r>
              <w:t>静态信息体详见第</w:t>
            </w:r>
            <w:r>
              <w:t>3</w:t>
            </w:r>
            <w:r>
              <w:t>节</w:t>
            </w:r>
          </w:p>
        </w:tc>
      </w:tr>
      <w:tr w:rsidR="00B00DB7" w14:paraId="46BCB2D7"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tcPr>
          <w:p w14:paraId="47E91D3D" w14:textId="77777777" w:rsidR="00B00DB7" w:rsidRDefault="00000000">
            <w:r>
              <w:t>Charger</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14:paraId="551382A7"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tcPr>
          <w:p w14:paraId="6888242C" w14:textId="77777777" w:rsidR="00B00DB7" w:rsidRDefault="00000000">
            <w:r>
              <w:t>充电装置静态信息体数组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9E08E37" w14:textId="77777777" w:rsidR="00B00DB7" w:rsidRDefault="00000000">
            <w:r>
              <w:t>静态信息体详见第</w:t>
            </w:r>
            <w:r>
              <w:t>3</w:t>
            </w:r>
            <w:r>
              <w:t>节</w:t>
            </w:r>
          </w:p>
        </w:tc>
      </w:tr>
      <w:tr w:rsidR="00B00DB7" w14:paraId="532E9B26"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5025BA4C" w14:textId="77777777" w:rsidR="00B00DB7" w:rsidRDefault="00000000">
            <w:r>
              <w:t>Compartment</w:t>
            </w:r>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8C76E"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7AE4A" w14:textId="77777777" w:rsidR="00B00DB7" w:rsidRDefault="00000000">
            <w:r>
              <w:t>电池舱</w:t>
            </w:r>
            <w:r>
              <w:t>/</w:t>
            </w:r>
            <w:r>
              <w:t>箱</w:t>
            </w:r>
            <w:r>
              <w:t>/</w:t>
            </w:r>
            <w:r>
              <w:t>柜静态信息体数组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9A612DD" w14:textId="77777777" w:rsidR="00B00DB7" w:rsidRDefault="00000000">
            <w:r>
              <w:t>静态信息体详见第</w:t>
            </w:r>
            <w:r>
              <w:t>3</w:t>
            </w:r>
            <w:r>
              <w:t>节</w:t>
            </w:r>
          </w:p>
        </w:tc>
      </w:tr>
      <w:tr w:rsidR="00B00DB7" w14:paraId="0E253762"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3E02EC1A" w14:textId="77777777" w:rsidR="00B00DB7" w:rsidRDefault="00000000">
            <w:proofErr w:type="spellStart"/>
            <w:r>
              <w:t>BatteryGroup</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87F7C"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AF69F3" w14:textId="77777777" w:rsidR="00B00DB7" w:rsidRDefault="00000000">
            <w:r>
              <w:t>电池组静态信息体数组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9806811" w14:textId="77777777" w:rsidR="00B00DB7" w:rsidRDefault="00000000">
            <w:r>
              <w:t>静态信息体详见第</w:t>
            </w:r>
            <w:r>
              <w:t>3</w:t>
            </w:r>
            <w:r>
              <w:t>节</w:t>
            </w:r>
          </w:p>
        </w:tc>
      </w:tr>
      <w:tr w:rsidR="00B00DB7" w14:paraId="68392A03"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44CA70F6" w14:textId="77777777" w:rsidR="00B00DB7" w:rsidRDefault="00000000">
            <w:proofErr w:type="spellStart"/>
            <w:r>
              <w:t>BatteryCluster</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C5659"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96B06" w14:textId="77777777" w:rsidR="00B00DB7" w:rsidRDefault="00000000">
            <w:r>
              <w:t>电池</w:t>
            </w:r>
            <w:proofErr w:type="gramStart"/>
            <w:r>
              <w:t>簇</w:t>
            </w:r>
            <w:proofErr w:type="gramEnd"/>
            <w:r>
              <w:t>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13BA518" w14:textId="77777777" w:rsidR="00B00DB7" w:rsidRDefault="00000000">
            <w:r>
              <w:t>静态信息体详见第</w:t>
            </w:r>
            <w:r>
              <w:t>3</w:t>
            </w:r>
            <w:r>
              <w:t>节</w:t>
            </w:r>
          </w:p>
        </w:tc>
      </w:tr>
      <w:tr w:rsidR="00B00DB7" w14:paraId="1C2C2F0D"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740D99F1" w14:textId="77777777" w:rsidR="00B00DB7" w:rsidRDefault="00000000">
            <w:proofErr w:type="spellStart"/>
            <w:r>
              <w:t>BatteryPack</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7AA96"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B81609" w14:textId="77777777" w:rsidR="00B00DB7" w:rsidRDefault="00000000">
            <w:r>
              <w:t>电池包静态信息体数组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75320D11" w14:textId="77777777" w:rsidR="00B00DB7" w:rsidRDefault="00000000">
            <w:r>
              <w:t>静态信息体详见第</w:t>
            </w:r>
            <w:r>
              <w:t>3</w:t>
            </w:r>
            <w:r>
              <w:t>节</w:t>
            </w:r>
          </w:p>
        </w:tc>
      </w:tr>
      <w:tr w:rsidR="00B00DB7" w14:paraId="7DD340EC"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6615D286" w14:textId="77777777" w:rsidR="00B00DB7" w:rsidRDefault="00000000">
            <w:proofErr w:type="spellStart"/>
            <w:r>
              <w:t>CDSys</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A3F7C"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26BF6" w14:textId="77777777" w:rsidR="00B00DB7" w:rsidRDefault="00000000">
            <w:r>
              <w:t>配电系统静态数组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1149635" w14:textId="77777777" w:rsidR="00B00DB7" w:rsidRDefault="00000000">
            <w:r>
              <w:t>静态信息体详见第</w:t>
            </w:r>
            <w:r>
              <w:t>3</w:t>
            </w:r>
            <w:r>
              <w:t>节</w:t>
            </w:r>
          </w:p>
        </w:tc>
      </w:tr>
      <w:tr w:rsidR="00B00DB7" w14:paraId="79B6139F"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2C6E9D7D" w14:textId="77777777" w:rsidR="00B00DB7" w:rsidRDefault="00000000">
            <w:proofErr w:type="spellStart"/>
            <w:r>
              <w:t>CBus</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C92B6"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522D6" w14:textId="77777777" w:rsidR="00B00DB7" w:rsidRDefault="00000000">
            <w:proofErr w:type="gramStart"/>
            <w:r>
              <w:t>母排分段</w:t>
            </w:r>
            <w:proofErr w:type="gramEnd"/>
            <w:r>
              <w:t>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tcPr>
          <w:p w14:paraId="670659F6" w14:textId="77777777" w:rsidR="00B00DB7" w:rsidRDefault="00000000">
            <w:r>
              <w:t>静态信息体详见第</w:t>
            </w:r>
            <w:r>
              <w:t>3</w:t>
            </w:r>
            <w:r>
              <w:t>节</w:t>
            </w:r>
          </w:p>
        </w:tc>
      </w:tr>
      <w:tr w:rsidR="00B00DB7" w14:paraId="7FBA5E02"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tcPr>
          <w:p w14:paraId="591BB21F" w14:textId="77777777" w:rsidR="00B00DB7" w:rsidRDefault="00000000">
            <w:r>
              <w:t>Converter</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14:paraId="168D36BE"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tcPr>
          <w:p w14:paraId="4279C494" w14:textId="77777777" w:rsidR="00B00DB7" w:rsidRDefault="00000000">
            <w:r>
              <w:t>变流器静态信息体数组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tcPr>
          <w:p w14:paraId="54774C63" w14:textId="77777777" w:rsidR="00B00DB7" w:rsidRDefault="00000000">
            <w:r>
              <w:t>静态信息体详见第</w:t>
            </w:r>
            <w:r>
              <w:t>3</w:t>
            </w:r>
            <w:r>
              <w:t>节</w:t>
            </w:r>
          </w:p>
        </w:tc>
      </w:tr>
      <w:tr w:rsidR="00B00DB7" w14:paraId="7CE13D2E"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tcPr>
          <w:p w14:paraId="2BB57015" w14:textId="77777777" w:rsidR="00B00DB7" w:rsidRDefault="00000000">
            <w:proofErr w:type="spellStart"/>
            <w:r>
              <w:t>PropulsionSys</w:t>
            </w:r>
            <w:proofErr w:type="spellEnd"/>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14:paraId="6A99AB1F"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tcPr>
          <w:p w14:paraId="2446A7C5" w14:textId="77777777" w:rsidR="00B00DB7" w:rsidRDefault="00000000">
            <w:r>
              <w:t>推进系统静态信息体数组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tcPr>
          <w:p w14:paraId="459EEC6F" w14:textId="77777777" w:rsidR="00B00DB7" w:rsidRDefault="00000000">
            <w:r>
              <w:t>静态信息体详见第</w:t>
            </w:r>
            <w:r>
              <w:t>3</w:t>
            </w:r>
            <w:r>
              <w:t>节</w:t>
            </w:r>
          </w:p>
        </w:tc>
      </w:tr>
      <w:tr w:rsidR="00B00DB7" w14:paraId="2BB79ED3" w14:textId="77777777">
        <w:trPr>
          <w:trHeight w:val="315"/>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tcPr>
          <w:p w14:paraId="67F50C43" w14:textId="77777777" w:rsidR="00B00DB7" w:rsidRDefault="00000000">
            <w:r>
              <w:t>Motor</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14:paraId="3EE45E9A"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tcPr>
          <w:p w14:paraId="5A0E01E0" w14:textId="77777777" w:rsidR="00B00DB7" w:rsidRDefault="00000000">
            <w:r>
              <w:t>推进电机静态信息体数组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tcPr>
          <w:p w14:paraId="666AD699" w14:textId="77777777" w:rsidR="00B00DB7" w:rsidRDefault="00000000">
            <w:r>
              <w:t>静态信息体详见第</w:t>
            </w:r>
            <w:r>
              <w:t>3</w:t>
            </w:r>
            <w:r>
              <w:t>节</w:t>
            </w:r>
          </w:p>
        </w:tc>
      </w:tr>
      <w:tr w:rsidR="00B00DB7" w14:paraId="1710636D" w14:textId="77777777">
        <w:trPr>
          <w:jc w:val="center"/>
        </w:trPr>
        <w:tc>
          <w:tcPr>
            <w:tcW w:w="1803" w:type="dxa"/>
            <w:tcBorders>
              <w:top w:val="single" w:sz="4" w:space="0" w:color="000000"/>
              <w:left w:val="single" w:sz="12" w:space="0" w:color="000000"/>
              <w:bottom w:val="single" w:sz="4" w:space="0" w:color="000000"/>
              <w:right w:val="single" w:sz="4" w:space="0" w:color="000000"/>
            </w:tcBorders>
            <w:shd w:val="clear" w:color="auto" w:fill="FFFFFF"/>
          </w:tcPr>
          <w:p w14:paraId="3E54C611" w14:textId="77777777" w:rsidR="00B00DB7" w:rsidRDefault="00000000">
            <w:r>
              <w:t>Propeller</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cPr>
          <w:p w14:paraId="553F439B" w14:textId="77777777" w:rsidR="00B00DB7" w:rsidRDefault="00000000">
            <w:r>
              <w:t>对象数组</w:t>
            </w:r>
          </w:p>
        </w:tc>
        <w:tc>
          <w:tcPr>
            <w:tcW w:w="2657" w:type="dxa"/>
            <w:tcBorders>
              <w:top w:val="single" w:sz="4" w:space="0" w:color="000000"/>
              <w:left w:val="single" w:sz="4" w:space="0" w:color="000000"/>
              <w:bottom w:val="single" w:sz="4" w:space="0" w:color="000000"/>
              <w:right w:val="single" w:sz="4" w:space="0" w:color="000000"/>
            </w:tcBorders>
            <w:shd w:val="clear" w:color="auto" w:fill="FFFFFF"/>
          </w:tcPr>
          <w:p w14:paraId="77116B72" w14:textId="77777777" w:rsidR="00B00DB7" w:rsidRDefault="00000000">
            <w:r>
              <w:t>推进器静态信息体数组</w:t>
            </w:r>
          </w:p>
        </w:tc>
        <w:tc>
          <w:tcPr>
            <w:tcW w:w="2689" w:type="dxa"/>
            <w:tcBorders>
              <w:top w:val="single" w:sz="4" w:space="0" w:color="000000"/>
              <w:left w:val="single" w:sz="4" w:space="0" w:color="000000"/>
              <w:bottom w:val="single" w:sz="4" w:space="0" w:color="000000"/>
              <w:right w:val="single" w:sz="12" w:space="0" w:color="000000"/>
            </w:tcBorders>
            <w:shd w:val="clear" w:color="auto" w:fill="FFFFFF"/>
          </w:tcPr>
          <w:p w14:paraId="7253E1F5" w14:textId="77777777" w:rsidR="00B00DB7" w:rsidRDefault="00000000">
            <w:r>
              <w:t>静态信息体详见第</w:t>
            </w:r>
            <w:r>
              <w:t>3</w:t>
            </w:r>
            <w:r>
              <w:t>节</w:t>
            </w:r>
          </w:p>
        </w:tc>
      </w:tr>
      <w:tr w:rsidR="00B00DB7" w14:paraId="6B1AC265" w14:textId="77777777">
        <w:trPr>
          <w:jc w:val="center"/>
        </w:trPr>
        <w:tc>
          <w:tcPr>
            <w:tcW w:w="1803" w:type="dxa"/>
            <w:tcBorders>
              <w:top w:val="single" w:sz="4" w:space="0" w:color="000000"/>
              <w:left w:val="single" w:sz="12" w:space="0" w:color="000000"/>
              <w:bottom w:val="single" w:sz="12" w:space="0" w:color="000000"/>
              <w:right w:val="single" w:sz="4" w:space="0" w:color="000000"/>
            </w:tcBorders>
            <w:shd w:val="clear" w:color="auto" w:fill="FFFFFF"/>
          </w:tcPr>
          <w:p w14:paraId="6AC303F8" w14:textId="77777777" w:rsidR="00B00DB7" w:rsidRDefault="00000000">
            <w:r>
              <w:t>Rudder</w:t>
            </w:r>
          </w:p>
        </w:tc>
        <w:tc>
          <w:tcPr>
            <w:tcW w:w="1373" w:type="dxa"/>
            <w:tcBorders>
              <w:top w:val="single" w:sz="4" w:space="0" w:color="000000"/>
              <w:left w:val="single" w:sz="4" w:space="0" w:color="000000"/>
              <w:bottom w:val="single" w:sz="12" w:space="0" w:color="000000"/>
              <w:right w:val="single" w:sz="4" w:space="0" w:color="000000"/>
            </w:tcBorders>
            <w:shd w:val="clear" w:color="auto" w:fill="FFFFFF"/>
          </w:tcPr>
          <w:p w14:paraId="567C23D9" w14:textId="77777777" w:rsidR="00B00DB7" w:rsidRDefault="00000000">
            <w:r>
              <w:t>对象数组</w:t>
            </w:r>
          </w:p>
        </w:tc>
        <w:tc>
          <w:tcPr>
            <w:tcW w:w="2657" w:type="dxa"/>
            <w:tcBorders>
              <w:top w:val="single" w:sz="4" w:space="0" w:color="000000"/>
              <w:left w:val="single" w:sz="4" w:space="0" w:color="000000"/>
              <w:bottom w:val="single" w:sz="12" w:space="0" w:color="000000"/>
              <w:right w:val="single" w:sz="4" w:space="0" w:color="000000"/>
            </w:tcBorders>
            <w:shd w:val="clear" w:color="auto" w:fill="FFFFFF"/>
          </w:tcPr>
          <w:p w14:paraId="7378251A" w14:textId="77777777" w:rsidR="00B00DB7" w:rsidRDefault="00000000">
            <w:r>
              <w:t>操舵装置静态信息体数组</w:t>
            </w:r>
          </w:p>
        </w:tc>
        <w:tc>
          <w:tcPr>
            <w:tcW w:w="2689" w:type="dxa"/>
            <w:tcBorders>
              <w:top w:val="single" w:sz="4" w:space="0" w:color="000000"/>
              <w:left w:val="single" w:sz="4" w:space="0" w:color="000000"/>
              <w:bottom w:val="single" w:sz="12" w:space="0" w:color="000000"/>
              <w:right w:val="single" w:sz="12" w:space="0" w:color="000000"/>
            </w:tcBorders>
            <w:shd w:val="clear" w:color="auto" w:fill="FFFFFF"/>
          </w:tcPr>
          <w:p w14:paraId="63345E83" w14:textId="77777777" w:rsidR="00B00DB7" w:rsidRDefault="00000000">
            <w:r>
              <w:t>静态信息体详见第</w:t>
            </w:r>
            <w:r>
              <w:t>3</w:t>
            </w:r>
            <w:r>
              <w:t>节</w:t>
            </w:r>
          </w:p>
        </w:tc>
      </w:tr>
    </w:tbl>
    <w:p w14:paraId="7CA091BA" w14:textId="77777777" w:rsidR="00B00DB7" w:rsidRDefault="00000000">
      <w:r>
        <w:rPr>
          <w:rFonts w:ascii="Times New Roman" w:hint="eastAsia"/>
          <w:b/>
          <w:bCs/>
          <w:color w:val="000000"/>
          <w:szCs w:val="24"/>
        </w:rPr>
        <w:t>E.2.4</w:t>
      </w:r>
      <w:r>
        <w:rPr>
          <w:rFonts w:ascii="Times New Roman" w:hint="eastAsia"/>
          <w:color w:val="000000"/>
          <w:szCs w:val="24"/>
        </w:rPr>
        <w:t xml:space="preserve">　</w:t>
      </w:r>
      <w:r>
        <w:t>静态数据的</w:t>
      </w:r>
      <w:r>
        <w:t>JSON</w:t>
      </w:r>
      <w:r>
        <w:t>格式数据包示例见第</w:t>
      </w:r>
      <w:r>
        <w:t>6</w:t>
      </w:r>
      <w:r>
        <w:t>节。</w:t>
      </w:r>
    </w:p>
    <w:p w14:paraId="37038249" w14:textId="77777777" w:rsidR="00B00DB7" w:rsidRDefault="00000000">
      <w:pPr>
        <w:pStyle w:val="22"/>
      </w:pPr>
      <w:bookmarkStart w:id="123" w:name="_Toc22132"/>
      <w:bookmarkStart w:id="124" w:name="_Toc194686512"/>
      <w:bookmarkStart w:id="125" w:name="_Toc212497522"/>
      <w:bookmarkStart w:id="126" w:name="_Toc29484"/>
      <w:bookmarkStart w:id="127" w:name="_Toc23082"/>
      <w:bookmarkStart w:id="128" w:name="_Toc11336"/>
      <w:bookmarkStart w:id="129" w:name="_Toc19939"/>
      <w:r>
        <w:rPr>
          <w:rFonts w:hint="eastAsia"/>
        </w:rPr>
        <w:lastRenderedPageBreak/>
        <w:t>E</w:t>
      </w:r>
      <w:r>
        <w:t>.3</w:t>
      </w:r>
      <w:r>
        <w:t>动态数据的</w:t>
      </w:r>
      <w:r>
        <w:t>JSON</w:t>
      </w:r>
      <w:r>
        <w:t>格式数据包</w:t>
      </w:r>
      <w:bookmarkEnd w:id="123"/>
      <w:bookmarkEnd w:id="124"/>
      <w:bookmarkEnd w:id="125"/>
      <w:bookmarkEnd w:id="126"/>
      <w:bookmarkEnd w:id="127"/>
      <w:bookmarkEnd w:id="128"/>
      <w:bookmarkEnd w:id="129"/>
    </w:p>
    <w:p w14:paraId="1CA9EBC9" w14:textId="77777777" w:rsidR="00B00DB7" w:rsidRDefault="00000000">
      <w:r>
        <w:rPr>
          <w:rFonts w:ascii="Times New Roman" w:hint="eastAsia"/>
          <w:b/>
          <w:bCs/>
          <w:color w:val="000000"/>
          <w:szCs w:val="24"/>
        </w:rPr>
        <w:t>E.3.1</w:t>
      </w:r>
      <w:r>
        <w:rPr>
          <w:rFonts w:ascii="Times New Roman" w:hint="eastAsia"/>
          <w:color w:val="000000"/>
          <w:szCs w:val="24"/>
        </w:rPr>
        <w:t xml:space="preserve">　</w:t>
      </w:r>
      <w:r>
        <w:t>动态数据的数据包以包元素（</w:t>
      </w:r>
      <w:r>
        <w:t>Package</w:t>
      </w:r>
      <w:r>
        <w:t>）表达，由包头（</w:t>
      </w:r>
      <w:r>
        <w:t>Header</w:t>
      </w:r>
      <w:r>
        <w:t>）和数据单元数组（</w:t>
      </w:r>
      <w:proofErr w:type="spellStart"/>
      <w:r>
        <w:t>TimeSeriesData</w:t>
      </w:r>
      <w:proofErr w:type="spellEnd"/>
      <w:r>
        <w:t>）组成，见表</w:t>
      </w:r>
      <w:r>
        <w:rPr>
          <w:rFonts w:hint="eastAsia"/>
        </w:rPr>
        <w:t>E</w:t>
      </w:r>
      <w:r>
        <w:t>5</w:t>
      </w:r>
      <w:r>
        <w:t>。</w:t>
      </w:r>
    </w:p>
    <w:p w14:paraId="3DC73983" w14:textId="77777777" w:rsidR="00B00DB7" w:rsidRDefault="00000000">
      <w:pPr>
        <w:jc w:val="center"/>
      </w:pPr>
      <w:r>
        <w:t>表</w:t>
      </w:r>
      <w:r>
        <w:rPr>
          <w:rFonts w:hint="eastAsia"/>
        </w:rPr>
        <w:t>E</w:t>
      </w:r>
      <w:r>
        <w:t xml:space="preserve">5 </w:t>
      </w:r>
      <w:r>
        <w:t>动态数据数据包的字段格式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513"/>
        <w:gridCol w:w="1830"/>
        <w:gridCol w:w="4117"/>
      </w:tblGrid>
      <w:tr w:rsidR="00B00DB7" w14:paraId="7D2E0291" w14:textId="77777777">
        <w:trPr>
          <w:jc w:val="center"/>
        </w:trPr>
        <w:tc>
          <w:tcPr>
            <w:tcW w:w="1679"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1EF638F9" w14:textId="77777777" w:rsidR="00B00DB7" w:rsidRDefault="00000000">
            <w:r>
              <w:t>字段标识</w:t>
            </w:r>
          </w:p>
        </w:tc>
        <w:tc>
          <w:tcPr>
            <w:tcW w:w="140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6F46EE3" w14:textId="77777777" w:rsidR="00B00DB7" w:rsidRDefault="00000000">
            <w:r>
              <w:t>数据类型</w:t>
            </w:r>
          </w:p>
        </w:tc>
        <w:tc>
          <w:tcPr>
            <w:tcW w:w="1703"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4A4EF0C7" w14:textId="77777777" w:rsidR="00B00DB7" w:rsidRDefault="00000000">
            <w:r>
              <w:t>字段名称</w:t>
            </w:r>
          </w:p>
        </w:tc>
        <w:tc>
          <w:tcPr>
            <w:tcW w:w="3831"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5177D4DD" w14:textId="77777777" w:rsidR="00B00DB7" w:rsidRDefault="00000000">
            <w:r>
              <w:t>解释说明</w:t>
            </w:r>
          </w:p>
        </w:tc>
      </w:tr>
      <w:tr w:rsidR="00B00DB7" w14:paraId="56305895" w14:textId="77777777">
        <w:trPr>
          <w:jc w:val="center"/>
        </w:trPr>
        <w:tc>
          <w:tcPr>
            <w:tcW w:w="1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69255E2C" w14:textId="77777777" w:rsidR="00B00DB7" w:rsidRDefault="00000000">
            <w:r>
              <w:t>Header</w:t>
            </w:r>
          </w:p>
        </w:tc>
        <w:tc>
          <w:tcPr>
            <w:tcW w:w="1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AB498" w14:textId="77777777" w:rsidR="00B00DB7" w:rsidRDefault="00000000">
            <w:r>
              <w:t>对象</w:t>
            </w:r>
          </w:p>
        </w:tc>
        <w:tc>
          <w:tcPr>
            <w:tcW w:w="17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F19AA" w14:textId="77777777" w:rsidR="00B00DB7" w:rsidRDefault="00000000">
            <w:r>
              <w:t>包头</w:t>
            </w:r>
          </w:p>
        </w:tc>
        <w:tc>
          <w:tcPr>
            <w:tcW w:w="3831"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1585E8F" w14:textId="77777777" w:rsidR="00B00DB7" w:rsidRDefault="00B00DB7"/>
        </w:tc>
      </w:tr>
      <w:tr w:rsidR="00B00DB7" w14:paraId="1911FA7E" w14:textId="77777777">
        <w:trPr>
          <w:jc w:val="center"/>
        </w:trPr>
        <w:tc>
          <w:tcPr>
            <w:tcW w:w="1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17C334A8" w14:textId="77777777" w:rsidR="00B00DB7" w:rsidRDefault="00000000">
            <w:proofErr w:type="spellStart"/>
            <w:r>
              <w:t>TimeSeriesData</w:t>
            </w:r>
            <w:proofErr w:type="spellEnd"/>
          </w:p>
        </w:tc>
        <w:tc>
          <w:tcPr>
            <w:tcW w:w="140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6C7D36B" w14:textId="77777777" w:rsidR="00B00DB7" w:rsidRDefault="00000000">
            <w:r>
              <w:t>对象数组</w:t>
            </w:r>
          </w:p>
        </w:tc>
        <w:tc>
          <w:tcPr>
            <w:tcW w:w="1703"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2B06872A" w14:textId="77777777" w:rsidR="00B00DB7" w:rsidRDefault="00000000">
            <w:r>
              <w:t>数据单元数组</w:t>
            </w:r>
          </w:p>
        </w:tc>
        <w:tc>
          <w:tcPr>
            <w:tcW w:w="3831" w:type="dxa"/>
            <w:tcBorders>
              <w:top w:val="single" w:sz="4" w:space="0" w:color="000000"/>
              <w:left w:val="single" w:sz="4" w:space="0" w:color="000000"/>
              <w:bottom w:val="single" w:sz="12" w:space="0" w:color="000000"/>
              <w:right w:val="single" w:sz="12" w:space="0" w:color="000000"/>
            </w:tcBorders>
            <w:shd w:val="clear" w:color="auto" w:fill="FFFFFF"/>
            <w:vAlign w:val="center"/>
          </w:tcPr>
          <w:p w14:paraId="347C2130" w14:textId="77777777" w:rsidR="00B00DB7" w:rsidRDefault="00000000">
            <w:r>
              <w:t>每个数据单元对应一组采样数据</w:t>
            </w:r>
          </w:p>
        </w:tc>
      </w:tr>
    </w:tbl>
    <w:p w14:paraId="61C37542" w14:textId="77777777" w:rsidR="00B00DB7" w:rsidRDefault="00000000">
      <w:r>
        <w:rPr>
          <w:rFonts w:ascii="Times New Roman" w:hint="eastAsia"/>
          <w:b/>
          <w:bCs/>
          <w:color w:val="000000"/>
          <w:szCs w:val="24"/>
        </w:rPr>
        <w:t>E.3.2</w:t>
      </w:r>
      <w:r>
        <w:rPr>
          <w:rFonts w:ascii="Times New Roman" w:hint="eastAsia"/>
          <w:color w:val="000000"/>
          <w:szCs w:val="24"/>
        </w:rPr>
        <w:t xml:space="preserve">　</w:t>
      </w:r>
      <w:r>
        <w:t>包头（</w:t>
      </w:r>
      <w:r>
        <w:t>Header</w:t>
      </w:r>
      <w:r>
        <w:t>）应由表</w:t>
      </w:r>
      <w:r>
        <w:rPr>
          <w:rFonts w:hint="eastAsia"/>
        </w:rPr>
        <w:t>E</w:t>
      </w:r>
      <w:r>
        <w:t>6</w:t>
      </w:r>
      <w:r>
        <w:t>所列数据字段组成，表中所列数据项均为必选项。</w:t>
      </w:r>
    </w:p>
    <w:p w14:paraId="22765BBD" w14:textId="77777777" w:rsidR="00B00DB7" w:rsidRDefault="00000000">
      <w:pPr>
        <w:jc w:val="center"/>
      </w:pPr>
      <w:r>
        <w:t>表</w:t>
      </w:r>
      <w:r>
        <w:rPr>
          <w:rFonts w:hint="eastAsia"/>
        </w:rPr>
        <w:t>E</w:t>
      </w:r>
      <w:r>
        <w:t>6</w:t>
      </w:r>
      <w:r>
        <w:t>动态数据包头的字段格式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543"/>
        <w:gridCol w:w="1853"/>
        <w:gridCol w:w="4093"/>
      </w:tblGrid>
      <w:tr w:rsidR="00B00DB7" w14:paraId="08347A75" w14:textId="77777777">
        <w:trPr>
          <w:jc w:val="center"/>
        </w:trPr>
        <w:tc>
          <w:tcPr>
            <w:tcW w:w="1677"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31AA37AE" w14:textId="77777777" w:rsidR="00B00DB7" w:rsidRDefault="00000000">
            <w:r>
              <w:t>字段标识</w:t>
            </w:r>
          </w:p>
        </w:tc>
        <w:tc>
          <w:tcPr>
            <w:tcW w:w="1410"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A26D5C4" w14:textId="77777777" w:rsidR="00B00DB7" w:rsidRDefault="00000000">
            <w:r>
              <w:t>数据类型</w:t>
            </w:r>
          </w:p>
        </w:tc>
        <w:tc>
          <w:tcPr>
            <w:tcW w:w="1694"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EE3ABF3" w14:textId="77777777" w:rsidR="00B00DB7" w:rsidRDefault="00000000">
            <w:r>
              <w:t>字段名称</w:t>
            </w:r>
          </w:p>
        </w:tc>
        <w:tc>
          <w:tcPr>
            <w:tcW w:w="3741"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2F486AC3" w14:textId="77777777" w:rsidR="00B00DB7" w:rsidRDefault="00000000">
            <w:r>
              <w:t>解释说明</w:t>
            </w:r>
          </w:p>
        </w:tc>
      </w:tr>
      <w:tr w:rsidR="00B00DB7" w14:paraId="53ADE8D6" w14:textId="77777777">
        <w:trPr>
          <w:jc w:val="center"/>
        </w:trPr>
        <w:tc>
          <w:tcPr>
            <w:tcW w:w="1677"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604A9625" w14:textId="77777777" w:rsidR="00B00DB7" w:rsidRDefault="00000000">
            <w:r>
              <w:t>Version</w:t>
            </w:r>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6EF9C3" w14:textId="77777777" w:rsidR="00B00DB7" w:rsidRDefault="00000000">
            <w:r>
              <w:t>整数</w:t>
            </w:r>
          </w:p>
        </w:tc>
        <w:tc>
          <w:tcPr>
            <w:tcW w:w="1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706C08" w14:textId="77777777" w:rsidR="00B00DB7" w:rsidRDefault="00000000">
            <w:r>
              <w:t>版本号</w:t>
            </w:r>
          </w:p>
        </w:tc>
        <w:tc>
          <w:tcPr>
            <w:tcW w:w="3741"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7ED3F9B" w14:textId="77777777" w:rsidR="00B00DB7" w:rsidRDefault="00000000">
            <w:r>
              <w:t>区分数据格式的版本，恒定为</w:t>
            </w:r>
            <w:r>
              <w:t>2025</w:t>
            </w:r>
          </w:p>
        </w:tc>
      </w:tr>
      <w:tr w:rsidR="00B00DB7" w14:paraId="3471C00E" w14:textId="77777777">
        <w:trPr>
          <w:jc w:val="center"/>
        </w:trPr>
        <w:tc>
          <w:tcPr>
            <w:tcW w:w="1677"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51CA372D" w14:textId="77777777" w:rsidR="00B00DB7" w:rsidRDefault="00000000">
            <w:r>
              <w:t>Author</w:t>
            </w:r>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3A698" w14:textId="77777777" w:rsidR="00B00DB7" w:rsidRDefault="00000000">
            <w:r>
              <w:t>字符串</w:t>
            </w:r>
          </w:p>
        </w:tc>
        <w:tc>
          <w:tcPr>
            <w:tcW w:w="1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AE89D" w14:textId="77777777" w:rsidR="00B00DB7" w:rsidRDefault="00000000">
            <w:r>
              <w:t>报送方</w:t>
            </w:r>
          </w:p>
        </w:tc>
        <w:tc>
          <w:tcPr>
            <w:tcW w:w="3741"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58AAF3F" w14:textId="77777777" w:rsidR="00B00DB7" w:rsidRDefault="00000000">
            <w:r>
              <w:t>数据报送方，例如：</w:t>
            </w:r>
            <w:r>
              <w:t>xxx</w:t>
            </w:r>
            <w:r>
              <w:t>单位</w:t>
            </w:r>
          </w:p>
        </w:tc>
      </w:tr>
      <w:tr w:rsidR="00B00DB7" w14:paraId="79D7533F" w14:textId="77777777">
        <w:trPr>
          <w:trHeight w:val="90"/>
          <w:jc w:val="center"/>
        </w:trPr>
        <w:tc>
          <w:tcPr>
            <w:tcW w:w="1677"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0AE1AD75" w14:textId="77777777" w:rsidR="00B00DB7" w:rsidRDefault="00000000">
            <w:proofErr w:type="spellStart"/>
            <w:r>
              <w:t>TimeStamp</w:t>
            </w:r>
            <w:proofErr w:type="spellEnd"/>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C82937" w14:textId="77777777" w:rsidR="00B00DB7" w:rsidRDefault="00000000">
            <w:r>
              <w:t>字符串</w:t>
            </w:r>
          </w:p>
        </w:tc>
        <w:tc>
          <w:tcPr>
            <w:tcW w:w="1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1CFF0" w14:textId="77777777" w:rsidR="00B00DB7" w:rsidRDefault="00000000">
            <w:r>
              <w:t>报送时间</w:t>
            </w:r>
          </w:p>
        </w:tc>
        <w:tc>
          <w:tcPr>
            <w:tcW w:w="3741"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4F3036E" w14:textId="77777777" w:rsidR="00B00DB7" w:rsidRDefault="00000000">
            <w:r>
              <w:t>数据报送时间，</w:t>
            </w:r>
            <w:r>
              <w:t>UTC</w:t>
            </w:r>
            <w:r>
              <w:t>时间，年月日时分秒，例如：</w:t>
            </w:r>
            <w:r>
              <w:t>2023-01-01T12:05:01Z</w:t>
            </w:r>
          </w:p>
        </w:tc>
      </w:tr>
      <w:tr w:rsidR="00B00DB7" w14:paraId="711D6BE5" w14:textId="77777777">
        <w:trPr>
          <w:jc w:val="center"/>
        </w:trPr>
        <w:tc>
          <w:tcPr>
            <w:tcW w:w="1677"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54A1923E" w14:textId="77777777" w:rsidR="00B00DB7" w:rsidRDefault="00000000">
            <w:proofErr w:type="spellStart"/>
            <w:r>
              <w:t>ShipID</w:t>
            </w:r>
            <w:proofErr w:type="spellEnd"/>
          </w:p>
        </w:tc>
        <w:tc>
          <w:tcPr>
            <w:tcW w:w="141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5744630" w14:textId="77777777" w:rsidR="00B00DB7" w:rsidRDefault="00000000">
            <w:r>
              <w:t>字符串</w:t>
            </w:r>
          </w:p>
        </w:tc>
        <w:tc>
          <w:tcPr>
            <w:tcW w:w="169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8B58E54" w14:textId="77777777" w:rsidR="00B00DB7" w:rsidRDefault="00000000">
            <w:r>
              <w:t>船舶编号</w:t>
            </w:r>
          </w:p>
        </w:tc>
        <w:tc>
          <w:tcPr>
            <w:tcW w:w="3741" w:type="dxa"/>
            <w:tcBorders>
              <w:top w:val="single" w:sz="4" w:space="0" w:color="000000"/>
              <w:left w:val="single" w:sz="4" w:space="0" w:color="000000"/>
              <w:bottom w:val="single" w:sz="12" w:space="0" w:color="000000"/>
              <w:right w:val="single" w:sz="12" w:space="0" w:color="000000"/>
            </w:tcBorders>
            <w:shd w:val="clear" w:color="auto" w:fill="FFFFFF"/>
            <w:vAlign w:val="center"/>
          </w:tcPr>
          <w:p w14:paraId="18222621" w14:textId="77777777" w:rsidR="00B00DB7" w:rsidRDefault="00000000">
            <w:r>
              <w:t>国内船舶的船舶识别号，或国际船舶的</w:t>
            </w:r>
            <w:r>
              <w:t>IMO</w:t>
            </w:r>
            <w:r>
              <w:t>登记号。例如：</w:t>
            </w:r>
            <w:r>
              <w:t>CN202212345672</w:t>
            </w:r>
            <w:r>
              <w:t>或</w:t>
            </w:r>
            <w:r>
              <w:t>IMO1234567</w:t>
            </w:r>
          </w:p>
        </w:tc>
      </w:tr>
    </w:tbl>
    <w:p w14:paraId="10C11AF8" w14:textId="77777777" w:rsidR="00B00DB7" w:rsidRDefault="00000000">
      <w:r>
        <w:rPr>
          <w:rFonts w:ascii="Times New Roman" w:hint="eastAsia"/>
          <w:b/>
          <w:bCs/>
          <w:color w:val="000000"/>
          <w:szCs w:val="24"/>
        </w:rPr>
        <w:t>E.3.3</w:t>
      </w:r>
      <w:r>
        <w:rPr>
          <w:rFonts w:ascii="Times New Roman" w:hint="eastAsia"/>
          <w:color w:val="000000"/>
          <w:szCs w:val="24"/>
        </w:rPr>
        <w:t xml:space="preserve">　</w:t>
      </w:r>
      <w:r>
        <w:t>数据单元数组（</w:t>
      </w:r>
      <w:proofErr w:type="spellStart"/>
      <w:r>
        <w:t>TimeSeriesData</w:t>
      </w:r>
      <w:proofErr w:type="spellEnd"/>
      <w:r>
        <w:t>）由若干数据单元构成，数据单元应由表</w:t>
      </w:r>
      <w:r>
        <w:rPr>
          <w:rFonts w:hint="eastAsia"/>
        </w:rPr>
        <w:t>E</w:t>
      </w:r>
      <w:r>
        <w:t>7</w:t>
      </w:r>
      <w:r>
        <w:t>所列字段、动态信息体和动态信息体数组组成，表中所列数据项均为可选项。</w:t>
      </w:r>
    </w:p>
    <w:p w14:paraId="5B34496D" w14:textId="77777777" w:rsidR="00B00DB7" w:rsidRDefault="00000000">
      <w:pPr>
        <w:jc w:val="center"/>
      </w:pPr>
      <w:r>
        <w:t>表</w:t>
      </w:r>
      <w:r>
        <w:rPr>
          <w:rFonts w:hint="eastAsia"/>
        </w:rPr>
        <w:t>E</w:t>
      </w:r>
      <w:r>
        <w:t xml:space="preserve">7 </w:t>
      </w:r>
      <w:r>
        <w:t>动态</w:t>
      </w:r>
      <w:proofErr w:type="gramStart"/>
      <w:r>
        <w:t>数据数据</w:t>
      </w:r>
      <w:proofErr w:type="gramEnd"/>
      <w:r>
        <w:t>单元的数据项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437"/>
        <w:gridCol w:w="2830"/>
        <w:gridCol w:w="3153"/>
      </w:tblGrid>
      <w:tr w:rsidR="00B00DB7" w14:paraId="1BFCB29B" w14:textId="77777777">
        <w:trPr>
          <w:jc w:val="center"/>
        </w:trPr>
        <w:tc>
          <w:tcPr>
            <w:tcW w:w="1740"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7FF1B050" w14:textId="77777777" w:rsidR="00B00DB7" w:rsidRDefault="00000000">
            <w:r>
              <w:t>字段标识</w:t>
            </w:r>
          </w:p>
        </w:tc>
        <w:tc>
          <w:tcPr>
            <w:tcW w:w="1313"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7605E578" w14:textId="77777777" w:rsidR="00B00DB7" w:rsidRDefault="00000000">
            <w:r>
              <w:t>数据类型</w:t>
            </w:r>
          </w:p>
        </w:tc>
        <w:tc>
          <w:tcPr>
            <w:tcW w:w="258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B4128E6" w14:textId="77777777" w:rsidR="00B00DB7" w:rsidRDefault="00000000">
            <w:r>
              <w:t>字段名称</w:t>
            </w:r>
          </w:p>
        </w:tc>
        <w:tc>
          <w:tcPr>
            <w:tcW w:w="2882" w:type="dxa"/>
            <w:tcBorders>
              <w:top w:val="single" w:sz="12" w:space="0" w:color="000000"/>
              <w:left w:val="single" w:sz="4" w:space="0" w:color="000000"/>
              <w:bottom w:val="single" w:sz="4" w:space="0" w:color="000000"/>
              <w:right w:val="single" w:sz="12" w:space="0" w:color="000000"/>
            </w:tcBorders>
            <w:shd w:val="clear" w:color="auto" w:fill="FFFFFF"/>
            <w:vAlign w:val="center"/>
          </w:tcPr>
          <w:p w14:paraId="6DCAE694" w14:textId="77777777" w:rsidR="00B00DB7" w:rsidRDefault="00000000">
            <w:r>
              <w:t>解释说明</w:t>
            </w:r>
          </w:p>
        </w:tc>
      </w:tr>
      <w:tr w:rsidR="00B00DB7" w14:paraId="4E431D08"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485C9B15" w14:textId="77777777" w:rsidR="00B00DB7" w:rsidRDefault="00000000">
            <w:proofErr w:type="spellStart"/>
            <w:r>
              <w:t>TimeStamp</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64601" w14:textId="77777777" w:rsidR="00B00DB7" w:rsidRDefault="00000000">
            <w:r>
              <w:t>字符串</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851E2" w14:textId="77777777" w:rsidR="00B00DB7" w:rsidRDefault="00000000">
            <w:r>
              <w:t>时间戳</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E5A0373" w14:textId="77777777" w:rsidR="00B00DB7" w:rsidRDefault="00000000">
            <w:r>
              <w:t>数据采样时间，年月日时分秒，例如：</w:t>
            </w:r>
            <w:r>
              <w:t>2023-01-01T12:00:01Z</w:t>
            </w:r>
          </w:p>
        </w:tc>
      </w:tr>
      <w:tr w:rsidR="00B00DB7" w14:paraId="32E458A1"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7FBD95F7" w14:textId="77777777" w:rsidR="00B00DB7" w:rsidRDefault="00000000">
            <w:r>
              <w:t>Ship</w:t>
            </w:r>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F31AC" w14:textId="77777777" w:rsidR="00B00DB7" w:rsidRDefault="00000000">
            <w:r>
              <w:t>对象</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916096" w14:textId="77777777" w:rsidR="00B00DB7" w:rsidRDefault="00000000">
            <w:r>
              <w:t>船舶动态信息体</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5C3330CF" w14:textId="77777777" w:rsidR="00B00DB7" w:rsidRDefault="00000000">
            <w:r>
              <w:t>动态信息体详见第</w:t>
            </w:r>
            <w:r>
              <w:t>4</w:t>
            </w:r>
            <w:r>
              <w:t>节</w:t>
            </w:r>
          </w:p>
        </w:tc>
      </w:tr>
      <w:tr w:rsidR="00B00DB7" w14:paraId="08F8572E"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7D28F3BF" w14:textId="77777777" w:rsidR="00B00DB7" w:rsidRDefault="00000000">
            <w:proofErr w:type="spellStart"/>
            <w:r>
              <w:t>PowerSys</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1BEFBB" w14:textId="77777777" w:rsidR="00B00DB7" w:rsidRDefault="00000000">
            <w:r>
              <w:t>对象</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8B0D2" w14:textId="77777777" w:rsidR="00B00DB7" w:rsidRDefault="00000000">
            <w:r>
              <w:t>船舶动力系统动态信息体</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F346AF7" w14:textId="77777777" w:rsidR="00B00DB7" w:rsidRDefault="00000000">
            <w:r>
              <w:t>动态信息体详见第</w:t>
            </w:r>
            <w:r>
              <w:t>4</w:t>
            </w:r>
            <w:r>
              <w:t>节</w:t>
            </w:r>
          </w:p>
        </w:tc>
      </w:tr>
      <w:tr w:rsidR="00B00DB7" w14:paraId="6BFA61A5"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3A354432" w14:textId="77777777" w:rsidR="00B00DB7" w:rsidRDefault="00000000">
            <w:proofErr w:type="spellStart"/>
            <w:r>
              <w:t>BatterySys</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60CC1" w14:textId="77777777" w:rsidR="00B00DB7" w:rsidRDefault="00000000">
            <w:r>
              <w:t>对象</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412BE" w14:textId="77777777" w:rsidR="00B00DB7" w:rsidRDefault="00000000">
            <w:r>
              <w:t>电池系统动态信息体</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666FD990" w14:textId="77777777" w:rsidR="00B00DB7" w:rsidRDefault="00000000">
            <w:r>
              <w:t>动态信息体详见第</w:t>
            </w:r>
            <w:r>
              <w:t>4</w:t>
            </w:r>
            <w:r>
              <w:t>节</w:t>
            </w:r>
          </w:p>
        </w:tc>
      </w:tr>
      <w:tr w:rsidR="00B00DB7" w14:paraId="3505DD20"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tcPr>
          <w:p w14:paraId="7F80EC33" w14:textId="77777777" w:rsidR="00B00DB7" w:rsidRDefault="00000000">
            <w:r>
              <w:t>Charger</w:t>
            </w:r>
          </w:p>
        </w:tc>
        <w:tc>
          <w:tcPr>
            <w:tcW w:w="1313" w:type="dxa"/>
            <w:tcBorders>
              <w:top w:val="single" w:sz="4" w:space="0" w:color="000000"/>
              <w:left w:val="single" w:sz="4" w:space="0" w:color="000000"/>
              <w:bottom w:val="single" w:sz="4" w:space="0" w:color="000000"/>
              <w:right w:val="single" w:sz="4" w:space="0" w:color="000000"/>
            </w:tcBorders>
            <w:shd w:val="clear" w:color="auto" w:fill="FFFFFF"/>
          </w:tcPr>
          <w:p w14:paraId="0FF26B13"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tcPr>
          <w:p w14:paraId="620265D5" w14:textId="77777777" w:rsidR="00B00DB7" w:rsidRDefault="00000000">
            <w:r>
              <w:t>充电装置动态信息体数组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1109837C" w14:textId="77777777" w:rsidR="00B00DB7" w:rsidRDefault="00000000">
            <w:r>
              <w:t>动态信息体详见第</w:t>
            </w:r>
            <w:r>
              <w:t>4</w:t>
            </w:r>
            <w:r>
              <w:t>节</w:t>
            </w:r>
          </w:p>
        </w:tc>
      </w:tr>
      <w:tr w:rsidR="00B00DB7" w14:paraId="2A3DEF0E"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3D00ED7E" w14:textId="77777777" w:rsidR="00B00DB7" w:rsidRDefault="00000000">
            <w:r>
              <w:t>Compartment</w:t>
            </w:r>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3BE95"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342BB" w14:textId="77777777" w:rsidR="00B00DB7" w:rsidRDefault="00000000">
            <w:r>
              <w:t>电池舱</w:t>
            </w:r>
            <w:r>
              <w:t>/</w:t>
            </w:r>
            <w:r>
              <w:t>箱</w:t>
            </w:r>
            <w:r>
              <w:t>/</w:t>
            </w:r>
            <w:r>
              <w:t>柜动态信息体</w:t>
            </w:r>
            <w:r>
              <w:lastRenderedPageBreak/>
              <w:t>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36B3C94A" w14:textId="77777777" w:rsidR="00B00DB7" w:rsidRDefault="00000000">
            <w:r>
              <w:lastRenderedPageBreak/>
              <w:t>动态信息体详见第</w:t>
            </w:r>
            <w:r>
              <w:t>4</w:t>
            </w:r>
            <w:r>
              <w:t>节</w:t>
            </w:r>
          </w:p>
        </w:tc>
      </w:tr>
      <w:tr w:rsidR="00B00DB7" w14:paraId="4A5D0A9A"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2508B764" w14:textId="77777777" w:rsidR="00B00DB7" w:rsidRDefault="00000000">
            <w:proofErr w:type="spellStart"/>
            <w:r>
              <w:t>BatteryGroup</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03FDC"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EAE2B" w14:textId="77777777" w:rsidR="00B00DB7" w:rsidRDefault="00000000">
            <w:r>
              <w:t>电池组动态信息体数组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87C79E5" w14:textId="77777777" w:rsidR="00B00DB7" w:rsidRDefault="00000000">
            <w:r>
              <w:t>动态信息体详见第</w:t>
            </w:r>
            <w:r>
              <w:t>4</w:t>
            </w:r>
            <w:r>
              <w:t>节</w:t>
            </w:r>
          </w:p>
        </w:tc>
      </w:tr>
      <w:tr w:rsidR="00B00DB7" w14:paraId="7290270F"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6E6C8990" w14:textId="77777777" w:rsidR="00B00DB7" w:rsidRDefault="00000000">
            <w:proofErr w:type="spellStart"/>
            <w:r>
              <w:t>BatteryCluster</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E64E6D"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B81D8" w14:textId="77777777" w:rsidR="00B00DB7" w:rsidRDefault="00000000">
            <w:r>
              <w:t>电池</w:t>
            </w:r>
            <w:proofErr w:type="gramStart"/>
            <w:r>
              <w:t>簇</w:t>
            </w:r>
            <w:proofErr w:type="gramEnd"/>
            <w:r>
              <w:t>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2B90F192" w14:textId="77777777" w:rsidR="00B00DB7" w:rsidRDefault="00000000">
            <w:r>
              <w:t>动态信息体详见第</w:t>
            </w:r>
            <w:r>
              <w:t>4</w:t>
            </w:r>
            <w:r>
              <w:t>节</w:t>
            </w:r>
          </w:p>
        </w:tc>
      </w:tr>
      <w:tr w:rsidR="00B00DB7" w14:paraId="7EAF435B"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F374D0F" w14:textId="77777777" w:rsidR="00B00DB7" w:rsidRDefault="00000000">
            <w:proofErr w:type="spellStart"/>
            <w:r>
              <w:t>BatteryPack</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93ED6D"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8322E" w14:textId="77777777" w:rsidR="00B00DB7" w:rsidRDefault="00000000">
            <w:r>
              <w:t>电池包动态信息体数组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627A08C4" w14:textId="77777777" w:rsidR="00B00DB7" w:rsidRDefault="00000000">
            <w:r>
              <w:t>动态信息体详见第</w:t>
            </w:r>
            <w:r>
              <w:t>4</w:t>
            </w:r>
            <w:r>
              <w:t>节</w:t>
            </w:r>
          </w:p>
        </w:tc>
      </w:tr>
      <w:tr w:rsidR="00B00DB7" w14:paraId="092F5357"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24B7F970" w14:textId="77777777" w:rsidR="00B00DB7" w:rsidRDefault="00000000">
            <w:proofErr w:type="spellStart"/>
            <w:r>
              <w:t>CDSys</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90F6F"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01F5AF" w14:textId="77777777" w:rsidR="00B00DB7" w:rsidRDefault="00000000">
            <w:r>
              <w:t>配电系统</w:t>
            </w:r>
            <w:proofErr w:type="gramStart"/>
            <w:r>
              <w:t>动态电</w:t>
            </w:r>
            <w:proofErr w:type="gramEnd"/>
            <w:r>
              <w:t>系统数组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0E3B04AF" w14:textId="77777777" w:rsidR="00B00DB7" w:rsidRDefault="00000000">
            <w:r>
              <w:t>动态信息体详见第</w:t>
            </w:r>
            <w:r>
              <w:t>4</w:t>
            </w:r>
            <w:r>
              <w:t>节</w:t>
            </w:r>
          </w:p>
        </w:tc>
      </w:tr>
      <w:tr w:rsidR="00B00DB7" w14:paraId="08C759F2"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779CF90F" w14:textId="77777777" w:rsidR="00B00DB7" w:rsidRDefault="00000000">
            <w:proofErr w:type="spellStart"/>
            <w:r>
              <w:t>CBus</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BA717"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5F3E6" w14:textId="77777777" w:rsidR="00B00DB7" w:rsidRDefault="00000000">
            <w:proofErr w:type="gramStart"/>
            <w:r>
              <w:t>母排分段</w:t>
            </w:r>
            <w:proofErr w:type="gramEnd"/>
            <w:r>
              <w:t>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tcPr>
          <w:p w14:paraId="533A9087" w14:textId="77777777" w:rsidR="00B00DB7" w:rsidRDefault="00000000">
            <w:r>
              <w:t>动态信息体详见第</w:t>
            </w:r>
            <w:r>
              <w:t>4</w:t>
            </w:r>
            <w:r>
              <w:t>节</w:t>
            </w:r>
          </w:p>
        </w:tc>
      </w:tr>
      <w:tr w:rsidR="00B00DB7" w14:paraId="155429E5"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tcPr>
          <w:p w14:paraId="62D256A7" w14:textId="77777777" w:rsidR="00B00DB7" w:rsidRDefault="00000000">
            <w:r>
              <w:t>Converter</w:t>
            </w:r>
          </w:p>
        </w:tc>
        <w:tc>
          <w:tcPr>
            <w:tcW w:w="1313" w:type="dxa"/>
            <w:tcBorders>
              <w:top w:val="single" w:sz="4" w:space="0" w:color="000000"/>
              <w:left w:val="single" w:sz="4" w:space="0" w:color="000000"/>
              <w:bottom w:val="single" w:sz="4" w:space="0" w:color="000000"/>
              <w:right w:val="single" w:sz="4" w:space="0" w:color="000000"/>
            </w:tcBorders>
            <w:shd w:val="clear" w:color="auto" w:fill="FFFFFF"/>
          </w:tcPr>
          <w:p w14:paraId="3A533848"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tcPr>
          <w:p w14:paraId="25A3066A" w14:textId="77777777" w:rsidR="00B00DB7" w:rsidRDefault="00000000">
            <w:r>
              <w:t>变流器动态信息体数组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tcPr>
          <w:p w14:paraId="7A39C554" w14:textId="77777777" w:rsidR="00B00DB7" w:rsidRDefault="00000000">
            <w:r>
              <w:t>动态信息体详见第</w:t>
            </w:r>
            <w:r>
              <w:t>4</w:t>
            </w:r>
            <w:r>
              <w:t>节</w:t>
            </w:r>
          </w:p>
        </w:tc>
      </w:tr>
      <w:tr w:rsidR="00B00DB7" w14:paraId="54184E81"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tcPr>
          <w:p w14:paraId="58D7EBC4" w14:textId="77777777" w:rsidR="00B00DB7" w:rsidRDefault="00000000">
            <w:proofErr w:type="spellStart"/>
            <w:r>
              <w:t>PropulsionSys</w:t>
            </w:r>
            <w:proofErr w:type="spellEnd"/>
          </w:p>
        </w:tc>
        <w:tc>
          <w:tcPr>
            <w:tcW w:w="1313" w:type="dxa"/>
            <w:tcBorders>
              <w:top w:val="single" w:sz="4" w:space="0" w:color="000000"/>
              <w:left w:val="single" w:sz="4" w:space="0" w:color="000000"/>
              <w:bottom w:val="single" w:sz="4" w:space="0" w:color="000000"/>
              <w:right w:val="single" w:sz="4" w:space="0" w:color="000000"/>
            </w:tcBorders>
            <w:shd w:val="clear" w:color="auto" w:fill="FFFFFF"/>
          </w:tcPr>
          <w:p w14:paraId="6E7C932B"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tcPr>
          <w:p w14:paraId="3C26D813" w14:textId="77777777" w:rsidR="00B00DB7" w:rsidRDefault="00000000">
            <w:r>
              <w:t>推进系统动态信息体数组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tcPr>
          <w:p w14:paraId="393C29B1" w14:textId="77777777" w:rsidR="00B00DB7" w:rsidRDefault="00000000">
            <w:r>
              <w:t>动态信息体详见第</w:t>
            </w:r>
            <w:r>
              <w:t>4</w:t>
            </w:r>
            <w:r>
              <w:t>节</w:t>
            </w:r>
          </w:p>
        </w:tc>
      </w:tr>
      <w:tr w:rsidR="00B00DB7" w14:paraId="070112A4"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tcPr>
          <w:p w14:paraId="43889796" w14:textId="77777777" w:rsidR="00B00DB7" w:rsidRDefault="00000000">
            <w:r>
              <w:t>Motor</w:t>
            </w:r>
          </w:p>
        </w:tc>
        <w:tc>
          <w:tcPr>
            <w:tcW w:w="1313" w:type="dxa"/>
            <w:tcBorders>
              <w:top w:val="single" w:sz="4" w:space="0" w:color="000000"/>
              <w:left w:val="single" w:sz="4" w:space="0" w:color="000000"/>
              <w:bottom w:val="single" w:sz="4" w:space="0" w:color="000000"/>
              <w:right w:val="single" w:sz="4" w:space="0" w:color="000000"/>
            </w:tcBorders>
            <w:shd w:val="clear" w:color="auto" w:fill="FFFFFF"/>
          </w:tcPr>
          <w:p w14:paraId="6A2C1E78"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tcPr>
          <w:p w14:paraId="3999DEA6" w14:textId="77777777" w:rsidR="00B00DB7" w:rsidRDefault="00000000">
            <w:r>
              <w:t>推进电机动态信息体数组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tcPr>
          <w:p w14:paraId="5EFF6636" w14:textId="77777777" w:rsidR="00B00DB7" w:rsidRDefault="00000000">
            <w:r>
              <w:t>动态信息体详见第</w:t>
            </w:r>
            <w:r>
              <w:t>4</w:t>
            </w:r>
            <w:r>
              <w:t>节</w:t>
            </w:r>
          </w:p>
        </w:tc>
      </w:tr>
      <w:tr w:rsidR="00B00DB7" w14:paraId="51AB485E" w14:textId="77777777">
        <w:trPr>
          <w:jc w:val="center"/>
        </w:trPr>
        <w:tc>
          <w:tcPr>
            <w:tcW w:w="1740" w:type="dxa"/>
            <w:tcBorders>
              <w:top w:val="single" w:sz="4" w:space="0" w:color="000000"/>
              <w:left w:val="single" w:sz="12" w:space="0" w:color="000000"/>
              <w:bottom w:val="single" w:sz="4" w:space="0" w:color="000000"/>
              <w:right w:val="single" w:sz="4" w:space="0" w:color="000000"/>
            </w:tcBorders>
            <w:shd w:val="clear" w:color="auto" w:fill="FFFFFF"/>
          </w:tcPr>
          <w:p w14:paraId="4F34DC11" w14:textId="77777777" w:rsidR="00B00DB7" w:rsidRDefault="00000000">
            <w:r>
              <w:t>Propeller</w:t>
            </w:r>
          </w:p>
        </w:tc>
        <w:tc>
          <w:tcPr>
            <w:tcW w:w="1313" w:type="dxa"/>
            <w:tcBorders>
              <w:top w:val="single" w:sz="4" w:space="0" w:color="000000"/>
              <w:left w:val="single" w:sz="4" w:space="0" w:color="000000"/>
              <w:bottom w:val="single" w:sz="4" w:space="0" w:color="000000"/>
              <w:right w:val="single" w:sz="4" w:space="0" w:color="000000"/>
            </w:tcBorders>
            <w:shd w:val="clear" w:color="auto" w:fill="FFFFFF"/>
          </w:tcPr>
          <w:p w14:paraId="39EB64BF" w14:textId="77777777" w:rsidR="00B00DB7" w:rsidRDefault="00000000">
            <w:r>
              <w:t>对象数组</w:t>
            </w:r>
          </w:p>
        </w:tc>
        <w:tc>
          <w:tcPr>
            <w:tcW w:w="2587" w:type="dxa"/>
            <w:tcBorders>
              <w:top w:val="single" w:sz="4" w:space="0" w:color="000000"/>
              <w:left w:val="single" w:sz="4" w:space="0" w:color="000000"/>
              <w:bottom w:val="single" w:sz="4" w:space="0" w:color="000000"/>
              <w:right w:val="single" w:sz="4" w:space="0" w:color="000000"/>
            </w:tcBorders>
            <w:shd w:val="clear" w:color="auto" w:fill="FFFFFF"/>
          </w:tcPr>
          <w:p w14:paraId="1684D4CC" w14:textId="77777777" w:rsidR="00B00DB7" w:rsidRDefault="00000000">
            <w:r>
              <w:t>推进器动态信息体数组</w:t>
            </w:r>
          </w:p>
        </w:tc>
        <w:tc>
          <w:tcPr>
            <w:tcW w:w="2882" w:type="dxa"/>
            <w:tcBorders>
              <w:top w:val="single" w:sz="4" w:space="0" w:color="000000"/>
              <w:left w:val="single" w:sz="4" w:space="0" w:color="000000"/>
              <w:bottom w:val="single" w:sz="4" w:space="0" w:color="000000"/>
              <w:right w:val="single" w:sz="12" w:space="0" w:color="000000"/>
            </w:tcBorders>
            <w:shd w:val="clear" w:color="auto" w:fill="FFFFFF"/>
          </w:tcPr>
          <w:p w14:paraId="00E44EAF" w14:textId="77777777" w:rsidR="00B00DB7" w:rsidRDefault="00000000">
            <w:r>
              <w:t>静态信息体详见第</w:t>
            </w:r>
            <w:r>
              <w:t>4</w:t>
            </w:r>
            <w:r>
              <w:t>节</w:t>
            </w:r>
          </w:p>
        </w:tc>
      </w:tr>
      <w:tr w:rsidR="00B00DB7" w14:paraId="2AF5116C" w14:textId="77777777">
        <w:trPr>
          <w:jc w:val="center"/>
        </w:trPr>
        <w:tc>
          <w:tcPr>
            <w:tcW w:w="1740" w:type="dxa"/>
            <w:tcBorders>
              <w:top w:val="single" w:sz="4" w:space="0" w:color="000000"/>
              <w:left w:val="single" w:sz="12" w:space="0" w:color="000000"/>
              <w:bottom w:val="single" w:sz="12" w:space="0" w:color="000000"/>
              <w:right w:val="single" w:sz="4" w:space="0" w:color="000000"/>
            </w:tcBorders>
            <w:shd w:val="clear" w:color="auto" w:fill="FFFFFF"/>
          </w:tcPr>
          <w:p w14:paraId="33043237" w14:textId="77777777" w:rsidR="00B00DB7" w:rsidRDefault="00000000">
            <w:r>
              <w:t>Rudder</w:t>
            </w:r>
          </w:p>
        </w:tc>
        <w:tc>
          <w:tcPr>
            <w:tcW w:w="1313" w:type="dxa"/>
            <w:tcBorders>
              <w:top w:val="single" w:sz="4" w:space="0" w:color="000000"/>
              <w:left w:val="single" w:sz="4" w:space="0" w:color="000000"/>
              <w:bottom w:val="single" w:sz="12" w:space="0" w:color="000000"/>
              <w:right w:val="single" w:sz="4" w:space="0" w:color="000000"/>
            </w:tcBorders>
            <w:shd w:val="clear" w:color="auto" w:fill="FFFFFF"/>
          </w:tcPr>
          <w:p w14:paraId="430734C8" w14:textId="77777777" w:rsidR="00B00DB7" w:rsidRDefault="00000000">
            <w:r>
              <w:t>对象数组</w:t>
            </w:r>
          </w:p>
        </w:tc>
        <w:tc>
          <w:tcPr>
            <w:tcW w:w="2587" w:type="dxa"/>
            <w:tcBorders>
              <w:top w:val="single" w:sz="4" w:space="0" w:color="000000"/>
              <w:left w:val="single" w:sz="4" w:space="0" w:color="000000"/>
              <w:bottom w:val="single" w:sz="12" w:space="0" w:color="000000"/>
              <w:right w:val="single" w:sz="4" w:space="0" w:color="000000"/>
            </w:tcBorders>
            <w:shd w:val="clear" w:color="auto" w:fill="FFFFFF"/>
          </w:tcPr>
          <w:p w14:paraId="0680BD78" w14:textId="77777777" w:rsidR="00B00DB7" w:rsidRDefault="00000000">
            <w:r>
              <w:t>操舵装置动态信息体数组</w:t>
            </w:r>
          </w:p>
        </w:tc>
        <w:tc>
          <w:tcPr>
            <w:tcW w:w="2882" w:type="dxa"/>
            <w:tcBorders>
              <w:top w:val="single" w:sz="4" w:space="0" w:color="000000"/>
              <w:left w:val="single" w:sz="4" w:space="0" w:color="000000"/>
              <w:bottom w:val="single" w:sz="12" w:space="0" w:color="000000"/>
              <w:right w:val="single" w:sz="12" w:space="0" w:color="000000"/>
            </w:tcBorders>
            <w:shd w:val="clear" w:color="auto" w:fill="FFFFFF"/>
          </w:tcPr>
          <w:p w14:paraId="13F14BC9" w14:textId="77777777" w:rsidR="00B00DB7" w:rsidRDefault="00000000">
            <w:r>
              <w:t>动态信息体详见第</w:t>
            </w:r>
            <w:r>
              <w:t>4</w:t>
            </w:r>
            <w:r>
              <w:t>节</w:t>
            </w:r>
          </w:p>
        </w:tc>
      </w:tr>
    </w:tbl>
    <w:p w14:paraId="16AA26F1" w14:textId="77777777" w:rsidR="00B00DB7" w:rsidRDefault="00000000">
      <w:r>
        <w:rPr>
          <w:rFonts w:ascii="Times New Roman" w:hint="eastAsia"/>
          <w:b/>
          <w:bCs/>
          <w:color w:val="000000"/>
          <w:szCs w:val="24"/>
        </w:rPr>
        <w:t>E.3.4</w:t>
      </w:r>
      <w:r>
        <w:rPr>
          <w:rFonts w:ascii="Times New Roman" w:hint="eastAsia"/>
          <w:color w:val="000000"/>
          <w:szCs w:val="24"/>
        </w:rPr>
        <w:t xml:space="preserve">　</w:t>
      </w:r>
      <w:r>
        <w:t>动态数据的</w:t>
      </w:r>
      <w:r>
        <w:t>JSON</w:t>
      </w:r>
      <w:r>
        <w:t>格式数据包示例见第</w:t>
      </w:r>
      <w:r>
        <w:t>6</w:t>
      </w:r>
      <w:r>
        <w:t>节。</w:t>
      </w:r>
    </w:p>
    <w:p w14:paraId="18A4A2B3" w14:textId="77777777" w:rsidR="00B00DB7" w:rsidRDefault="00000000">
      <w:pPr>
        <w:pStyle w:val="22"/>
      </w:pPr>
      <w:bookmarkStart w:id="130" w:name="_Toc12998"/>
      <w:bookmarkStart w:id="131" w:name="_Toc194686513"/>
      <w:bookmarkStart w:id="132" w:name="_Toc10426"/>
      <w:bookmarkStart w:id="133" w:name="_Toc212497523"/>
      <w:bookmarkStart w:id="134" w:name="_Toc4332"/>
      <w:bookmarkStart w:id="135" w:name="_Toc24396"/>
      <w:bookmarkStart w:id="136" w:name="_Toc13094"/>
      <w:r>
        <w:rPr>
          <w:rFonts w:hint="eastAsia"/>
        </w:rPr>
        <w:t>E</w:t>
      </w:r>
      <w:r>
        <w:t>.4</w:t>
      </w:r>
      <w:r>
        <w:t>动态数据的</w:t>
      </w:r>
      <w:r>
        <w:t>JSON</w:t>
      </w:r>
      <w:r>
        <w:t>格式</w:t>
      </w:r>
      <w:proofErr w:type="spellStart"/>
      <w:r>
        <w:t>Gzip</w:t>
      </w:r>
      <w:proofErr w:type="spellEnd"/>
      <w:r>
        <w:t>压缩数据包</w:t>
      </w:r>
      <w:bookmarkEnd w:id="130"/>
      <w:bookmarkEnd w:id="131"/>
      <w:bookmarkEnd w:id="132"/>
      <w:bookmarkEnd w:id="133"/>
      <w:bookmarkEnd w:id="134"/>
      <w:bookmarkEnd w:id="135"/>
      <w:bookmarkEnd w:id="136"/>
    </w:p>
    <w:p w14:paraId="7F027AE0" w14:textId="77777777" w:rsidR="00B00DB7" w:rsidRDefault="00000000">
      <w:r>
        <w:rPr>
          <w:rFonts w:ascii="Times New Roman" w:hint="eastAsia"/>
          <w:b/>
          <w:bCs/>
          <w:color w:val="000000"/>
          <w:szCs w:val="24"/>
        </w:rPr>
        <w:t>E.4.1</w:t>
      </w:r>
      <w:r>
        <w:rPr>
          <w:rFonts w:ascii="Times New Roman" w:hint="eastAsia"/>
          <w:color w:val="000000"/>
          <w:szCs w:val="24"/>
        </w:rPr>
        <w:t xml:space="preserve">　</w:t>
      </w:r>
      <w:r>
        <w:t>报送数据时，应将</w:t>
      </w:r>
      <w:r>
        <w:t>JSON</w:t>
      </w:r>
      <w:r>
        <w:t>格式的数据包采用</w:t>
      </w:r>
      <w:proofErr w:type="spellStart"/>
      <w:r>
        <w:t>Gzip</w:t>
      </w:r>
      <w:proofErr w:type="spellEnd"/>
      <w:r>
        <w:t>算法压缩，之后将新生成的数据体发布至对应消息主题。接收数据时，应从对应消息主题订阅消息，之后采用</w:t>
      </w:r>
      <w:proofErr w:type="spellStart"/>
      <w:r>
        <w:t>Gzip</w:t>
      </w:r>
      <w:proofErr w:type="spellEnd"/>
      <w:r>
        <w:t>算法解压，即可得到</w:t>
      </w:r>
      <w:r>
        <w:t>JSON</w:t>
      </w:r>
      <w:r>
        <w:t>格式的数据包。</w:t>
      </w:r>
    </w:p>
    <w:p w14:paraId="1D30D904" w14:textId="77777777" w:rsidR="00B00DB7" w:rsidRDefault="00000000">
      <w:pPr>
        <w:pStyle w:val="22"/>
      </w:pPr>
      <w:bookmarkStart w:id="137" w:name="_Toc24435"/>
      <w:bookmarkStart w:id="138" w:name="_Toc12685"/>
      <w:bookmarkStart w:id="139" w:name="_Toc16194"/>
      <w:bookmarkStart w:id="140" w:name="_Toc477"/>
      <w:r>
        <w:rPr>
          <w:rFonts w:hint="eastAsia"/>
        </w:rPr>
        <w:t>E</w:t>
      </w:r>
      <w:r>
        <w:t>.</w:t>
      </w:r>
      <w:r>
        <w:rPr>
          <w:rFonts w:hint="eastAsia"/>
        </w:rPr>
        <w:t>5</w:t>
      </w:r>
      <w:r>
        <w:rPr>
          <w:rFonts w:hint="eastAsia"/>
        </w:rPr>
        <w:t>数据包示例</w:t>
      </w:r>
      <w:bookmarkEnd w:id="137"/>
      <w:bookmarkEnd w:id="138"/>
      <w:bookmarkEnd w:id="139"/>
      <w:bookmarkEnd w:id="140"/>
    </w:p>
    <w:p w14:paraId="760228D2" w14:textId="77777777" w:rsidR="00B00DB7" w:rsidRDefault="00000000">
      <w:r>
        <w:rPr>
          <w:rFonts w:ascii="Times New Roman" w:hint="eastAsia"/>
          <w:b/>
          <w:bCs/>
          <w:color w:val="000000"/>
          <w:szCs w:val="24"/>
        </w:rPr>
        <w:t>E.5.1</w:t>
      </w:r>
      <w:r>
        <w:rPr>
          <w:rFonts w:ascii="Times New Roman" w:hint="eastAsia"/>
          <w:color w:val="000000"/>
          <w:szCs w:val="24"/>
        </w:rPr>
        <w:t xml:space="preserve">　</w:t>
      </w:r>
      <w:r>
        <w:t>静态数据的</w:t>
      </w:r>
      <w:r>
        <w:t>JSON</w:t>
      </w:r>
      <w:r>
        <w:t>格式数据包示例如下</w:t>
      </w:r>
      <w:r>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B00DB7" w14:paraId="54631076" w14:textId="77777777">
        <w:tc>
          <w:tcPr>
            <w:tcW w:w="5000" w:type="pct"/>
          </w:tcPr>
          <w:p w14:paraId="4BE4ED3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w:t>
            </w:r>
          </w:p>
          <w:p w14:paraId="286DF4D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t>"Package": {</w:t>
            </w:r>
          </w:p>
          <w:p w14:paraId="1D5667A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"Header": {</w:t>
            </w:r>
          </w:p>
          <w:p w14:paraId="16D2FDB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rPr>
              <w:t xml:space="preserve">"Version": </w:t>
            </w:r>
            <w:r>
              <w:rPr>
                <w:rFonts w:ascii="Times New Roman" w:hAnsi="Times New Roman"/>
                <w:kern w:val="21"/>
                <w:sz w:val="13"/>
                <w:szCs w:val="13"/>
              </w:rPr>
              <w:t>2025</w:t>
            </w:r>
            <w:r>
              <w:rPr>
                <w:rFonts w:ascii="Times New Roman" w:hAnsi="Times New Roman"/>
                <w:kern w:val="21"/>
                <w:sz w:val="13"/>
              </w:rPr>
              <w:t>,</w:t>
            </w:r>
          </w:p>
          <w:p w14:paraId="375CD22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"Author": "XXX</w:t>
            </w:r>
            <w:r>
              <w:rPr>
                <w:rFonts w:ascii="Times New Roman" w:hAnsi="Times New Roman"/>
                <w:kern w:val="21"/>
                <w:sz w:val="13"/>
                <w:szCs w:val="13"/>
              </w:rPr>
              <w:t>单位</w:t>
            </w:r>
            <w:r>
              <w:rPr>
                <w:rFonts w:ascii="Times New Roman" w:hAnsi="Times New Roman"/>
                <w:kern w:val="21"/>
                <w:sz w:val="13"/>
                <w:szCs w:val="13"/>
              </w:rPr>
              <w:t>",</w:t>
            </w:r>
          </w:p>
          <w:p w14:paraId="7EF6756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TimeStamp</w:t>
            </w:r>
            <w:proofErr w:type="spellEnd"/>
            <w:r>
              <w:rPr>
                <w:rFonts w:ascii="Times New Roman" w:hAnsi="Times New Roman"/>
                <w:kern w:val="21"/>
                <w:sz w:val="13"/>
                <w:szCs w:val="13"/>
              </w:rPr>
              <w:t>": "2024-01-03T12:00:00Z",</w:t>
            </w:r>
          </w:p>
          <w:p w14:paraId="500412A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ShipID</w:t>
            </w:r>
            <w:proofErr w:type="spellEnd"/>
            <w:r>
              <w:rPr>
                <w:rFonts w:ascii="Times New Roman" w:hAnsi="Times New Roman"/>
                <w:kern w:val="21"/>
                <w:sz w:val="13"/>
                <w:szCs w:val="13"/>
              </w:rPr>
              <w:t>": "</w:t>
            </w:r>
            <w:proofErr w:type="spellStart"/>
            <w:r>
              <w:rPr>
                <w:rFonts w:ascii="Times New Roman" w:hAnsi="Times New Roman"/>
                <w:kern w:val="21"/>
                <w:sz w:val="13"/>
                <w:szCs w:val="13"/>
              </w:rPr>
              <w:t>CNxxx</w:t>
            </w:r>
            <w:proofErr w:type="spellEnd"/>
            <w:r>
              <w:rPr>
                <w:rFonts w:ascii="Times New Roman" w:hAnsi="Times New Roman"/>
                <w:kern w:val="21"/>
                <w:sz w:val="13"/>
                <w:szCs w:val="13"/>
              </w:rPr>
              <w:t>"</w:t>
            </w:r>
          </w:p>
          <w:p w14:paraId="474D00F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
          <w:p w14:paraId="702ACB3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BaseInfo</w:t>
            </w:r>
            <w:proofErr w:type="spellEnd"/>
            <w:r>
              <w:rPr>
                <w:rFonts w:ascii="Times New Roman" w:hAnsi="Times New Roman"/>
                <w:kern w:val="21"/>
                <w:sz w:val="13"/>
                <w:szCs w:val="13"/>
              </w:rPr>
              <w:t xml:space="preserve"> ": {</w:t>
            </w:r>
          </w:p>
          <w:p w14:paraId="34C2BB6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"Ship": {</w:t>
            </w:r>
          </w:p>
          <w:p w14:paraId="2D9BF75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lastRenderedPageBreak/>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ShipID</w:t>
            </w:r>
            <w:proofErr w:type="spellEnd"/>
            <w:r>
              <w:rPr>
                <w:rFonts w:ascii="Times New Roman" w:hAnsi="Times New Roman"/>
                <w:kern w:val="21"/>
                <w:sz w:val="13"/>
                <w:szCs w:val="13"/>
              </w:rPr>
              <w:t>": "</w:t>
            </w:r>
            <w:proofErr w:type="spellStart"/>
            <w:r>
              <w:rPr>
                <w:rFonts w:ascii="Times New Roman" w:hAnsi="Times New Roman"/>
                <w:kern w:val="21"/>
                <w:sz w:val="13"/>
                <w:szCs w:val="13"/>
              </w:rPr>
              <w:t>CNxxx</w:t>
            </w:r>
            <w:proofErr w:type="spellEnd"/>
            <w:r>
              <w:rPr>
                <w:rFonts w:ascii="Times New Roman" w:hAnsi="Times New Roman"/>
                <w:kern w:val="21"/>
                <w:sz w:val="13"/>
                <w:szCs w:val="13"/>
              </w:rPr>
              <w:t>",</w:t>
            </w:r>
          </w:p>
          <w:p w14:paraId="536DBDA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ShipName</w:t>
            </w:r>
            <w:proofErr w:type="spellEnd"/>
            <w:r>
              <w:rPr>
                <w:rFonts w:ascii="Times New Roman" w:hAnsi="Times New Roman"/>
                <w:kern w:val="21"/>
                <w:sz w:val="13"/>
                <w:szCs w:val="13"/>
              </w:rPr>
              <w:t>": "xxx",</w:t>
            </w:r>
          </w:p>
          <w:p w14:paraId="34113D62"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ShipType</w:t>
            </w:r>
            <w:proofErr w:type="spellEnd"/>
            <w:r>
              <w:rPr>
                <w:rFonts w:ascii="Times New Roman" w:hAnsi="Times New Roman"/>
                <w:kern w:val="21"/>
                <w:sz w:val="13"/>
                <w:szCs w:val="13"/>
              </w:rPr>
              <w:t>": 102,</w:t>
            </w:r>
          </w:p>
          <w:p w14:paraId="146C954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24A83D0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653A2D2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PowerSys</w:t>
            </w:r>
            <w:proofErr w:type="spellEnd"/>
            <w:r>
              <w:rPr>
                <w:rFonts w:ascii="Times New Roman" w:hAnsi="Times New Roman"/>
                <w:kern w:val="21"/>
                <w:sz w:val="13"/>
                <w:szCs w:val="13"/>
              </w:rPr>
              <w:t>": {</w:t>
            </w:r>
          </w:p>
          <w:p w14:paraId="03E220E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"DataMaintenanceID": "xxx",</w:t>
            </w:r>
          </w:p>
          <w:p w14:paraId="1516316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SysTopoMap</w:t>
            </w:r>
            <w:proofErr w:type="spellEnd"/>
            <w:r>
              <w:rPr>
                <w:rFonts w:ascii="Times New Roman" w:hAnsi="Times New Roman"/>
                <w:kern w:val="21"/>
                <w:sz w:val="13"/>
                <w:szCs w:val="13"/>
              </w:rPr>
              <w:t>": "</w:t>
            </w:r>
            <w:proofErr w:type="spellStart"/>
            <w:proofErr w:type="gramStart"/>
            <w:r>
              <w:rPr>
                <w:rFonts w:ascii="Times New Roman" w:hAnsi="Times New Roman"/>
                <w:kern w:val="21"/>
                <w:sz w:val="13"/>
                <w:szCs w:val="13"/>
              </w:rPr>
              <w:t>data:image</w:t>
            </w:r>
            <w:proofErr w:type="spellEnd"/>
            <w:proofErr w:type="gramEnd"/>
            <w:r>
              <w:rPr>
                <w:rFonts w:ascii="Times New Roman" w:hAnsi="Times New Roman"/>
                <w:kern w:val="21"/>
                <w:sz w:val="13"/>
                <w:szCs w:val="13"/>
              </w:rPr>
              <w:t>/</w:t>
            </w:r>
            <w:proofErr w:type="gramStart"/>
            <w:r>
              <w:rPr>
                <w:rFonts w:ascii="Times New Roman" w:hAnsi="Times New Roman"/>
                <w:kern w:val="21"/>
                <w:sz w:val="13"/>
                <w:szCs w:val="13"/>
              </w:rPr>
              <w:t>jpeg;base64,xxx</w:t>
            </w:r>
            <w:proofErr w:type="gramEnd"/>
            <w:r>
              <w:rPr>
                <w:rFonts w:ascii="Times New Roman" w:hAnsi="Times New Roman"/>
                <w:kern w:val="21"/>
                <w:sz w:val="13"/>
                <w:szCs w:val="13"/>
              </w:rPr>
              <w:t>",</w:t>
            </w:r>
          </w:p>
          <w:p w14:paraId="0F72790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5994933"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5499EC9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BatterySys</w:t>
            </w:r>
            <w:proofErr w:type="spellEnd"/>
            <w:r>
              <w:rPr>
                <w:rFonts w:ascii="Times New Roman" w:hAnsi="Times New Roman"/>
                <w:kern w:val="21"/>
                <w:sz w:val="13"/>
                <w:szCs w:val="13"/>
              </w:rPr>
              <w:t>": {</w:t>
            </w:r>
          </w:p>
          <w:p w14:paraId="30162623"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BatterySystemIntegrator</w:t>
            </w:r>
            <w:proofErr w:type="spellEnd"/>
            <w:r>
              <w:rPr>
                <w:rFonts w:ascii="Times New Roman" w:hAnsi="Times New Roman"/>
                <w:kern w:val="21"/>
                <w:sz w:val="13"/>
                <w:szCs w:val="13"/>
              </w:rPr>
              <w:t>": "xxx",</w:t>
            </w:r>
          </w:p>
          <w:p w14:paraId="5CC1D8E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BatteryManufacturer</w:t>
            </w:r>
            <w:proofErr w:type="spellEnd"/>
            <w:r>
              <w:rPr>
                <w:rFonts w:ascii="Times New Roman" w:hAnsi="Times New Roman"/>
                <w:kern w:val="21"/>
                <w:sz w:val="13"/>
                <w:szCs w:val="13"/>
              </w:rPr>
              <w:t>": "xxx",</w:t>
            </w:r>
          </w:p>
          <w:p w14:paraId="13AB7EC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RatedCapacity</w:t>
            </w:r>
            <w:proofErr w:type="spellEnd"/>
            <w:r>
              <w:rPr>
                <w:rFonts w:ascii="Times New Roman" w:hAnsi="Times New Roman"/>
                <w:kern w:val="21"/>
                <w:sz w:val="13"/>
                <w:szCs w:val="13"/>
              </w:rPr>
              <w:t>": 43200,</w:t>
            </w:r>
          </w:p>
          <w:p w14:paraId="352C204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78DEA77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0CB8D7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"Compartment": [{</w:t>
            </w:r>
          </w:p>
          <w:p w14:paraId="6BFF1D91"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 "01",</w:t>
            </w:r>
          </w:p>
          <w:p w14:paraId="351E2FE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"Name": "1</w:t>
            </w:r>
            <w:r>
              <w:rPr>
                <w:rFonts w:ascii="Times New Roman" w:hAnsi="Times New Roman"/>
                <w:kern w:val="21"/>
                <w:sz w:val="13"/>
                <w:szCs w:val="13"/>
              </w:rPr>
              <w:t>号电池舱</w:t>
            </w:r>
            <w:r>
              <w:rPr>
                <w:rFonts w:ascii="Times New Roman" w:hAnsi="Times New Roman"/>
                <w:kern w:val="21"/>
                <w:sz w:val="13"/>
                <w:szCs w:val="13"/>
              </w:rPr>
              <w:t>"</w:t>
            </w:r>
          </w:p>
          <w:p w14:paraId="621F62F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692384B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 "02",</w:t>
            </w:r>
          </w:p>
          <w:p w14:paraId="12A7B0D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"Name": "2</w:t>
            </w:r>
            <w:r>
              <w:rPr>
                <w:rFonts w:ascii="Times New Roman" w:hAnsi="Times New Roman"/>
                <w:kern w:val="21"/>
                <w:sz w:val="13"/>
                <w:szCs w:val="13"/>
              </w:rPr>
              <w:t>号电池舱</w:t>
            </w:r>
            <w:r>
              <w:rPr>
                <w:rFonts w:ascii="Times New Roman" w:hAnsi="Times New Roman"/>
                <w:kern w:val="21"/>
                <w:sz w:val="13"/>
                <w:szCs w:val="13"/>
              </w:rPr>
              <w:t>"</w:t>
            </w:r>
          </w:p>
          <w:p w14:paraId="4638A0DE"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0580404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BatteryGroup</w:t>
            </w:r>
            <w:proofErr w:type="spellEnd"/>
            <w:r>
              <w:rPr>
                <w:rFonts w:ascii="Times New Roman" w:hAnsi="Times New Roman"/>
                <w:kern w:val="21"/>
                <w:sz w:val="13"/>
                <w:szCs w:val="13"/>
              </w:rPr>
              <w:t>": [{</w:t>
            </w:r>
          </w:p>
          <w:p w14:paraId="242F0FF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 "01",</w:t>
            </w:r>
          </w:p>
          <w:p w14:paraId="3C84D36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"Name": "1</w:t>
            </w:r>
            <w:r>
              <w:rPr>
                <w:rFonts w:ascii="Times New Roman" w:hAnsi="Times New Roman"/>
                <w:kern w:val="21"/>
                <w:sz w:val="13"/>
                <w:szCs w:val="13"/>
              </w:rPr>
              <w:t>号电池组</w:t>
            </w:r>
            <w:r>
              <w:rPr>
                <w:rFonts w:ascii="Times New Roman" w:hAnsi="Times New Roman"/>
                <w:kern w:val="21"/>
                <w:sz w:val="13"/>
                <w:szCs w:val="13"/>
              </w:rPr>
              <w:t>"</w:t>
            </w:r>
          </w:p>
          <w:p w14:paraId="4EAEA0E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RatedCapacity</w:t>
            </w:r>
            <w:proofErr w:type="spellEnd"/>
            <w:r>
              <w:rPr>
                <w:rFonts w:ascii="Times New Roman" w:hAnsi="Times New Roman"/>
                <w:kern w:val="21"/>
                <w:sz w:val="13"/>
                <w:szCs w:val="13"/>
              </w:rPr>
              <w:t>": 720,</w:t>
            </w:r>
          </w:p>
          <w:p w14:paraId="1C5FCE9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RatedVoltage</w:t>
            </w:r>
            <w:proofErr w:type="spellEnd"/>
            <w:r>
              <w:rPr>
                <w:rFonts w:ascii="Times New Roman" w:hAnsi="Times New Roman"/>
                <w:kern w:val="21"/>
                <w:sz w:val="13"/>
                <w:szCs w:val="13"/>
              </w:rPr>
              <w:t>": 630,</w:t>
            </w:r>
          </w:p>
          <w:p w14:paraId="2285E07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0501B62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2DB616D1"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 "02",</w:t>
            </w:r>
          </w:p>
          <w:p w14:paraId="3D96143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"Name": "2</w:t>
            </w:r>
            <w:r>
              <w:rPr>
                <w:rFonts w:ascii="Times New Roman" w:hAnsi="Times New Roman"/>
                <w:kern w:val="21"/>
                <w:sz w:val="13"/>
                <w:szCs w:val="13"/>
              </w:rPr>
              <w:t>号电池组</w:t>
            </w:r>
            <w:r>
              <w:rPr>
                <w:rFonts w:ascii="Times New Roman" w:hAnsi="Times New Roman"/>
                <w:kern w:val="21"/>
                <w:sz w:val="13"/>
                <w:szCs w:val="13"/>
              </w:rPr>
              <w:t>"</w:t>
            </w:r>
          </w:p>
          <w:p w14:paraId="41913B1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RatedCapacity</w:t>
            </w:r>
            <w:proofErr w:type="spellEnd"/>
            <w:r>
              <w:rPr>
                <w:rFonts w:ascii="Times New Roman" w:hAnsi="Times New Roman"/>
                <w:kern w:val="21"/>
                <w:sz w:val="13"/>
                <w:szCs w:val="13"/>
              </w:rPr>
              <w:t>": 720,</w:t>
            </w:r>
          </w:p>
          <w:p w14:paraId="7B95EB4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RatedVoltage</w:t>
            </w:r>
            <w:proofErr w:type="spellEnd"/>
            <w:r>
              <w:rPr>
                <w:rFonts w:ascii="Times New Roman" w:hAnsi="Times New Roman"/>
                <w:kern w:val="21"/>
                <w:sz w:val="13"/>
                <w:szCs w:val="13"/>
              </w:rPr>
              <w:t>": 630,</w:t>
            </w:r>
          </w:p>
          <w:p w14:paraId="416EF20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5847F971"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5C394A67"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CE82FE8" w14:textId="77777777" w:rsidR="00B00DB7" w:rsidRDefault="00000000">
            <w:pPr>
              <w:spacing w:line="160" w:lineRule="exact"/>
              <w:ind w:firstLine="260"/>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
          <w:p w14:paraId="12828CA2" w14:textId="77777777" w:rsidR="00B00DB7" w:rsidRDefault="00000000">
            <w:pPr>
              <w:spacing w:line="160" w:lineRule="exact"/>
              <w:ind w:firstLine="260"/>
              <w:rPr>
                <w:rFonts w:ascii="Times New Roman" w:hAnsi="Times New Roman"/>
                <w:kern w:val="21"/>
                <w:sz w:val="13"/>
                <w:szCs w:val="13"/>
              </w:rPr>
            </w:pPr>
            <w:r>
              <w:rPr>
                <w:rFonts w:ascii="Times New Roman" w:hAnsi="Times New Roman"/>
                <w:kern w:val="21"/>
                <w:sz w:val="13"/>
                <w:szCs w:val="13"/>
              </w:rPr>
              <w:tab/>
              <w:t>}</w:t>
            </w:r>
          </w:p>
          <w:p w14:paraId="3559E2EB" w14:textId="77777777" w:rsidR="00B00DB7" w:rsidRDefault="00000000">
            <w:pPr>
              <w:spacing w:line="160" w:lineRule="exact"/>
              <w:ind w:firstLine="260"/>
              <w:rPr>
                <w:rFonts w:ascii="Times New Roman" w:hAnsi="Times New Roman"/>
                <w:kern w:val="0"/>
                <w:sz w:val="13"/>
                <w:szCs w:val="13"/>
              </w:rPr>
            </w:pPr>
            <w:r>
              <w:rPr>
                <w:rFonts w:ascii="Times New Roman" w:hAnsi="Times New Roman"/>
                <w:kern w:val="0"/>
                <w:sz w:val="13"/>
                <w:szCs w:val="13"/>
              </w:rPr>
              <w:t>}</w:t>
            </w:r>
          </w:p>
        </w:tc>
      </w:tr>
    </w:tbl>
    <w:p w14:paraId="777B5675" w14:textId="77777777" w:rsidR="00B00DB7" w:rsidRDefault="00000000">
      <w:r>
        <w:rPr>
          <w:rFonts w:ascii="Times New Roman" w:hint="eastAsia"/>
          <w:b/>
          <w:bCs/>
          <w:color w:val="000000"/>
          <w:szCs w:val="24"/>
        </w:rPr>
        <w:lastRenderedPageBreak/>
        <w:t>E.5.2</w:t>
      </w:r>
      <w:r>
        <w:rPr>
          <w:rFonts w:ascii="Times New Roman" w:hint="eastAsia"/>
          <w:color w:val="000000"/>
          <w:szCs w:val="24"/>
        </w:rPr>
        <w:t xml:space="preserve">　</w:t>
      </w:r>
      <w:r>
        <w:t>动态数据的</w:t>
      </w:r>
      <w:r>
        <w:t>JSON</w:t>
      </w:r>
      <w:r>
        <w:t>格式数据包示例如下</w:t>
      </w:r>
      <w:r>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B00DB7" w14:paraId="4F52E228" w14:textId="77777777">
        <w:tc>
          <w:tcPr>
            <w:tcW w:w="5000" w:type="pct"/>
          </w:tcPr>
          <w:p w14:paraId="51B0AD4E"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w:t>
            </w:r>
          </w:p>
          <w:p w14:paraId="01F56B4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t>"Package": {</w:t>
            </w:r>
          </w:p>
          <w:p w14:paraId="3F20F90D"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"Header": {</w:t>
            </w:r>
          </w:p>
          <w:p w14:paraId="6EFF506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"Version": 2025,</w:t>
            </w:r>
          </w:p>
          <w:p w14:paraId="53BC4061"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"Author": "XXX</w:t>
            </w:r>
            <w:r>
              <w:rPr>
                <w:rFonts w:ascii="Times New Roman" w:hAnsi="Times New Roman"/>
                <w:kern w:val="21"/>
                <w:sz w:val="13"/>
                <w:szCs w:val="13"/>
              </w:rPr>
              <w:t>单位</w:t>
            </w:r>
            <w:r>
              <w:rPr>
                <w:rFonts w:ascii="Times New Roman" w:hAnsi="Times New Roman"/>
                <w:kern w:val="21"/>
                <w:sz w:val="13"/>
                <w:szCs w:val="13"/>
              </w:rPr>
              <w:t>",</w:t>
            </w:r>
          </w:p>
          <w:p w14:paraId="77FEB5A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ShipID</w:t>
            </w:r>
            <w:proofErr w:type="spellEnd"/>
            <w:r>
              <w:rPr>
                <w:rFonts w:ascii="Times New Roman" w:hAnsi="Times New Roman"/>
                <w:kern w:val="21"/>
                <w:sz w:val="13"/>
                <w:szCs w:val="13"/>
              </w:rPr>
              <w:t>": "</w:t>
            </w:r>
            <w:proofErr w:type="spellStart"/>
            <w:r>
              <w:rPr>
                <w:rFonts w:ascii="Times New Roman" w:hAnsi="Times New Roman"/>
                <w:kern w:val="21"/>
                <w:sz w:val="13"/>
                <w:szCs w:val="13"/>
              </w:rPr>
              <w:t>CNxxx</w:t>
            </w:r>
            <w:proofErr w:type="spellEnd"/>
            <w:r>
              <w:rPr>
                <w:rFonts w:ascii="Times New Roman" w:hAnsi="Times New Roman"/>
                <w:kern w:val="21"/>
                <w:sz w:val="13"/>
                <w:szCs w:val="13"/>
              </w:rPr>
              <w:t>",</w:t>
            </w:r>
          </w:p>
          <w:p w14:paraId="018BE7DE"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TimeStamp</w:t>
            </w:r>
            <w:proofErr w:type="spellEnd"/>
            <w:r>
              <w:rPr>
                <w:rFonts w:ascii="Times New Roman" w:hAnsi="Times New Roman"/>
                <w:kern w:val="21"/>
                <w:sz w:val="13"/>
                <w:szCs w:val="13"/>
              </w:rPr>
              <w:t>": "2024-01-01T11:00:00Z"</w:t>
            </w:r>
          </w:p>
          <w:p w14:paraId="6F4AF09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
          <w:p w14:paraId="28FD7D0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TimeSeriesData</w:t>
            </w:r>
            <w:proofErr w:type="spellEnd"/>
            <w:proofErr w:type="gramStart"/>
            <w:r>
              <w:rPr>
                <w:rFonts w:ascii="Times New Roman" w:hAnsi="Times New Roman"/>
                <w:kern w:val="21"/>
                <w:sz w:val="13"/>
                <w:szCs w:val="13"/>
              </w:rPr>
              <w:t>":[</w:t>
            </w:r>
            <w:proofErr w:type="gramEnd"/>
            <w:r>
              <w:rPr>
                <w:rFonts w:ascii="Times New Roman" w:hAnsi="Times New Roman"/>
                <w:kern w:val="21"/>
                <w:sz w:val="13"/>
                <w:szCs w:val="13"/>
              </w:rPr>
              <w:t>{</w:t>
            </w:r>
          </w:p>
          <w:p w14:paraId="1FB200D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TimeStamp</w:t>
            </w:r>
            <w:proofErr w:type="spellEnd"/>
            <w:r>
              <w:rPr>
                <w:rFonts w:ascii="Times New Roman" w:hAnsi="Times New Roman"/>
                <w:kern w:val="21"/>
                <w:sz w:val="13"/>
                <w:szCs w:val="13"/>
              </w:rPr>
              <w:t>": "2024-01-01T12:00:00Z",</w:t>
            </w:r>
          </w:p>
          <w:p w14:paraId="0AD7BBC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"Ship": {</w:t>
            </w:r>
          </w:p>
          <w:p w14:paraId="114CBD6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"Longitude": 114.289894,</w:t>
            </w:r>
          </w:p>
          <w:p w14:paraId="480B040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69A5E0F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BB584C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PowerSys</w:t>
            </w:r>
            <w:proofErr w:type="spellEnd"/>
            <w:r>
              <w:rPr>
                <w:rFonts w:ascii="Times New Roman" w:hAnsi="Times New Roman"/>
                <w:kern w:val="21"/>
                <w:sz w:val="13"/>
                <w:szCs w:val="13"/>
              </w:rPr>
              <w:t>": {</w:t>
            </w:r>
          </w:p>
          <w:p w14:paraId="1DB3C6F2"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"SOC": [85.</w:t>
            </w:r>
            <w:proofErr w:type="gramStart"/>
            <w:r>
              <w:rPr>
                <w:rFonts w:ascii="Times New Roman" w:hAnsi="Times New Roman"/>
                <w:kern w:val="21"/>
                <w:sz w:val="13"/>
                <w:szCs w:val="13"/>
              </w:rPr>
              <w:t>1,-1,-1,-1,-1,-</w:t>
            </w:r>
            <w:proofErr w:type="gramEnd"/>
            <w:r>
              <w:rPr>
                <w:rFonts w:ascii="Times New Roman" w:hAnsi="Times New Roman"/>
                <w:kern w:val="21"/>
                <w:sz w:val="13"/>
                <w:szCs w:val="13"/>
              </w:rPr>
              <w:t>1],</w:t>
            </w:r>
          </w:p>
          <w:p w14:paraId="14E4070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"BatterySysStatus": 1,</w:t>
            </w:r>
          </w:p>
          <w:p w14:paraId="0AEEA4F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FuelSysStatus</w:t>
            </w:r>
            <w:proofErr w:type="spellEnd"/>
            <w:r>
              <w:rPr>
                <w:rFonts w:ascii="Times New Roman" w:hAnsi="Times New Roman"/>
                <w:kern w:val="21"/>
                <w:sz w:val="13"/>
                <w:szCs w:val="13"/>
              </w:rPr>
              <w:t>": -1,</w:t>
            </w:r>
          </w:p>
          <w:p w14:paraId="003A354D"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DistributionSysStatus</w:t>
            </w:r>
            <w:proofErr w:type="spellEnd"/>
            <w:r>
              <w:rPr>
                <w:rFonts w:ascii="Times New Roman" w:hAnsi="Times New Roman"/>
                <w:kern w:val="21"/>
                <w:sz w:val="13"/>
                <w:szCs w:val="13"/>
              </w:rPr>
              <w:t>": 1,</w:t>
            </w:r>
          </w:p>
          <w:p w14:paraId="541B819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lastRenderedPageBreak/>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PropulsionSysStatus</w:t>
            </w:r>
            <w:proofErr w:type="spellEnd"/>
            <w:r>
              <w:rPr>
                <w:rFonts w:ascii="Times New Roman" w:hAnsi="Times New Roman"/>
                <w:kern w:val="21"/>
                <w:sz w:val="13"/>
                <w:szCs w:val="13"/>
              </w:rPr>
              <w:t>": 1</w:t>
            </w:r>
          </w:p>
          <w:p w14:paraId="3E478E0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5A2029F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"Compartment</w:t>
            </w:r>
            <w:proofErr w:type="gramStart"/>
            <w:r>
              <w:rPr>
                <w:rFonts w:ascii="Times New Roman" w:hAnsi="Times New Roman"/>
                <w:kern w:val="21"/>
                <w:sz w:val="13"/>
                <w:szCs w:val="13"/>
              </w:rPr>
              <w:t>":[</w:t>
            </w:r>
            <w:proofErr w:type="gramEnd"/>
            <w:r>
              <w:rPr>
                <w:rFonts w:ascii="Times New Roman" w:hAnsi="Times New Roman"/>
                <w:kern w:val="21"/>
                <w:sz w:val="13"/>
                <w:szCs w:val="13"/>
              </w:rPr>
              <w:t>{</w:t>
            </w:r>
          </w:p>
          <w:p w14:paraId="1EF69B8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"Code":"01",</w:t>
            </w:r>
          </w:p>
          <w:p w14:paraId="75B9901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AlarmFlag</w:t>
            </w:r>
            <w:proofErr w:type="spellEnd"/>
            <w:r>
              <w:rPr>
                <w:rFonts w:ascii="Times New Roman" w:hAnsi="Times New Roman"/>
                <w:kern w:val="21"/>
                <w:sz w:val="13"/>
                <w:szCs w:val="13"/>
              </w:rPr>
              <w:t xml:space="preserve"> ":1,</w:t>
            </w:r>
          </w:p>
          <w:p w14:paraId="6AD99A7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MaxEnvTemperature</w:t>
            </w:r>
            <w:proofErr w:type="spellEnd"/>
            <w:r>
              <w:rPr>
                <w:rFonts w:ascii="Times New Roman" w:hAnsi="Times New Roman"/>
                <w:kern w:val="21"/>
                <w:sz w:val="13"/>
                <w:szCs w:val="13"/>
              </w:rPr>
              <w:t xml:space="preserve"> ":40.2,</w:t>
            </w:r>
          </w:p>
          <w:p w14:paraId="3907DED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7DFB96B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7D203C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"Code":"02",</w:t>
            </w:r>
          </w:p>
          <w:p w14:paraId="0EE80213"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75A45463"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r>
              <w:rPr>
                <w:rFonts w:ascii="Times New Roman" w:hAnsi="Times New Roman"/>
                <w:kern w:val="21"/>
                <w:sz w:val="13"/>
                <w:szCs w:val="13"/>
              </w:rPr>
              <w:tab/>
            </w:r>
          </w:p>
          <w:p w14:paraId="3C4650B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BatteryGroup</w:t>
            </w:r>
            <w:proofErr w:type="spellEnd"/>
            <w:proofErr w:type="gramStart"/>
            <w:r>
              <w:rPr>
                <w:rFonts w:ascii="Times New Roman" w:hAnsi="Times New Roman"/>
                <w:kern w:val="21"/>
                <w:sz w:val="13"/>
                <w:szCs w:val="13"/>
              </w:rPr>
              <w:t>":[</w:t>
            </w:r>
            <w:proofErr w:type="gramEnd"/>
            <w:r>
              <w:rPr>
                <w:rFonts w:ascii="Times New Roman" w:hAnsi="Times New Roman"/>
                <w:kern w:val="21"/>
                <w:sz w:val="13"/>
                <w:szCs w:val="13"/>
              </w:rPr>
              <w:t>{</w:t>
            </w:r>
          </w:p>
          <w:p w14:paraId="7093C5A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"Code":"001",</w:t>
            </w:r>
          </w:p>
          <w:p w14:paraId="7012D94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E2686C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470D889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"Code":"002",</w:t>
            </w:r>
          </w:p>
          <w:p w14:paraId="6D3DCBD7"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76C1DFC7"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06B2CC0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44B0B2E" w14:textId="77777777" w:rsidR="00B00DB7" w:rsidRDefault="00000000">
            <w:pPr>
              <w:spacing w:line="160" w:lineRule="exact"/>
              <w:ind w:firstLine="260"/>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
          <w:p w14:paraId="1DF8B23D"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TimeStamp</w:t>
            </w:r>
            <w:proofErr w:type="spellEnd"/>
            <w:r>
              <w:rPr>
                <w:rFonts w:ascii="Times New Roman" w:hAnsi="Times New Roman"/>
                <w:kern w:val="21"/>
                <w:sz w:val="13"/>
                <w:szCs w:val="13"/>
              </w:rPr>
              <w:t>": "2024-01-01T12:01:00Z",</w:t>
            </w:r>
          </w:p>
          <w:p w14:paraId="68DA8F6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"Ship": {</w:t>
            </w:r>
          </w:p>
          <w:p w14:paraId="23BD041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"Longitude": 114.290894,</w:t>
            </w:r>
          </w:p>
          <w:p w14:paraId="2552C8BD"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73EBC117"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65B85A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PowerSys</w:t>
            </w:r>
            <w:proofErr w:type="spellEnd"/>
            <w:r>
              <w:rPr>
                <w:rFonts w:ascii="Times New Roman" w:hAnsi="Times New Roman"/>
                <w:kern w:val="21"/>
                <w:sz w:val="13"/>
                <w:szCs w:val="13"/>
              </w:rPr>
              <w:t>": {</w:t>
            </w:r>
          </w:p>
          <w:p w14:paraId="7023C3C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"SOC": [85.</w:t>
            </w:r>
            <w:proofErr w:type="gramStart"/>
            <w:r>
              <w:rPr>
                <w:rFonts w:ascii="Times New Roman" w:hAnsi="Times New Roman"/>
                <w:kern w:val="21"/>
                <w:sz w:val="13"/>
                <w:szCs w:val="13"/>
              </w:rPr>
              <w:t>0,-1,-1,-1,-1,-</w:t>
            </w:r>
            <w:proofErr w:type="gramEnd"/>
            <w:r>
              <w:rPr>
                <w:rFonts w:ascii="Times New Roman" w:hAnsi="Times New Roman"/>
                <w:kern w:val="21"/>
                <w:sz w:val="13"/>
                <w:szCs w:val="13"/>
              </w:rPr>
              <w:t>1],</w:t>
            </w:r>
          </w:p>
          <w:p w14:paraId="271A1D7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"BatterySysStatus": 1,</w:t>
            </w:r>
          </w:p>
          <w:p w14:paraId="2FE8D0A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FuelSysStatus</w:t>
            </w:r>
            <w:proofErr w:type="spellEnd"/>
            <w:r>
              <w:rPr>
                <w:rFonts w:ascii="Times New Roman" w:hAnsi="Times New Roman"/>
                <w:kern w:val="21"/>
                <w:sz w:val="13"/>
                <w:szCs w:val="13"/>
              </w:rPr>
              <w:t>": -1,</w:t>
            </w:r>
          </w:p>
          <w:p w14:paraId="119A0EA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DistributionSysStatus</w:t>
            </w:r>
            <w:proofErr w:type="spellEnd"/>
            <w:r>
              <w:rPr>
                <w:rFonts w:ascii="Times New Roman" w:hAnsi="Times New Roman"/>
                <w:kern w:val="21"/>
                <w:sz w:val="13"/>
                <w:szCs w:val="13"/>
              </w:rPr>
              <w:t>": 1,</w:t>
            </w:r>
          </w:p>
          <w:p w14:paraId="5E320BE4"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PropulsionSysStatus</w:t>
            </w:r>
            <w:proofErr w:type="spellEnd"/>
            <w:r>
              <w:rPr>
                <w:rFonts w:ascii="Times New Roman" w:hAnsi="Times New Roman"/>
                <w:kern w:val="21"/>
                <w:sz w:val="13"/>
                <w:szCs w:val="13"/>
              </w:rPr>
              <w:t>": 1</w:t>
            </w:r>
          </w:p>
          <w:p w14:paraId="40FF0C22"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13815A2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"Compartment</w:t>
            </w:r>
            <w:proofErr w:type="gramStart"/>
            <w:r>
              <w:rPr>
                <w:rFonts w:ascii="Times New Roman" w:hAnsi="Times New Roman"/>
                <w:kern w:val="21"/>
                <w:sz w:val="13"/>
                <w:szCs w:val="13"/>
              </w:rPr>
              <w:t>":[</w:t>
            </w:r>
            <w:proofErr w:type="gramEnd"/>
            <w:r>
              <w:rPr>
                <w:rFonts w:ascii="Times New Roman" w:hAnsi="Times New Roman"/>
                <w:kern w:val="21"/>
                <w:sz w:val="13"/>
                <w:szCs w:val="13"/>
              </w:rPr>
              <w:t>{</w:t>
            </w:r>
          </w:p>
          <w:p w14:paraId="646D6AC7"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"Code":"01",</w:t>
            </w:r>
          </w:p>
          <w:p w14:paraId="54A64CDA"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AlarmFlag</w:t>
            </w:r>
            <w:proofErr w:type="spellEnd"/>
            <w:r>
              <w:rPr>
                <w:rFonts w:ascii="Times New Roman" w:hAnsi="Times New Roman"/>
                <w:kern w:val="21"/>
                <w:sz w:val="13"/>
                <w:szCs w:val="13"/>
              </w:rPr>
              <w:t xml:space="preserve"> ":1,</w:t>
            </w:r>
          </w:p>
          <w:p w14:paraId="0ADF2B01"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MaxEnvTemperature</w:t>
            </w:r>
            <w:proofErr w:type="spellEnd"/>
            <w:r>
              <w:rPr>
                <w:rFonts w:ascii="Times New Roman" w:hAnsi="Times New Roman"/>
                <w:kern w:val="21"/>
                <w:sz w:val="13"/>
                <w:szCs w:val="13"/>
              </w:rPr>
              <w:t xml:space="preserve"> ":40.1,</w:t>
            </w:r>
          </w:p>
          <w:p w14:paraId="2E8176BE"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7B52566"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B6893B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"Code":"02",</w:t>
            </w:r>
          </w:p>
          <w:p w14:paraId="35F8CA1F"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246EE8E5"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r>
              <w:rPr>
                <w:rFonts w:ascii="Times New Roman" w:hAnsi="Times New Roman"/>
                <w:kern w:val="21"/>
                <w:sz w:val="13"/>
                <w:szCs w:val="13"/>
              </w:rPr>
              <w:tab/>
            </w:r>
          </w:p>
          <w:p w14:paraId="4DE966A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roofErr w:type="spellStart"/>
            <w:r>
              <w:rPr>
                <w:rFonts w:ascii="Times New Roman" w:hAnsi="Times New Roman"/>
                <w:kern w:val="21"/>
                <w:sz w:val="13"/>
                <w:szCs w:val="13"/>
              </w:rPr>
              <w:t>BatteryGroup</w:t>
            </w:r>
            <w:proofErr w:type="spellEnd"/>
            <w:proofErr w:type="gramStart"/>
            <w:r>
              <w:rPr>
                <w:rFonts w:ascii="Times New Roman" w:hAnsi="Times New Roman"/>
                <w:kern w:val="21"/>
                <w:sz w:val="13"/>
                <w:szCs w:val="13"/>
              </w:rPr>
              <w:t>":[</w:t>
            </w:r>
            <w:proofErr w:type="gramEnd"/>
            <w:r>
              <w:rPr>
                <w:rFonts w:ascii="Times New Roman" w:hAnsi="Times New Roman"/>
                <w:kern w:val="21"/>
                <w:sz w:val="13"/>
                <w:szCs w:val="13"/>
              </w:rPr>
              <w:t>{</w:t>
            </w:r>
          </w:p>
          <w:p w14:paraId="0E1480EC"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"Code":"001",</w:t>
            </w:r>
          </w:p>
          <w:p w14:paraId="43A28632"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4D03094D"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0888A059"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"Code":"002",</w:t>
            </w:r>
          </w:p>
          <w:p w14:paraId="7C7C33D8"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43DDEA8B"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337BA0C0" w14:textId="77777777" w:rsidR="00B00DB7" w:rsidRDefault="00000000">
            <w:pPr>
              <w:spacing w:after="60" w:line="160" w:lineRule="exact"/>
              <w:ind w:firstLineChars="20" w:firstLine="26"/>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r>
            <w:r>
              <w:rPr>
                <w:rFonts w:ascii="Times New Roman" w:hAnsi="Times New Roman"/>
                <w:kern w:val="21"/>
                <w:sz w:val="13"/>
                <w:szCs w:val="13"/>
              </w:rPr>
              <w:tab/>
              <w:t>……</w:t>
            </w:r>
          </w:p>
          <w:p w14:paraId="28D2BFD1" w14:textId="77777777" w:rsidR="00B00DB7" w:rsidRDefault="00000000">
            <w:pPr>
              <w:spacing w:line="160" w:lineRule="exact"/>
              <w:ind w:firstLine="260"/>
              <w:rPr>
                <w:rFonts w:ascii="Times New Roman" w:hAnsi="Times New Roman"/>
                <w:kern w:val="21"/>
                <w:sz w:val="13"/>
                <w:szCs w:val="13"/>
              </w:rPr>
            </w:pPr>
            <w:r>
              <w:rPr>
                <w:rFonts w:ascii="Times New Roman" w:hAnsi="Times New Roman"/>
                <w:kern w:val="21"/>
                <w:sz w:val="13"/>
                <w:szCs w:val="13"/>
              </w:rPr>
              <w:tab/>
            </w:r>
            <w:r>
              <w:rPr>
                <w:rFonts w:ascii="Times New Roman" w:hAnsi="Times New Roman"/>
                <w:kern w:val="21"/>
                <w:sz w:val="13"/>
                <w:szCs w:val="13"/>
              </w:rPr>
              <w:tab/>
              <w:t>}]</w:t>
            </w:r>
          </w:p>
          <w:p w14:paraId="38157524" w14:textId="77777777" w:rsidR="00B00DB7" w:rsidRDefault="00000000">
            <w:pPr>
              <w:spacing w:line="160" w:lineRule="exact"/>
              <w:ind w:firstLine="260"/>
              <w:rPr>
                <w:rFonts w:ascii="Times New Roman" w:hAnsi="Times New Roman"/>
                <w:kern w:val="21"/>
                <w:sz w:val="13"/>
                <w:szCs w:val="13"/>
              </w:rPr>
            </w:pPr>
            <w:r>
              <w:rPr>
                <w:rFonts w:ascii="Times New Roman" w:hAnsi="Times New Roman"/>
                <w:kern w:val="21"/>
                <w:sz w:val="13"/>
                <w:szCs w:val="13"/>
              </w:rPr>
              <w:tab/>
              <w:t>}</w:t>
            </w:r>
          </w:p>
          <w:p w14:paraId="2A3BB31B" w14:textId="77777777" w:rsidR="00B00DB7" w:rsidRDefault="00000000">
            <w:pPr>
              <w:spacing w:line="160" w:lineRule="exact"/>
              <w:ind w:firstLine="260"/>
              <w:rPr>
                <w:rFonts w:ascii="Times New Roman" w:hAnsi="Times New Roman"/>
                <w:kern w:val="0"/>
                <w:sz w:val="13"/>
                <w:szCs w:val="13"/>
              </w:rPr>
            </w:pPr>
            <w:r>
              <w:rPr>
                <w:rFonts w:ascii="Times New Roman" w:hAnsi="Times New Roman"/>
                <w:kern w:val="0"/>
                <w:sz w:val="13"/>
                <w:szCs w:val="13"/>
              </w:rPr>
              <w:t>}</w:t>
            </w:r>
          </w:p>
        </w:tc>
      </w:tr>
    </w:tbl>
    <w:p w14:paraId="39BB0015" w14:textId="77777777" w:rsidR="00B00DB7" w:rsidRDefault="00B00DB7"/>
    <w:bookmarkEnd w:id="26"/>
    <w:p w14:paraId="55FF0084" w14:textId="77777777" w:rsidR="00B00DB7" w:rsidRDefault="00000000">
      <w:sdt>
        <w:sdtPr>
          <w:tag w:val="NEW_STAND_NAME"/>
          <w:id w:val="595910757"/>
          <w:lock w:val="sdtLocked"/>
          <w:placeholder>
            <w:docPart w:val="733EABAD109946349F9EAF503B1E255C"/>
          </w:placeholder>
          <w:showingPlcHdr/>
        </w:sdtPr>
        <w:sdtContent>
          <w:bookmarkStart w:id="141" w:name="NEW_STAND_NAME"/>
          <w:bookmarkEnd w:id="141"/>
          <w:r>
            <w:rPr>
              <w:rStyle w:val="affffffffff5"/>
              <w:rFonts w:hint="eastAsia"/>
            </w:rPr>
            <w:t>单击或点击此处输入文字。</w:t>
          </w:r>
        </w:sdtContent>
      </w:sdt>
    </w:p>
    <w:sectPr w:rsidR="00B00DB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A7135" w14:textId="77777777" w:rsidR="003F50BB" w:rsidRDefault="003F50BB">
      <w:pPr>
        <w:spacing w:line="240" w:lineRule="auto"/>
      </w:pPr>
      <w:r>
        <w:separator/>
      </w:r>
    </w:p>
  </w:endnote>
  <w:endnote w:type="continuationSeparator" w:id="0">
    <w:p w14:paraId="1E605EC6" w14:textId="77777777" w:rsidR="003F50BB" w:rsidRDefault="003F5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3F4A" w14:textId="77777777" w:rsidR="00B00DB7" w:rsidRDefault="00000000">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6EFDF" w14:textId="77777777" w:rsidR="00B00DB7" w:rsidRDefault="00B00DB7">
    <w:pPr>
      <w:pStyle w:val="affff3"/>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B83E" w14:textId="77777777" w:rsidR="00B00DB7" w:rsidRDefault="00000000">
    <w:pPr>
      <w:pStyle w:val="affffffffffff9"/>
    </w:pPr>
    <w:r>
      <w:fldChar w:fldCharType="begin"/>
    </w:r>
    <w:r>
      <w:instrText xml:space="preserve"> PAGE  \* MERGEFORMAT </w:instrText>
    </w:r>
    <w:r>
      <w:fldChar w:fldCharType="separate"/>
    </w:r>
    <w: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10B2" w14:textId="77777777" w:rsidR="003F50BB" w:rsidRDefault="003F50BB">
      <w:r>
        <w:separator/>
      </w:r>
    </w:p>
  </w:footnote>
  <w:footnote w:type="continuationSeparator" w:id="0">
    <w:p w14:paraId="5F7367B2" w14:textId="77777777" w:rsidR="003F50BB" w:rsidRDefault="003F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9C15" w14:textId="77777777" w:rsidR="00B00DB7" w:rsidRDefault="00000000">
    <w:pPr>
      <w:pStyle w:val="affff5"/>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AD48B" w14:textId="77777777" w:rsidR="00B00DB7" w:rsidRDefault="00B00DB7">
    <w:pPr>
      <w:pStyle w:val="affff5"/>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D3F7" w14:textId="4CC2926F" w:rsidR="00B00DB7" w:rsidRDefault="00000000">
    <w:pPr>
      <w:pStyle w:val="affffffffffff8"/>
    </w:pPr>
    <w:r>
      <w:fldChar w:fldCharType="begin"/>
    </w:r>
    <w:r>
      <w:instrText xml:space="preserve"> STYLEREF  标准文件_文件编号  \* MERGEFORMAT </w:instrText>
    </w:r>
    <w:r>
      <w:fldChar w:fldCharType="separate"/>
    </w:r>
    <w:r w:rsidR="00AA3400">
      <w:rPr>
        <w:noProof/>
      </w:rPr>
      <w:t>T/CPHA XXXX</w:t>
    </w:r>
    <w:r w:rsidR="00AA3400">
      <w:rPr>
        <w:noProof/>
      </w:rPr>
      <w:t>—</w:t>
    </w:r>
    <w:r w:rsidR="00AA340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4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99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2.1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29769801">
    <w:abstractNumId w:val="0"/>
  </w:num>
  <w:num w:numId="2" w16cid:durableId="682626905">
    <w:abstractNumId w:val="28"/>
  </w:num>
  <w:num w:numId="3" w16cid:durableId="806430483">
    <w:abstractNumId w:val="5"/>
  </w:num>
  <w:num w:numId="4" w16cid:durableId="792482338">
    <w:abstractNumId w:val="24"/>
  </w:num>
  <w:num w:numId="5" w16cid:durableId="928540106">
    <w:abstractNumId w:val="19"/>
  </w:num>
  <w:num w:numId="6" w16cid:durableId="1584680382">
    <w:abstractNumId w:val="14"/>
  </w:num>
  <w:num w:numId="7" w16cid:durableId="1797332460">
    <w:abstractNumId w:val="8"/>
  </w:num>
  <w:num w:numId="8" w16cid:durableId="841236207">
    <w:abstractNumId w:val="3"/>
  </w:num>
  <w:num w:numId="9" w16cid:durableId="898394385">
    <w:abstractNumId w:val="9"/>
  </w:num>
  <w:num w:numId="10" w16cid:durableId="1236278147">
    <w:abstractNumId w:val="17"/>
  </w:num>
  <w:num w:numId="11" w16cid:durableId="1071200795">
    <w:abstractNumId w:val="26"/>
  </w:num>
  <w:num w:numId="12" w16cid:durableId="159081193">
    <w:abstractNumId w:val="12"/>
  </w:num>
  <w:num w:numId="13" w16cid:durableId="1265917592">
    <w:abstractNumId w:val="13"/>
  </w:num>
  <w:num w:numId="14" w16cid:durableId="709913309">
    <w:abstractNumId w:val="7"/>
  </w:num>
  <w:num w:numId="15" w16cid:durableId="738284981">
    <w:abstractNumId w:val="20"/>
  </w:num>
  <w:num w:numId="16" w16cid:durableId="1095594030">
    <w:abstractNumId w:val="22"/>
  </w:num>
  <w:num w:numId="17" w16cid:durableId="1063481711">
    <w:abstractNumId w:val="18"/>
  </w:num>
  <w:num w:numId="18" w16cid:durableId="110829043">
    <w:abstractNumId w:val="30"/>
  </w:num>
  <w:num w:numId="19" w16cid:durableId="13657715">
    <w:abstractNumId w:val="16"/>
  </w:num>
  <w:num w:numId="20" w16cid:durableId="1881623541">
    <w:abstractNumId w:val="1"/>
  </w:num>
  <w:num w:numId="21" w16cid:durableId="473135465">
    <w:abstractNumId w:val="11"/>
  </w:num>
  <w:num w:numId="22" w16cid:durableId="928271829">
    <w:abstractNumId w:val="31"/>
  </w:num>
  <w:num w:numId="23" w16cid:durableId="330761802">
    <w:abstractNumId w:val="21"/>
  </w:num>
  <w:num w:numId="24" w16cid:durableId="2139910372">
    <w:abstractNumId w:val="6"/>
  </w:num>
  <w:num w:numId="25" w16cid:durableId="1225793385">
    <w:abstractNumId w:val="27"/>
  </w:num>
  <w:num w:numId="26" w16cid:durableId="796489390">
    <w:abstractNumId w:val="29"/>
  </w:num>
  <w:num w:numId="27" w16cid:durableId="894463174">
    <w:abstractNumId w:val="2"/>
  </w:num>
  <w:num w:numId="28" w16cid:durableId="1419785289">
    <w:abstractNumId w:val="4"/>
  </w:num>
  <w:num w:numId="29" w16cid:durableId="1295401808">
    <w:abstractNumId w:val="15"/>
  </w:num>
  <w:num w:numId="30" w16cid:durableId="546185912">
    <w:abstractNumId w:val="25"/>
  </w:num>
  <w:num w:numId="31" w16cid:durableId="2145612167">
    <w:abstractNumId w:val="23"/>
  </w:num>
  <w:num w:numId="32" w16cid:durableId="1447314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243"/>
    <w:rsid w:val="0000040A"/>
    <w:rsid w:val="00000A94"/>
    <w:rsid w:val="00001972"/>
    <w:rsid w:val="00001D9A"/>
    <w:rsid w:val="00007B3A"/>
    <w:rsid w:val="000107E0"/>
    <w:rsid w:val="00011FDE"/>
    <w:rsid w:val="00012FFD"/>
    <w:rsid w:val="00014162"/>
    <w:rsid w:val="00014340"/>
    <w:rsid w:val="00015BA2"/>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539"/>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6F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857"/>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567"/>
    <w:rsid w:val="00233D64"/>
    <w:rsid w:val="0023482A"/>
    <w:rsid w:val="002359CB"/>
    <w:rsid w:val="00243540"/>
    <w:rsid w:val="00243B4A"/>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4E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467"/>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0BB"/>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4E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162"/>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EF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0909"/>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7C4"/>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57D"/>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C8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DAC"/>
    <w:rsid w:val="00A55BD6"/>
    <w:rsid w:val="00A55D50"/>
    <w:rsid w:val="00A57142"/>
    <w:rsid w:val="00A648CD"/>
    <w:rsid w:val="00A6537A"/>
    <w:rsid w:val="00A67866"/>
    <w:rsid w:val="00A70B07"/>
    <w:rsid w:val="00A723F8"/>
    <w:rsid w:val="00A77CCB"/>
    <w:rsid w:val="00A83243"/>
    <w:rsid w:val="00A83D8D"/>
    <w:rsid w:val="00A8446B"/>
    <w:rsid w:val="00A8473F"/>
    <w:rsid w:val="00A862D6"/>
    <w:rsid w:val="00A8715E"/>
    <w:rsid w:val="00A9295B"/>
    <w:rsid w:val="00A93B09"/>
    <w:rsid w:val="00A952D7"/>
    <w:rsid w:val="00A963F7"/>
    <w:rsid w:val="00A96AD8"/>
    <w:rsid w:val="00AA052C"/>
    <w:rsid w:val="00AA1E45"/>
    <w:rsid w:val="00AA3400"/>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DB7"/>
    <w:rsid w:val="00B049AF"/>
    <w:rsid w:val="00B07242"/>
    <w:rsid w:val="00B10534"/>
    <w:rsid w:val="00B113DB"/>
    <w:rsid w:val="00B11D8A"/>
    <w:rsid w:val="00B12981"/>
    <w:rsid w:val="00B147DD"/>
    <w:rsid w:val="00B156FD"/>
    <w:rsid w:val="00B21F61"/>
    <w:rsid w:val="00B261F1"/>
    <w:rsid w:val="00B265BC"/>
    <w:rsid w:val="00B31FB1"/>
    <w:rsid w:val="00B33952"/>
    <w:rsid w:val="00B33BCC"/>
    <w:rsid w:val="00B33C5E"/>
    <w:rsid w:val="00B342F4"/>
    <w:rsid w:val="00B34369"/>
    <w:rsid w:val="00B34DC2"/>
    <w:rsid w:val="00B378E5"/>
    <w:rsid w:val="00B4346D"/>
    <w:rsid w:val="00B440F4"/>
    <w:rsid w:val="00B442A9"/>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615"/>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297"/>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8F4"/>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6A2"/>
    <w:rsid w:val="00F33817"/>
    <w:rsid w:val="00F3503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E0A"/>
    <w:rsid w:val="00FE09E2"/>
    <w:rsid w:val="00FE1FBE"/>
    <w:rsid w:val="00FE3901"/>
    <w:rsid w:val="00FE39D3"/>
    <w:rsid w:val="00FE4BCE"/>
    <w:rsid w:val="00FE54AE"/>
    <w:rsid w:val="00FE576A"/>
    <w:rsid w:val="00FE7E79"/>
    <w:rsid w:val="00FE7F55"/>
    <w:rsid w:val="00FF3E7D"/>
    <w:rsid w:val="00FF5B99"/>
    <w:rsid w:val="00FF730C"/>
    <w:rsid w:val="00FF73F4"/>
    <w:rsid w:val="00FF7CE4"/>
    <w:rsid w:val="00FF7E39"/>
    <w:rsid w:val="015666AF"/>
    <w:rsid w:val="02272F27"/>
    <w:rsid w:val="02CA3A42"/>
    <w:rsid w:val="02FD498B"/>
    <w:rsid w:val="03315E11"/>
    <w:rsid w:val="03B82B23"/>
    <w:rsid w:val="043576AE"/>
    <w:rsid w:val="04403605"/>
    <w:rsid w:val="052C75E4"/>
    <w:rsid w:val="055A56E8"/>
    <w:rsid w:val="07036C34"/>
    <w:rsid w:val="07B92A66"/>
    <w:rsid w:val="07F41E54"/>
    <w:rsid w:val="097333DF"/>
    <w:rsid w:val="097456D5"/>
    <w:rsid w:val="09B930A0"/>
    <w:rsid w:val="0A0910DA"/>
    <w:rsid w:val="0A1E3055"/>
    <w:rsid w:val="0B1A0458"/>
    <w:rsid w:val="0C2032F1"/>
    <w:rsid w:val="0CAF7E25"/>
    <w:rsid w:val="0D2D0E36"/>
    <w:rsid w:val="0DCC7B69"/>
    <w:rsid w:val="0EF969DF"/>
    <w:rsid w:val="0FC62E89"/>
    <w:rsid w:val="101336A0"/>
    <w:rsid w:val="104C6BF9"/>
    <w:rsid w:val="106A0A5C"/>
    <w:rsid w:val="11ED2678"/>
    <w:rsid w:val="12811B21"/>
    <w:rsid w:val="13EE3A98"/>
    <w:rsid w:val="141B0537"/>
    <w:rsid w:val="14435A12"/>
    <w:rsid w:val="14D1061F"/>
    <w:rsid w:val="15051E29"/>
    <w:rsid w:val="15115C90"/>
    <w:rsid w:val="16096967"/>
    <w:rsid w:val="165D718B"/>
    <w:rsid w:val="16F01CA5"/>
    <w:rsid w:val="179237E3"/>
    <w:rsid w:val="18375480"/>
    <w:rsid w:val="19A215C8"/>
    <w:rsid w:val="19EF367F"/>
    <w:rsid w:val="1A7F065B"/>
    <w:rsid w:val="1B0F33B8"/>
    <w:rsid w:val="1B6E0853"/>
    <w:rsid w:val="1BCD05D7"/>
    <w:rsid w:val="1CEE4694"/>
    <w:rsid w:val="1D192DAB"/>
    <w:rsid w:val="1D3F3768"/>
    <w:rsid w:val="1D491D3F"/>
    <w:rsid w:val="1DB23D88"/>
    <w:rsid w:val="1DE51B7C"/>
    <w:rsid w:val="1F365DEF"/>
    <w:rsid w:val="20320634"/>
    <w:rsid w:val="206A35BB"/>
    <w:rsid w:val="21C327CB"/>
    <w:rsid w:val="21C62302"/>
    <w:rsid w:val="21F75401"/>
    <w:rsid w:val="22487E7E"/>
    <w:rsid w:val="22E5330F"/>
    <w:rsid w:val="238571F7"/>
    <w:rsid w:val="25023C92"/>
    <w:rsid w:val="256035B5"/>
    <w:rsid w:val="26164BBA"/>
    <w:rsid w:val="26E3798F"/>
    <w:rsid w:val="27C72347"/>
    <w:rsid w:val="28445F24"/>
    <w:rsid w:val="28FB2ED3"/>
    <w:rsid w:val="29376417"/>
    <w:rsid w:val="2984158E"/>
    <w:rsid w:val="29853B30"/>
    <w:rsid w:val="2A09727E"/>
    <w:rsid w:val="2A4B5369"/>
    <w:rsid w:val="2AE675F2"/>
    <w:rsid w:val="2B5D59FE"/>
    <w:rsid w:val="2C2946FA"/>
    <w:rsid w:val="2C32125C"/>
    <w:rsid w:val="2D8B5D9A"/>
    <w:rsid w:val="2DE03C4B"/>
    <w:rsid w:val="2E753B70"/>
    <w:rsid w:val="2EB857A7"/>
    <w:rsid w:val="2F516105"/>
    <w:rsid w:val="2F5E1C10"/>
    <w:rsid w:val="2F883F6B"/>
    <w:rsid w:val="2FE96D72"/>
    <w:rsid w:val="2FEC09B7"/>
    <w:rsid w:val="30752EF5"/>
    <w:rsid w:val="31E3230A"/>
    <w:rsid w:val="334E5D5A"/>
    <w:rsid w:val="34B14EC6"/>
    <w:rsid w:val="34C3577B"/>
    <w:rsid w:val="36134E11"/>
    <w:rsid w:val="36BC31FC"/>
    <w:rsid w:val="36CE5337"/>
    <w:rsid w:val="37340A58"/>
    <w:rsid w:val="37B300FB"/>
    <w:rsid w:val="37F270D5"/>
    <w:rsid w:val="382074F6"/>
    <w:rsid w:val="386046B4"/>
    <w:rsid w:val="394624E8"/>
    <w:rsid w:val="3986014B"/>
    <w:rsid w:val="39BC7E35"/>
    <w:rsid w:val="39C649EB"/>
    <w:rsid w:val="3A037403"/>
    <w:rsid w:val="3A073148"/>
    <w:rsid w:val="3C842C52"/>
    <w:rsid w:val="3C9F2BE2"/>
    <w:rsid w:val="3D3D6F61"/>
    <w:rsid w:val="3D69223C"/>
    <w:rsid w:val="3D94039D"/>
    <w:rsid w:val="3DD024A5"/>
    <w:rsid w:val="3E0A124F"/>
    <w:rsid w:val="3F4E769E"/>
    <w:rsid w:val="42350BB0"/>
    <w:rsid w:val="424B5BA7"/>
    <w:rsid w:val="42715D67"/>
    <w:rsid w:val="4285472F"/>
    <w:rsid w:val="436B1DF1"/>
    <w:rsid w:val="4393272C"/>
    <w:rsid w:val="44F17845"/>
    <w:rsid w:val="45DF67A2"/>
    <w:rsid w:val="472E015B"/>
    <w:rsid w:val="479927EA"/>
    <w:rsid w:val="47F40E11"/>
    <w:rsid w:val="48730974"/>
    <w:rsid w:val="48D805C0"/>
    <w:rsid w:val="49362E21"/>
    <w:rsid w:val="49701051"/>
    <w:rsid w:val="4A8F20E2"/>
    <w:rsid w:val="4AB72ACE"/>
    <w:rsid w:val="4B48724B"/>
    <w:rsid w:val="4B8D7117"/>
    <w:rsid w:val="4D7F657C"/>
    <w:rsid w:val="4D946261"/>
    <w:rsid w:val="4DF323CB"/>
    <w:rsid w:val="4E0835B4"/>
    <w:rsid w:val="4F1E4C61"/>
    <w:rsid w:val="4FD95020"/>
    <w:rsid w:val="4FF37764"/>
    <w:rsid w:val="500E27F0"/>
    <w:rsid w:val="50450AA9"/>
    <w:rsid w:val="51575BFE"/>
    <w:rsid w:val="544D7D8B"/>
    <w:rsid w:val="56763EAC"/>
    <w:rsid w:val="56C51B68"/>
    <w:rsid w:val="57286FD3"/>
    <w:rsid w:val="5848267C"/>
    <w:rsid w:val="58D01D33"/>
    <w:rsid w:val="594A7146"/>
    <w:rsid w:val="594D5791"/>
    <w:rsid w:val="595F0298"/>
    <w:rsid w:val="596C307A"/>
    <w:rsid w:val="59875533"/>
    <w:rsid w:val="598A2675"/>
    <w:rsid w:val="5A4063E2"/>
    <w:rsid w:val="5A6071D3"/>
    <w:rsid w:val="5A9304C2"/>
    <w:rsid w:val="5AD1309D"/>
    <w:rsid w:val="5BC50422"/>
    <w:rsid w:val="5C0F2DB3"/>
    <w:rsid w:val="5C926D7E"/>
    <w:rsid w:val="5D477D62"/>
    <w:rsid w:val="5D5B783A"/>
    <w:rsid w:val="5D942D73"/>
    <w:rsid w:val="5ECC1858"/>
    <w:rsid w:val="5F2A45B9"/>
    <w:rsid w:val="5FE1565F"/>
    <w:rsid w:val="5FEE6E52"/>
    <w:rsid w:val="60BB2146"/>
    <w:rsid w:val="616C473E"/>
    <w:rsid w:val="61797B48"/>
    <w:rsid w:val="63042293"/>
    <w:rsid w:val="63535FB2"/>
    <w:rsid w:val="639B01E3"/>
    <w:rsid w:val="64234664"/>
    <w:rsid w:val="64DA0D2E"/>
    <w:rsid w:val="65156162"/>
    <w:rsid w:val="654E71E2"/>
    <w:rsid w:val="6584125D"/>
    <w:rsid w:val="66CB7096"/>
    <w:rsid w:val="673E5D5E"/>
    <w:rsid w:val="68621647"/>
    <w:rsid w:val="689D6D4A"/>
    <w:rsid w:val="697B7326"/>
    <w:rsid w:val="6A7477E9"/>
    <w:rsid w:val="6AAD2B5F"/>
    <w:rsid w:val="6BBC40F2"/>
    <w:rsid w:val="6C2C42D2"/>
    <w:rsid w:val="6D1308E8"/>
    <w:rsid w:val="6DA62239"/>
    <w:rsid w:val="6DE90C3C"/>
    <w:rsid w:val="6E300BBD"/>
    <w:rsid w:val="6E4A41A2"/>
    <w:rsid w:val="6EEA32A2"/>
    <w:rsid w:val="6EF829B7"/>
    <w:rsid w:val="6F48197F"/>
    <w:rsid w:val="6FC6124D"/>
    <w:rsid w:val="72037120"/>
    <w:rsid w:val="72307880"/>
    <w:rsid w:val="7242577C"/>
    <w:rsid w:val="73C1083E"/>
    <w:rsid w:val="7455104D"/>
    <w:rsid w:val="758260C0"/>
    <w:rsid w:val="760A64A6"/>
    <w:rsid w:val="766723F4"/>
    <w:rsid w:val="774E212D"/>
    <w:rsid w:val="77876861"/>
    <w:rsid w:val="77982146"/>
    <w:rsid w:val="77AE66BA"/>
    <w:rsid w:val="78C80322"/>
    <w:rsid w:val="794A26EE"/>
    <w:rsid w:val="7A673F97"/>
    <w:rsid w:val="7A6B3062"/>
    <w:rsid w:val="7A746E9E"/>
    <w:rsid w:val="7AD00F5C"/>
    <w:rsid w:val="7AD84C4D"/>
    <w:rsid w:val="7BD76C46"/>
    <w:rsid w:val="7C6C37A9"/>
    <w:rsid w:val="7CC07AF0"/>
    <w:rsid w:val="7D475A28"/>
    <w:rsid w:val="7D7D241F"/>
    <w:rsid w:val="7D936F26"/>
    <w:rsid w:val="7DCC1688"/>
    <w:rsid w:val="7E232036"/>
    <w:rsid w:val="7ECA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F8CF00"/>
  <w15:docId w15:val="{E28188DF-7340-46DD-97FF-5F7A99E9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pPr>
      <w:widowControl w:val="0"/>
      <w:adjustRightInd w:val="0"/>
      <w:spacing w:line="312" w:lineRule="auto"/>
      <w:jc w:val="both"/>
    </w:pPr>
    <w:rPr>
      <w:rFonts w:ascii="Calibri" w:hAnsi="Calibri"/>
      <w:kern w:val="2"/>
      <w:sz w:val="24"/>
      <w:szCs w:val="21"/>
    </w:rPr>
  </w:style>
  <w:style w:type="paragraph" w:styleId="1">
    <w:name w:val="heading 1"/>
    <w:basedOn w:val="afff8"/>
    <w:next w:val="afff8"/>
    <w:link w:val="10"/>
    <w:uiPriority w:val="1"/>
    <w:qFormat/>
    <w:pPr>
      <w:keepNext/>
      <w:keepLines/>
      <w:spacing w:before="340" w:after="330" w:line="578" w:lineRule="auto"/>
      <w:jc w:val="center"/>
      <w:outlineLvl w:val="0"/>
    </w:pPr>
    <w:rPr>
      <w:b/>
      <w:bCs/>
      <w:kern w:val="44"/>
      <w:sz w:val="44"/>
      <w:szCs w:val="44"/>
    </w:rPr>
  </w:style>
  <w:style w:type="paragraph" w:styleId="22">
    <w:name w:val="heading 2"/>
    <w:basedOn w:val="afff8"/>
    <w:next w:val="afff8"/>
    <w:link w:val="23"/>
    <w:uiPriority w:val="1"/>
    <w:qFormat/>
    <w:pPr>
      <w:keepNext/>
      <w:keepLines/>
      <w:spacing w:before="260" w:after="260" w:line="416" w:lineRule="auto"/>
      <w:jc w:val="center"/>
      <w:outlineLvl w:val="1"/>
    </w:pPr>
    <w:rPr>
      <w:rFonts w:ascii="Arial" w:eastAsia="黑体" w:hAnsi="Arial"/>
      <w:b/>
      <w:bCs/>
      <w:sz w:val="32"/>
      <w:szCs w:val="32"/>
    </w:rPr>
  </w:style>
  <w:style w:type="paragraph" w:styleId="3">
    <w:name w:val="heading 3"/>
    <w:basedOn w:val="afff8"/>
    <w:next w:val="afff8"/>
    <w:link w:val="30"/>
    <w:qFormat/>
    <w:pPr>
      <w:keepNext/>
      <w:keepLines/>
      <w:spacing w:before="260" w:after="260" w:line="416" w:lineRule="auto"/>
      <w:outlineLvl w:val="2"/>
    </w:pPr>
    <w:rPr>
      <w:b/>
      <w:bCs/>
      <w:sz w:val="32"/>
      <w:szCs w:val="32"/>
    </w:rPr>
  </w:style>
  <w:style w:type="paragraph" w:styleId="4">
    <w:name w:val="heading 4"/>
    <w:basedOn w:val="afff8"/>
    <w:next w:val="aff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uiPriority w:val="9"/>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Cs w:val="24"/>
    </w:rPr>
  </w:style>
  <w:style w:type="paragraph" w:styleId="7">
    <w:name w:val="heading 7"/>
    <w:basedOn w:val="afff8"/>
    <w:next w:val="afff8"/>
    <w:link w:val="70"/>
    <w:qFormat/>
    <w:pPr>
      <w:keepNext/>
      <w:keepLines/>
      <w:adjustRightInd/>
      <w:spacing w:before="240" w:after="64" w:line="320" w:lineRule="auto"/>
      <w:outlineLvl w:val="6"/>
    </w:pPr>
    <w:rPr>
      <w:b/>
      <w:bCs/>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TOC7">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annotation text"/>
    <w:basedOn w:val="afff8"/>
    <w:link w:val="afffe"/>
    <w:uiPriority w:val="99"/>
    <w:unhideWhenUsed/>
    <w:qFormat/>
    <w:pPr>
      <w:widowControl/>
      <w:adjustRightInd/>
      <w:spacing w:line="240" w:lineRule="auto"/>
      <w:ind w:firstLineChars="200" w:firstLine="420"/>
      <w:jc w:val="left"/>
    </w:pPr>
    <w:rPr>
      <w:rFonts w:ascii="Times New Roman" w:hAnsi="Times New Roman" w:cstheme="minorBidi"/>
    </w:rPr>
  </w:style>
  <w:style w:type="paragraph" w:styleId="affff">
    <w:name w:val="Body Text"/>
    <w:basedOn w:val="afff8"/>
    <w:link w:val="affff0"/>
    <w:uiPriority w:val="1"/>
    <w:qFormat/>
    <w:pPr>
      <w:spacing w:after="120"/>
    </w:pPr>
  </w:style>
  <w:style w:type="paragraph" w:styleId="TOC5">
    <w:name w:val="toc 5"/>
    <w:basedOn w:val="afff8"/>
    <w:next w:val="afff8"/>
    <w:autoRedefine/>
    <w:uiPriority w:val="39"/>
    <w:unhideWhenUsed/>
    <w:qFormat/>
    <w:pPr>
      <w:ind w:left="839"/>
    </w:pPr>
    <w:rPr>
      <w:rFonts w:ascii="宋体"/>
    </w:rPr>
  </w:style>
  <w:style w:type="paragraph" w:styleId="TOC3">
    <w:name w:val="toc 3"/>
    <w:basedOn w:val="afff8"/>
    <w:next w:val="afff8"/>
    <w:autoRedefine/>
    <w:uiPriority w:val="39"/>
    <w:unhideWhenUsed/>
    <w:qFormat/>
    <w:pPr>
      <w:spacing w:line="300" w:lineRule="exact"/>
      <w:ind w:left="420"/>
    </w:pPr>
    <w:rPr>
      <w:rFonts w:ascii="宋体"/>
    </w:rPr>
  </w:style>
  <w:style w:type="paragraph" w:styleId="affff1">
    <w:name w:val="Balloon Text"/>
    <w:basedOn w:val="afff8"/>
    <w:link w:val="affff2"/>
    <w:uiPriority w:val="99"/>
    <w:semiHidden/>
    <w:unhideWhenUsed/>
    <w:qFormat/>
    <w:rPr>
      <w:sz w:val="18"/>
      <w:szCs w:val="18"/>
    </w:rPr>
  </w:style>
  <w:style w:type="paragraph" w:styleId="affff3">
    <w:name w:val="footer"/>
    <w:basedOn w:val="afff8"/>
    <w:link w:val="affff4"/>
    <w:uiPriority w:val="99"/>
    <w:qFormat/>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8"/>
    <w:link w:val="affff6"/>
    <w:uiPriority w:val="99"/>
    <w:qFormat/>
    <w:pPr>
      <w:tabs>
        <w:tab w:val="center" w:pos="4153"/>
        <w:tab w:val="right" w:pos="8306"/>
      </w:tabs>
      <w:adjustRightInd/>
      <w:snapToGrid w:val="0"/>
      <w:jc w:val="center"/>
    </w:pPr>
    <w:rPr>
      <w:sz w:val="18"/>
      <w:szCs w:val="18"/>
    </w:rPr>
  </w:style>
  <w:style w:type="paragraph" w:styleId="TOC1">
    <w:name w:val="toc 1"/>
    <w:basedOn w:val="afff8"/>
    <w:next w:val="afff8"/>
    <w:autoRedefine/>
    <w:uiPriority w:val="39"/>
    <w:unhideWhenUsed/>
    <w:qFormat/>
    <w:rPr>
      <w:rFonts w:ascii="宋体"/>
    </w:rPr>
  </w:style>
  <w:style w:type="paragraph" w:styleId="TOC4">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7">
    <w:name w:val="footnote text"/>
    <w:basedOn w:val="afff8"/>
    <w:next w:val="afff8"/>
    <w:link w:val="affff8"/>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8"/>
    <w:next w:val="afff8"/>
    <w:autoRedefine/>
    <w:uiPriority w:val="39"/>
    <w:unhideWhenUsed/>
    <w:qFormat/>
    <w:pPr>
      <w:spacing w:line="300" w:lineRule="exact"/>
      <w:ind w:left="1049"/>
    </w:pPr>
    <w:rPr>
      <w:rFonts w:ascii="宋体"/>
    </w:rPr>
  </w:style>
  <w:style w:type="paragraph" w:styleId="affff9">
    <w:name w:val="table of figures"/>
    <w:basedOn w:val="afff8"/>
    <w:next w:val="afff8"/>
    <w:semiHidden/>
    <w:qFormat/>
    <w:pPr>
      <w:adjustRightInd/>
      <w:spacing w:line="240" w:lineRule="auto"/>
      <w:jc w:val="left"/>
    </w:pPr>
    <w:rPr>
      <w:szCs w:val="24"/>
    </w:rPr>
  </w:style>
  <w:style w:type="paragraph" w:styleId="TOC2">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a">
    <w:name w:val="Normal (Web)"/>
    <w:basedOn w:val="afff8"/>
    <w:qFormat/>
  </w:style>
  <w:style w:type="paragraph" w:styleId="affffb">
    <w:name w:val="Title"/>
    <w:basedOn w:val="afff8"/>
    <w:next w:val="afff8"/>
    <w:link w:val="affffc"/>
    <w:qFormat/>
    <w:pPr>
      <w:spacing w:before="240" w:after="60"/>
      <w:jc w:val="center"/>
      <w:outlineLvl w:val="0"/>
    </w:pPr>
    <w:rPr>
      <w:rFonts w:ascii="Arial" w:hAnsi="Arial" w:cs="Arial"/>
      <w:b/>
      <w:bCs/>
      <w:sz w:val="32"/>
      <w:szCs w:val="32"/>
    </w:rPr>
  </w:style>
  <w:style w:type="paragraph" w:styleId="affffd">
    <w:name w:val="annotation subject"/>
    <w:basedOn w:val="afffd"/>
    <w:next w:val="afffd"/>
    <w:link w:val="affffe"/>
    <w:uiPriority w:val="99"/>
    <w:semiHidden/>
    <w:unhideWhenUsed/>
    <w:qFormat/>
    <w:pPr>
      <w:widowControl w:val="0"/>
      <w:adjustRightInd w:val="0"/>
      <w:spacing w:line="400" w:lineRule="exact"/>
      <w:ind w:firstLineChars="0" w:firstLine="0"/>
    </w:pPr>
    <w:rPr>
      <w:rFonts w:ascii="Calibri" w:hAnsi="Calibri" w:cs="Times New Roman"/>
      <w:b/>
      <w:bCs/>
    </w:rPr>
  </w:style>
  <w:style w:type="table" w:styleId="afffff">
    <w:name w:val="Table Grid"/>
    <w:basedOn w:val="afff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basedOn w:val="afff9"/>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9"/>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uiPriority w:val="1"/>
    <w:qFormat/>
    <w:rPr>
      <w:rFonts w:eastAsia="宋体"/>
      <w:b/>
      <w:bCs/>
      <w:kern w:val="44"/>
      <w:sz w:val="44"/>
      <w:szCs w:val="44"/>
    </w:rPr>
  </w:style>
  <w:style w:type="character" w:customStyle="1" w:styleId="23">
    <w:name w:val="标题 2 字符"/>
    <w:link w:val="22"/>
    <w:uiPriority w:val="1"/>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uiPriority w:val="9"/>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6">
    <w:name w:val="页眉 字符"/>
    <w:link w:val="affff5"/>
    <w:uiPriority w:val="99"/>
    <w:qFormat/>
    <w:rPr>
      <w:kern w:val="2"/>
      <w:sz w:val="18"/>
      <w:szCs w:val="18"/>
    </w:rPr>
  </w:style>
  <w:style w:type="character" w:customStyle="1" w:styleId="affff4">
    <w:name w:val="页脚 字符"/>
    <w:link w:val="affff3"/>
    <w:uiPriority w:val="99"/>
    <w:qFormat/>
    <w:rPr>
      <w:rFonts w:ascii="宋体"/>
      <w:kern w:val="2"/>
      <w:sz w:val="18"/>
      <w:szCs w:val="18"/>
    </w:rPr>
  </w:style>
  <w:style w:type="character" w:customStyle="1" w:styleId="affff2">
    <w:name w:val="批注框文本 字符"/>
    <w:link w:val="affff1"/>
    <w:uiPriority w:val="99"/>
    <w:semiHidden/>
    <w:qFormat/>
    <w:rPr>
      <w:kern w:val="2"/>
      <w:sz w:val="18"/>
      <w:szCs w:val="18"/>
    </w:rPr>
  </w:style>
  <w:style w:type="paragraph" w:styleId="afffff6">
    <w:name w:val="Quote"/>
    <w:basedOn w:val="afff8"/>
    <w:next w:val="afff8"/>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d">
    <w:name w:val="标准文件_标准正文"/>
    <w:basedOn w:val="afff8"/>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8"/>
    <w:qFormat/>
    <w:pPr>
      <w:jc w:val="center"/>
    </w:pPr>
    <w:rPr>
      <w:rFonts w:ascii="黑体" w:eastAsia="黑体"/>
      <w:kern w:val="0"/>
      <w:sz w:val="44"/>
    </w:rPr>
  </w:style>
  <w:style w:type="paragraph" w:customStyle="1" w:styleId="affffff1">
    <w:name w:val="标准文件_标准代替"/>
    <w:basedOn w:val="afff8"/>
    <w:next w:val="afff8"/>
    <w:qFormat/>
    <w:pPr>
      <w:spacing w:line="310" w:lineRule="exact"/>
      <w:jc w:val="right"/>
    </w:pPr>
    <w:rPr>
      <w:rFonts w:ascii="宋体" w:hAnsi="宋体"/>
      <w:kern w:val="0"/>
    </w:rPr>
  </w:style>
  <w:style w:type="paragraph" w:customStyle="1" w:styleId="affffff2">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8"/>
    <w:qFormat/>
    <w:pPr>
      <w:jc w:val="left"/>
    </w:pPr>
  </w:style>
  <w:style w:type="paragraph" w:customStyle="1" w:styleId="affffff5">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8"/>
    <w:next w:val="affffff1"/>
    <w:qFormat/>
    <w:pPr>
      <w:spacing w:line="310" w:lineRule="exact"/>
      <w:jc w:val="right"/>
    </w:pPr>
    <w:rPr>
      <w:rFonts w:ascii="黑体" w:eastAsia="黑体"/>
      <w:kern w:val="0"/>
      <w:sz w:val="28"/>
    </w:rPr>
  </w:style>
  <w:style w:type="paragraph" w:customStyle="1" w:styleId="affffff8">
    <w:name w:val="标准文件_封面标准分类号"/>
    <w:basedOn w:val="afff8"/>
    <w:qFormat/>
    <w:rPr>
      <w:rFonts w:ascii="黑体" w:eastAsia="黑体"/>
      <w:b/>
      <w:kern w:val="0"/>
      <w:sz w:val="28"/>
    </w:rPr>
  </w:style>
  <w:style w:type="paragraph" w:customStyle="1" w:styleId="affffff9">
    <w:name w:val="标准文件_封面标准名称"/>
    <w:basedOn w:val="afff8"/>
    <w:qFormat/>
    <w:pPr>
      <w:spacing w:line="240" w:lineRule="auto"/>
      <w:jc w:val="center"/>
    </w:pPr>
    <w:rPr>
      <w:rFonts w:ascii="黑体" w:eastAsia="黑体"/>
      <w:kern w:val="0"/>
      <w:sz w:val="52"/>
    </w:rPr>
  </w:style>
  <w:style w:type="paragraph" w:customStyle="1" w:styleId="affffffa">
    <w:name w:val="标准文件_封面标准英文名称"/>
    <w:basedOn w:val="afff8"/>
    <w:qFormat/>
    <w:pPr>
      <w:spacing w:line="240" w:lineRule="auto"/>
      <w:jc w:val="center"/>
    </w:pPr>
    <w:rPr>
      <w:rFonts w:ascii="黑体" w:eastAsia="黑体"/>
      <w:b/>
      <w:sz w:val="28"/>
    </w:rPr>
  </w:style>
  <w:style w:type="paragraph" w:customStyle="1" w:styleId="affffffb">
    <w:name w:val="标准文件_封面发布日期"/>
    <w:basedOn w:val="afff8"/>
    <w:qFormat/>
    <w:pPr>
      <w:spacing w:line="310" w:lineRule="exact"/>
    </w:pPr>
    <w:rPr>
      <w:rFonts w:ascii="黑体" w:eastAsia="黑体"/>
      <w:kern w:val="0"/>
      <w:sz w:val="28"/>
    </w:rPr>
  </w:style>
  <w:style w:type="paragraph" w:customStyle="1" w:styleId="affffffc">
    <w:name w:val="标准文件_封面密级"/>
    <w:basedOn w:val="afff8"/>
    <w:qFormat/>
    <w:rPr>
      <w:rFonts w:eastAsia="黑体"/>
      <w:sz w:val="32"/>
    </w:rPr>
  </w:style>
  <w:style w:type="paragraph" w:customStyle="1" w:styleId="affffffd">
    <w:name w:val="标准文件_封面实施日期"/>
    <w:basedOn w:val="afff8"/>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sz w:val="21"/>
    </w:rPr>
  </w:style>
  <w:style w:type="character" w:customStyle="1" w:styleId="affff0">
    <w:name w:val="正文文本 字符"/>
    <w:link w:val="affff"/>
    <w:uiPriority w:val="1"/>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8">
    <w:name w:val="脚注文本 字符"/>
    <w:link w:val="affff7"/>
    <w:semiHidden/>
    <w:qFormat/>
    <w:rPr>
      <w:rFonts w:ascii="宋体"/>
      <w:kern w:val="2"/>
      <w:sz w:val="18"/>
      <w:szCs w:val="18"/>
    </w:rPr>
  </w:style>
  <w:style w:type="paragraph" w:customStyle="1" w:styleId="afffffff5">
    <w:name w:val="标准文件_条文脚注"/>
    <w:basedOn w:val="affff7"/>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e"/>
    <w:qFormat/>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e"/>
    <w:qFormat/>
    <w:pPr>
      <w:numPr>
        <w:ilvl w:val="2"/>
      </w:numPr>
      <w:spacing w:beforeLines="50" w:before="50" w:afterLines="50" w:after="50"/>
      <w:outlineLvl w:val="1"/>
    </w:pPr>
  </w:style>
  <w:style w:type="paragraph" w:customStyle="1" w:styleId="afffffff7">
    <w:name w:val="标准文件_一致程度"/>
    <w:basedOn w:val="afff8"/>
    <w:qFormat/>
    <w:pPr>
      <w:spacing w:line="440" w:lineRule="exact"/>
      <w:jc w:val="center"/>
    </w:pPr>
    <w:rPr>
      <w:sz w:val="28"/>
    </w:rPr>
  </w:style>
  <w:style w:type="paragraph" w:customStyle="1" w:styleId="afffffff8">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sz w:val="21"/>
    </w:rPr>
  </w:style>
  <w:style w:type="paragraph" w:customStyle="1" w:styleId="af">
    <w:name w:val="标准文件_英文注："/>
    <w:basedOn w:val="afff8"/>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8"/>
    <w:next w:val="afffffd"/>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e"/>
    <w:qFormat/>
    <w:pPr>
      <w:numPr>
        <w:numId w:val="18"/>
      </w:numPr>
      <w:jc w:val="center"/>
    </w:pPr>
    <w:rPr>
      <w:rFonts w:ascii="黑体" w:eastAsia="黑体"/>
      <w:sz w:val="21"/>
    </w:rPr>
  </w:style>
  <w:style w:type="paragraph" w:customStyle="1" w:styleId="afe">
    <w:name w:val="标准文件_正文英文图标题"/>
    <w:next w:val="afffffe"/>
    <w:qFormat/>
    <w:pPr>
      <w:numPr>
        <w:numId w:val="19"/>
      </w:numPr>
      <w:jc w:val="center"/>
    </w:pPr>
    <w:rPr>
      <w:rFonts w:ascii="黑体" w:eastAsia="黑体"/>
      <w:sz w:val="21"/>
    </w:rPr>
  </w:style>
  <w:style w:type="paragraph" w:customStyle="1" w:styleId="afa">
    <w:name w:val="标准文件_编号列项（三级）"/>
    <w:qFormat/>
    <w:pPr>
      <w:numPr>
        <w:ilvl w:val="2"/>
        <w:numId w:val="13"/>
      </w:numPr>
    </w:pPr>
    <w:rPr>
      <w:rFonts w:ascii="宋体"/>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basedOn w:val="afffffffe"/>
    <w:qFormat/>
    <w:pPr>
      <w:framePr w:wrap="around"/>
      <w:spacing w:line="360" w:lineRule="exact"/>
    </w:pPr>
    <w:rPr>
      <w:rFonts w:ascii="Times New Roman" w:eastAsia="宋体"/>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8"/>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8"/>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0"/>
    <w:qFormat/>
    <w:pPr>
      <w:spacing w:beforeLines="0" w:before="0" w:afterLines="0" w:after="0"/>
      <w:outlineLvl w:val="9"/>
    </w:pPr>
    <w:rPr>
      <w:rFonts w:ascii="宋体" w:eastAsia="宋体"/>
    </w:rPr>
  </w:style>
  <w:style w:type="paragraph" w:customStyle="1" w:styleId="afffffffff8">
    <w:name w:val="标准文件_五级无标题"/>
    <w:basedOn w:val="afff4"/>
    <w:qFormat/>
    <w:pPr>
      <w:spacing w:beforeLines="0" w:before="0" w:afterLines="0" w:after="0"/>
      <w:outlineLvl w:val="9"/>
    </w:pPr>
    <w:rPr>
      <w:rFonts w:ascii="宋体" w:eastAsia="宋体"/>
    </w:rPr>
  </w:style>
  <w:style w:type="paragraph" w:customStyle="1" w:styleId="afffffffff9">
    <w:name w:val="标准文件_三级无标题"/>
    <w:basedOn w:val="afff2"/>
    <w:qFormat/>
    <w:pPr>
      <w:spacing w:beforeLines="0" w:before="0" w:afterLines="0" w:after="0"/>
      <w:outlineLvl w:val="9"/>
    </w:pPr>
    <w:rPr>
      <w:rFonts w:ascii="宋体" w:eastAsia="宋体"/>
    </w:rPr>
  </w:style>
  <w:style w:type="paragraph" w:customStyle="1" w:styleId="afffffffffa">
    <w:name w:val="标准文件_二级无标题"/>
    <w:basedOn w:val="afff1"/>
    <w:qFormat/>
    <w:pPr>
      <w:spacing w:beforeLines="0" w:before="0" w:afterLines="0" w:after="0"/>
      <w:outlineLvl w:val="9"/>
    </w:pPr>
    <w:rPr>
      <w:rFonts w:ascii="宋体" w:eastAsia="宋体"/>
    </w:rPr>
  </w:style>
  <w:style w:type="paragraph" w:customStyle="1" w:styleId="afffffffffb">
    <w:name w:val="标准_四级无标题"/>
    <w:basedOn w:val="afff3"/>
    <w:next w:val="afffffe"/>
    <w:qFormat/>
    <w:rPr>
      <w:rFonts w:eastAsia="宋体"/>
    </w:rPr>
  </w:style>
  <w:style w:type="paragraph" w:customStyle="1" w:styleId="afffffffffc">
    <w:name w:val="标准文件_四级无标题"/>
    <w:basedOn w:val="afff3"/>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6"/>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e"/>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5">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d">
    <w:name w:val="标准文件_示例×："/>
    <w:basedOn w:val="afff8"/>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9"/>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9"/>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f3">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f4">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f5">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f6">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7">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8">
    <w:name w:val="标准文件_引言三级无标题"/>
    <w:basedOn w:val="a9"/>
    <w:qFormat/>
    <w:pPr>
      <w:spacing w:beforeLines="0" w:before="0" w:afterLines="0" w:after="0" w:line="276" w:lineRule="auto"/>
    </w:pPr>
    <w:rPr>
      <w:rFonts w:ascii="宋体" w:eastAsia="宋体"/>
    </w:rPr>
  </w:style>
  <w:style w:type="paragraph" w:customStyle="1" w:styleId="afffffffffff9">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a">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9"/>
    <w:qFormat/>
    <w:rPr>
      <w:rFonts w:ascii="黑体" w:eastAsia="黑体"/>
      <w:spacing w:val="85"/>
      <w:w w:val="100"/>
      <w:position w:val="3"/>
      <w:sz w:val="28"/>
      <w:szCs w:val="28"/>
    </w:rPr>
  </w:style>
  <w:style w:type="paragraph" w:customStyle="1" w:styleId="202">
    <w:name w:val="样式 行距: 固定值 20 磅 首行缩进:  2 字符"/>
    <w:basedOn w:val="afff8"/>
    <w:link w:val="202Char"/>
    <w:qFormat/>
    <w:pPr>
      <w:widowControl/>
      <w:adjustRightInd/>
      <w:ind w:firstLineChars="200" w:firstLine="420"/>
    </w:pPr>
    <w:rPr>
      <w:rFonts w:ascii="Times New Roman" w:hAnsi="Times New Roman" w:cs="宋体"/>
      <w:szCs w:val="20"/>
    </w:rPr>
  </w:style>
  <w:style w:type="character" w:customStyle="1" w:styleId="202Char">
    <w:name w:val="样式 行距: 固定值 20 磅 首行缩进:  2 字符 Char"/>
    <w:link w:val="202"/>
    <w:qFormat/>
    <w:rPr>
      <w:rFonts w:ascii="Times New Roman" w:hAnsi="Times New Roman" w:cs="宋体"/>
      <w:kern w:val="2"/>
      <w:sz w:val="21"/>
    </w:rPr>
  </w:style>
  <w:style w:type="character" w:customStyle="1" w:styleId="afffe">
    <w:name w:val="批注文字 字符"/>
    <w:basedOn w:val="afff9"/>
    <w:link w:val="afffd"/>
    <w:uiPriority w:val="99"/>
    <w:qFormat/>
    <w:rPr>
      <w:rFonts w:ascii="Times New Roman" w:hAnsi="Times New Roman" w:cstheme="minorBidi"/>
      <w:kern w:val="2"/>
      <w:sz w:val="21"/>
      <w:szCs w:val="21"/>
    </w:rPr>
  </w:style>
  <w:style w:type="paragraph" w:styleId="affffffffffff3">
    <w:name w:val="List Paragraph"/>
    <w:basedOn w:val="afff8"/>
    <w:uiPriority w:val="34"/>
    <w:qFormat/>
    <w:pPr>
      <w:widowControl/>
      <w:adjustRightInd/>
      <w:spacing w:line="240" w:lineRule="auto"/>
      <w:ind w:firstLineChars="200" w:firstLine="200"/>
      <w:jc w:val="left"/>
    </w:pPr>
    <w:rPr>
      <w:rFonts w:ascii="Times New Roman" w:hAnsi="Times New Roman" w:cstheme="minorBidi"/>
    </w:rPr>
  </w:style>
  <w:style w:type="character" w:customStyle="1" w:styleId="affffe">
    <w:name w:val="批注主题 字符"/>
    <w:basedOn w:val="afffe"/>
    <w:link w:val="affffd"/>
    <w:uiPriority w:val="99"/>
    <w:semiHidden/>
    <w:qFormat/>
    <w:rPr>
      <w:rFonts w:ascii="Times New Roman" w:hAnsi="Times New Roman" w:cstheme="minorBidi"/>
      <w:b/>
      <w:bCs/>
      <w:kern w:val="2"/>
      <w:sz w:val="21"/>
      <w:szCs w:val="21"/>
    </w:rPr>
  </w:style>
  <w:style w:type="paragraph" w:customStyle="1" w:styleId="affffffffffff4">
    <w:name w:val="目次、标准名称标题"/>
    <w:basedOn w:val="afff8"/>
    <w:next w:val="affffffffffff5"/>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fffff5">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123456">
    <w:name w:val="123456"/>
    <w:basedOn w:val="af2"/>
    <w:qFormat/>
    <w:pPr>
      <w:numPr>
        <w:numId w:val="0"/>
      </w:numPr>
      <w:spacing w:before="312" w:after="312"/>
      <w:ind w:left="811" w:hanging="448"/>
    </w:pPr>
  </w:style>
  <w:style w:type="paragraph" w:customStyle="1" w:styleId="af2">
    <w:name w:val="章标题"/>
    <w:next w:val="affffffffffff5"/>
    <w:qFormat/>
    <w:pPr>
      <w:numPr>
        <w:numId w:val="32"/>
      </w:numPr>
      <w:spacing w:beforeLines="100" w:afterLines="100"/>
      <w:jc w:val="both"/>
      <w:outlineLvl w:val="1"/>
    </w:pPr>
    <w:rPr>
      <w:rFonts w:ascii="黑体" w:eastAsia="黑体"/>
      <w:sz w:val="21"/>
    </w:rPr>
  </w:style>
  <w:style w:type="paragraph" w:customStyle="1" w:styleId="af3">
    <w:name w:val="一级条标题"/>
    <w:next w:val="affffffffffff5"/>
    <w:qFormat/>
    <w:pPr>
      <w:numPr>
        <w:ilvl w:val="1"/>
        <w:numId w:val="32"/>
      </w:numPr>
      <w:spacing w:beforeLines="50" w:afterLines="50"/>
      <w:outlineLvl w:val="2"/>
    </w:pPr>
    <w:rPr>
      <w:rFonts w:ascii="黑体" w:eastAsia="黑体"/>
      <w:sz w:val="21"/>
      <w:szCs w:val="21"/>
    </w:rPr>
  </w:style>
  <w:style w:type="paragraph" w:customStyle="1" w:styleId="affffffffffff6">
    <w:name w:val="二级无"/>
    <w:basedOn w:val="af4"/>
    <w:qFormat/>
    <w:pPr>
      <w:spacing w:beforeLines="0" w:afterLines="0"/>
    </w:pPr>
    <w:rPr>
      <w:rFonts w:ascii="宋体" w:eastAsia="宋体"/>
    </w:rPr>
  </w:style>
  <w:style w:type="paragraph" w:customStyle="1" w:styleId="af4">
    <w:name w:val="二级条标题"/>
    <w:basedOn w:val="af3"/>
    <w:next w:val="affffffffffff5"/>
    <w:qFormat/>
    <w:pPr>
      <w:numPr>
        <w:ilvl w:val="2"/>
      </w:numPr>
      <w:spacing w:before="50" w:after="50"/>
      <w:outlineLvl w:val="3"/>
    </w:pPr>
  </w:style>
  <w:style w:type="paragraph" w:customStyle="1" w:styleId="affffffffffff7">
    <w:name w:val="附录标识"/>
    <w:basedOn w:val="afff8"/>
    <w:next w:val="affffffffffff5"/>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ffffff8">
    <w:name w:val="标准书眉_奇数页"/>
    <w:next w:val="afff8"/>
    <w:qFormat/>
    <w:pPr>
      <w:tabs>
        <w:tab w:val="center" w:pos="4154"/>
        <w:tab w:val="right" w:pos="8306"/>
      </w:tabs>
      <w:spacing w:after="220"/>
      <w:jc w:val="right"/>
    </w:pPr>
    <w:rPr>
      <w:rFonts w:ascii="黑体" w:eastAsia="黑体"/>
      <w:sz w:val="21"/>
      <w:szCs w:val="21"/>
    </w:rPr>
  </w:style>
  <w:style w:type="paragraph" w:customStyle="1" w:styleId="affffffffffff9">
    <w:name w:val="标准书脚_奇数页"/>
    <w:qFormat/>
    <w:pPr>
      <w:spacing w:before="120"/>
      <w:ind w:right="198"/>
      <w:jc w:val="right"/>
    </w:pPr>
    <w:rPr>
      <w:rFonts w:ascii="宋体"/>
      <w:sz w:val="18"/>
      <w:szCs w:val="18"/>
    </w:rPr>
  </w:style>
  <w:style w:type="paragraph" w:customStyle="1" w:styleId="affffffffffffa">
    <w:name w:val="标准书脚_偶数页"/>
    <w:qFormat/>
    <w:pPr>
      <w:spacing w:before="120"/>
      <w:ind w:left="221"/>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3EABAD109946349F9EAF503B1E255C"/>
        <w:category>
          <w:name w:val="常规"/>
          <w:gallery w:val="placeholder"/>
        </w:category>
        <w:types>
          <w:type w:val="bbPlcHdr"/>
        </w:types>
        <w:behaviors>
          <w:behavior w:val="content"/>
        </w:behaviors>
        <w:guid w:val="{3E8BC3D5-1B99-4021-85C3-3B48B45160DD}"/>
      </w:docPartPr>
      <w:docPartBody>
        <w:p w:rsidR="00B649DF" w:rsidRDefault="00000000">
          <w:pPr>
            <w:pStyle w:val="733EABAD109946349F9EAF503B1E255C"/>
            <w:rPr>
              <w:rFonts w:hint="eastAsia"/>
            </w:rPr>
          </w:pPr>
          <w:r>
            <w:rPr>
              <w:rStyle w:val="a3"/>
              <w:rFonts w:hint="eastAsia"/>
            </w:rPr>
            <w:t>单击或点击此处输入文字。</w:t>
          </w:r>
        </w:p>
      </w:docPartBody>
    </w:docPart>
    <w:docPart>
      <w:docPartPr>
        <w:name w:val="{bb35e689-7c24-4573-a4f8-06f3b22276f2}"/>
        <w:category>
          <w:name w:val="常规"/>
          <w:gallery w:val="placeholder"/>
        </w:category>
        <w:types>
          <w:type w:val="bbPlcHdr"/>
        </w:types>
        <w:behaviors>
          <w:behavior w:val="content"/>
        </w:behaviors>
        <w:guid w:val="{BB35E689-7C24-4573-A4F8-06F3B22276F2}"/>
      </w:docPartPr>
      <w:docPartBody>
        <w:p w:rsidR="00B649DF" w:rsidRDefault="00000000">
          <w:pPr>
            <w:pStyle w:val="A1FF5BFC5E40412888D2BC8CC5C7A310"/>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C90"/>
    <w:rsid w:val="000B0B3D"/>
    <w:rsid w:val="000F56FA"/>
    <w:rsid w:val="001C2857"/>
    <w:rsid w:val="00201D9C"/>
    <w:rsid w:val="00546162"/>
    <w:rsid w:val="00AC48B4"/>
    <w:rsid w:val="00B30C90"/>
    <w:rsid w:val="00B649DF"/>
    <w:rsid w:val="00B85283"/>
    <w:rsid w:val="00BF4A0E"/>
    <w:rsid w:val="00C64BDE"/>
    <w:rsid w:val="00C94503"/>
    <w:rsid w:val="00CC174A"/>
    <w:rsid w:val="00EB68A8"/>
    <w:rsid w:val="00F336A2"/>
    <w:rsid w:val="00FE7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33EABAD109946349F9EAF503B1E255C">
    <w:name w:val="733EABAD109946349F9EAF503B1E255C"/>
    <w:qFormat/>
    <w:pPr>
      <w:widowControl w:val="0"/>
      <w:jc w:val="both"/>
    </w:pPr>
    <w:rPr>
      <w:kern w:val="2"/>
      <w:sz w:val="21"/>
      <w:szCs w:val="22"/>
      <w14:ligatures w14:val="standardContextual"/>
    </w:rPr>
  </w:style>
  <w:style w:type="paragraph" w:customStyle="1" w:styleId="A1FF5BFC5E40412888D2BC8CC5C7A310">
    <w:name w:val="A1FF5BFC5E40412888D2BC8CC5C7A31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244C9-B87D-440C-A9B8-BEB9FC20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28</Pages>
  <Words>2678</Words>
  <Characters>15270</Characters>
  <Application>Microsoft Office Word</Application>
  <DocSecurity>0</DocSecurity>
  <Lines>127</Lines>
  <Paragraphs>35</Paragraphs>
  <ScaleCrop>false</ScaleCrop>
  <Company>PCMI</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闻君</dc:creator>
  <dc:description>&lt;config cover="true" show_menu="true" version="1.0.0" doctype="SDKXY"&gt;_x000d_
&lt;/config&gt;</dc:description>
  <cp:lastModifiedBy>Jun Wen</cp:lastModifiedBy>
  <cp:revision>8</cp:revision>
  <cp:lastPrinted>2021-02-02T08:22:00Z</cp:lastPrinted>
  <dcterms:created xsi:type="dcterms:W3CDTF">2026-01-15T12:04:00Z</dcterms:created>
  <dcterms:modified xsi:type="dcterms:W3CDTF">2026-07-03T08:51:00Z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eyJoZGlkIjoiZjgxMmZiYmFkZTFlYTNlOGI5MzU2NmZmYzE0YTlhZTMiLCJ1c2VySWQiOiI2MDA0ODkwNjQifQ==</vt:lpwstr>
  </property>
  <property fmtid="{D5CDD505-2E9C-101B-9397-08002B2CF9AE}" pid="15" name="KSOProductBuildVer">
    <vt:lpwstr>2052-12.1.0.26895</vt:lpwstr>
  </property>
  <property fmtid="{D5CDD505-2E9C-101B-9397-08002B2CF9AE}" pid="16" name="ICV">
    <vt:lpwstr>C37CDC708F1041F39C7AC0F094F30941_13</vt:lpwstr>
  </property>
</Properties>
</file>