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507F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FF61B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553A5A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339C3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CB5A9A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7F0FD2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03B246C">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132CAAAC">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0A452E99">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中国港口协会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B194D05">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     </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4AC7D74">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8558D4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51AABB8">
      <w:pPr>
        <w:pStyle w:val="50"/>
        <w:framePr w:w="9639" w:h="6976" w:hRule="exact" w:hSpace="0" w:vSpace="0" w:wrap="around" w:hAnchor="page" w:y="6408"/>
        <w:jc w:val="center"/>
        <w:rPr>
          <w:rFonts w:hint="eastAsia" w:ascii="黑体" w:hAnsi="黑体" w:eastAsia="黑体"/>
          <w:b w:val="0"/>
          <w:bCs w:val="0"/>
          <w:w w:val="100"/>
        </w:rPr>
      </w:pPr>
    </w:p>
    <w:p w14:paraId="4B3AAF80">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港口安防识别系统技术要求</w:t>
      </w:r>
      <w:r>
        <w:fldChar w:fldCharType="end"/>
      </w:r>
      <w:bookmarkEnd w:id="9"/>
    </w:p>
    <w:p w14:paraId="256B8C6E">
      <w:pPr>
        <w:framePr w:w="9639" w:h="6974" w:hRule="exact" w:wrap="around" w:vAnchor="page" w:hAnchor="page" w:x="1419" w:y="6408" w:anchorLock="1"/>
        <w:ind w:left="-1418"/>
      </w:pPr>
    </w:p>
    <w:p w14:paraId="29F7240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Port security identification system technical requirements</w:t>
      </w:r>
      <w:r>
        <w:rPr>
          <w:rFonts w:eastAsia="黑体"/>
          <w:szCs w:val="28"/>
        </w:rPr>
        <w:fldChar w:fldCharType="end"/>
      </w:r>
      <w:bookmarkEnd w:id="10"/>
    </w:p>
    <w:p w14:paraId="092D6EF2">
      <w:pPr>
        <w:framePr w:w="9639" w:h="6974" w:hRule="exact" w:wrap="around" w:vAnchor="page" w:hAnchor="page" w:x="1419" w:y="6408" w:anchorLock="1"/>
        <w:spacing w:line="760" w:lineRule="exact"/>
        <w:ind w:left="-1418"/>
      </w:pPr>
    </w:p>
    <w:p w14:paraId="2F05E3F3">
      <w:pPr>
        <w:pStyle w:val="125"/>
        <w:framePr w:w="9639" w:h="6974" w:hRule="exact" w:wrap="around" w:vAnchor="page" w:hAnchor="page" w:x="1419" w:y="6408" w:anchorLock="1"/>
        <w:textAlignment w:val="bottom"/>
        <w:rPr>
          <w:rFonts w:eastAsia="黑体"/>
          <w:szCs w:val="28"/>
        </w:rPr>
      </w:pPr>
    </w:p>
    <w:p w14:paraId="1006B74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CB2A62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C9D8502">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20458F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BD6FC1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192B75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49006B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5E0487">
      <w:pPr>
        <w:pStyle w:val="91"/>
        <w:spacing w:after="360"/>
      </w:pPr>
      <w:bookmarkStart w:id="21" w:name="BookMark1"/>
      <w:bookmarkStart w:id="22" w:name="_Toc199339555"/>
      <w:bookmarkStart w:id="23" w:name="_Toc199339543"/>
      <w:bookmarkStart w:id="24" w:name="_Toc199339497"/>
      <w:r>
        <w:rPr>
          <w:rFonts w:hint="eastAsia"/>
          <w:spacing w:val="320"/>
        </w:rPr>
        <w:t>目</w:t>
      </w:r>
      <w:r>
        <w:rPr>
          <w:rFonts w:hint="eastAsia"/>
        </w:rPr>
        <w:t>次</w:t>
      </w:r>
    </w:p>
    <w:p w14:paraId="15E0806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"_Toc199339620"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_Toc199339620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60AB466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"_Toc199339621"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_Toc199339621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5B822A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"_Toc199339622"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_Toc199339622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417111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"_Toc199339623"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_Toc199339623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3F7EC8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"_Toc199339624" </w:instrText>
      </w:r>
      <w:r>
        <w:fldChar w:fldCharType="separate"/>
      </w:r>
      <w:r>
        <w:rPr>
          <w:rStyle w:val="32"/>
          <w:rFonts w:hint="eastAsia"/>
        </w:rPr>
        <w:t>4</w:t>
      </w:r>
      <w:r>
        <w:rPr>
          <w:rStyle w:val="32"/>
        </w:rPr>
        <w:t xml:space="preserve"> </w:t>
      </w:r>
      <w:r>
        <w:rPr>
          <w:rStyle w:val="32"/>
          <w:rFonts w:hint="eastAsia"/>
        </w:rPr>
        <w:t xml:space="preserve"> 系统构成</w:t>
      </w:r>
      <w:r>
        <w:rPr>
          <w:rFonts w:hint="eastAsia"/>
        </w:rPr>
        <w:tab/>
      </w:r>
      <w:r>
        <w:rPr>
          <w:rFonts w:hint="eastAsia"/>
        </w:rPr>
        <w:fldChar w:fldCharType="begin"/>
      </w:r>
      <w:r>
        <w:rPr>
          <w:rFonts w:hint="eastAsia"/>
        </w:rPr>
        <w:instrText xml:space="preserve"> </w:instrText>
      </w:r>
      <w:r>
        <w:instrText xml:space="preserve">PAGEREF _Toc199339624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9391DC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"_Toc199339625" </w:instrText>
      </w:r>
      <w:r>
        <w:fldChar w:fldCharType="separate"/>
      </w:r>
      <w:r>
        <w:rPr>
          <w:rStyle w:val="32"/>
          <w:rFonts w:hint="eastAsia"/>
        </w:rPr>
        <w:t>5</w:t>
      </w:r>
      <w:r>
        <w:rPr>
          <w:rStyle w:val="32"/>
        </w:rPr>
        <w:t xml:space="preserve"> </w:t>
      </w:r>
      <w:r>
        <w:rPr>
          <w:rStyle w:val="32"/>
          <w:rFonts w:hint="eastAsia"/>
        </w:rPr>
        <w:t xml:space="preserve"> 一般要求</w:t>
      </w:r>
      <w:r>
        <w:rPr>
          <w:rFonts w:hint="eastAsia"/>
        </w:rPr>
        <w:tab/>
      </w:r>
      <w:r>
        <w:rPr>
          <w:rFonts w:hint="eastAsia"/>
        </w:rPr>
        <w:fldChar w:fldCharType="begin"/>
      </w:r>
      <w:r>
        <w:rPr>
          <w:rFonts w:hint="eastAsia"/>
        </w:rPr>
        <w:instrText xml:space="preserve"> </w:instrText>
      </w:r>
      <w:r>
        <w:instrText xml:space="preserve">PAGEREF _Toc199339625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F3934D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"_Toc199339633" </w:instrText>
      </w:r>
      <w:r>
        <w:fldChar w:fldCharType="separate"/>
      </w:r>
      <w:r>
        <w:rPr>
          <w:rStyle w:val="32"/>
          <w:rFonts w:hint="eastAsia"/>
        </w:rPr>
        <w:t>6</w:t>
      </w:r>
      <w:r>
        <w:rPr>
          <w:rStyle w:val="32"/>
        </w:rPr>
        <w:t xml:space="preserve"> </w:t>
      </w:r>
      <w:r>
        <w:rPr>
          <w:rStyle w:val="32"/>
          <w:rFonts w:hint="eastAsia"/>
        </w:rPr>
        <w:t xml:space="preserve"> 数据采集</w:t>
      </w:r>
      <w:r>
        <w:rPr>
          <w:rFonts w:hint="eastAsia"/>
        </w:rPr>
        <w:tab/>
      </w:r>
      <w:r>
        <w:rPr>
          <w:rFonts w:hint="eastAsia"/>
        </w:rPr>
        <w:fldChar w:fldCharType="begin"/>
      </w:r>
      <w:r>
        <w:rPr>
          <w:rFonts w:hint="eastAsia"/>
        </w:rPr>
        <w:instrText xml:space="preserve"> </w:instrText>
      </w:r>
      <w:r>
        <w:instrText xml:space="preserve">PAGEREF _Toc199339633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0ADD1A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"_Toc199339637" </w:instrText>
      </w:r>
      <w:r>
        <w:fldChar w:fldCharType="separate"/>
      </w:r>
      <w:r>
        <w:rPr>
          <w:rStyle w:val="32"/>
          <w:rFonts w:hint="eastAsia"/>
        </w:rPr>
        <w:t>7</w:t>
      </w:r>
      <w:r>
        <w:rPr>
          <w:rStyle w:val="32"/>
        </w:rPr>
        <w:t xml:space="preserve"> </w:t>
      </w:r>
      <w:r>
        <w:rPr>
          <w:rStyle w:val="32"/>
          <w:rFonts w:hint="eastAsia"/>
        </w:rPr>
        <w:t xml:space="preserve"> 数据传输和存储</w:t>
      </w:r>
      <w:r>
        <w:rPr>
          <w:rFonts w:hint="eastAsia"/>
        </w:rPr>
        <w:tab/>
      </w:r>
      <w:r>
        <w:rPr>
          <w:rFonts w:hint="eastAsia"/>
        </w:rPr>
        <w:fldChar w:fldCharType="begin"/>
      </w:r>
      <w:r>
        <w:rPr>
          <w:rFonts w:hint="eastAsia"/>
        </w:rPr>
        <w:instrText xml:space="preserve"> </w:instrText>
      </w:r>
      <w:r>
        <w:instrText xml:space="preserve">PAGEREF _Toc199339637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7501B6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"_Toc199339640" </w:instrText>
      </w:r>
      <w:r>
        <w:fldChar w:fldCharType="separate"/>
      </w:r>
      <w:r>
        <w:rPr>
          <w:rStyle w:val="32"/>
          <w:rFonts w:hint="eastAsia"/>
        </w:rPr>
        <w:t>8</w:t>
      </w:r>
      <w:r>
        <w:rPr>
          <w:rStyle w:val="32"/>
        </w:rPr>
        <w:t xml:space="preserve"> </w:t>
      </w:r>
      <w:r>
        <w:rPr>
          <w:rStyle w:val="32"/>
          <w:rFonts w:hint="eastAsia"/>
        </w:rPr>
        <w:t xml:space="preserve"> 数据识别</w:t>
      </w:r>
      <w:r>
        <w:rPr>
          <w:rFonts w:hint="eastAsia"/>
        </w:rPr>
        <w:tab/>
      </w:r>
      <w:r>
        <w:rPr>
          <w:rFonts w:hint="eastAsia"/>
        </w:rPr>
        <w:fldChar w:fldCharType="begin"/>
      </w:r>
      <w:r>
        <w:rPr>
          <w:rFonts w:hint="eastAsia"/>
        </w:rPr>
        <w:instrText xml:space="preserve"> </w:instrText>
      </w:r>
      <w:r>
        <w:instrText xml:space="preserve">PAGEREF _Toc199339640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738197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"_Toc199339643" </w:instrText>
      </w:r>
      <w:r>
        <w:fldChar w:fldCharType="separate"/>
      </w:r>
      <w:r>
        <w:rPr>
          <w:rStyle w:val="32"/>
          <w:rFonts w:hint="eastAsia"/>
        </w:rPr>
        <w:t>9</w:t>
      </w:r>
      <w:r>
        <w:rPr>
          <w:rStyle w:val="32"/>
        </w:rPr>
        <w:t xml:space="preserve"> </w:t>
      </w:r>
      <w:r>
        <w:rPr>
          <w:rStyle w:val="32"/>
          <w:rFonts w:hint="eastAsia"/>
        </w:rPr>
        <w:t xml:space="preserve"> 指挥控制与显示</w:t>
      </w:r>
      <w:r>
        <w:rPr>
          <w:rFonts w:hint="eastAsia"/>
        </w:rPr>
        <w:tab/>
      </w:r>
      <w:r>
        <w:rPr>
          <w:rFonts w:hint="eastAsia"/>
        </w:rPr>
        <w:fldChar w:fldCharType="begin"/>
      </w:r>
      <w:r>
        <w:rPr>
          <w:rFonts w:hint="eastAsia"/>
        </w:rPr>
        <w:instrText xml:space="preserve"> </w:instrText>
      </w:r>
      <w:r>
        <w:instrText xml:space="preserve">PAGEREF _Toc199339643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E356B9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"_Toc199339647" </w:instrText>
      </w:r>
      <w:r>
        <w:fldChar w:fldCharType="separate"/>
      </w:r>
      <w:r>
        <w:rPr>
          <w:rStyle w:val="32"/>
          <w:rFonts w:hint="eastAsia"/>
        </w:rPr>
        <w:t>10</w:t>
      </w:r>
      <w:r>
        <w:rPr>
          <w:rStyle w:val="32"/>
        </w:rPr>
        <w:t xml:space="preserve"> </w:t>
      </w:r>
      <w:r>
        <w:rPr>
          <w:rStyle w:val="32"/>
          <w:rFonts w:hint="eastAsia"/>
        </w:rPr>
        <w:t xml:space="preserve"> 预警与联动</w:t>
      </w:r>
      <w:r>
        <w:rPr>
          <w:rFonts w:hint="eastAsia"/>
        </w:rPr>
        <w:tab/>
      </w:r>
      <w:r>
        <w:rPr>
          <w:rFonts w:hint="eastAsia"/>
        </w:rPr>
        <w:fldChar w:fldCharType="begin"/>
      </w:r>
      <w:r>
        <w:rPr>
          <w:rFonts w:hint="eastAsia"/>
        </w:rPr>
        <w:instrText xml:space="preserve"> </w:instrText>
      </w:r>
      <w:r>
        <w:instrText xml:space="preserve">PAGEREF _Toc199339647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26CF0F1">
      <w:pPr>
        <w:pStyle w:val="24"/>
        <w:rPr>
          <w:rFonts w:hint="eastAsia" w:asciiTheme="minorHAnsi" w:hAnsiTheme="minorHAnsi" w:eastAsiaTheme="minorEastAsia" w:cstheme="minorBidi"/>
          <w:sz w:val="22"/>
          <w:szCs w:val="24"/>
          <w14:ligatures w14:val="standardContextual"/>
        </w:rPr>
      </w:pPr>
    </w:p>
    <w:p w14:paraId="08644836">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0A33005C">
      <w:pPr>
        <w:pStyle w:val="89"/>
        <w:spacing w:before="560" w:after="360"/>
      </w:pPr>
      <w:bookmarkStart w:id="25" w:name="_Toc199339620"/>
      <w:bookmarkStart w:id="26" w:name="BookMark2"/>
      <w:r>
        <w:rPr>
          <w:rFonts w:hint="eastAsia"/>
          <w:spacing w:val="320"/>
        </w:rPr>
        <w:t>前</w:t>
      </w:r>
      <w:r>
        <w:rPr>
          <w:rFonts w:hint="eastAsia"/>
        </w:rPr>
        <w:t>言</w:t>
      </w:r>
      <w:bookmarkEnd w:id="22"/>
      <w:bookmarkEnd w:id="23"/>
      <w:bookmarkEnd w:id="24"/>
      <w:bookmarkEnd w:id="25"/>
    </w:p>
    <w:p w14:paraId="61A17A80">
      <w:pPr>
        <w:pStyle w:val="56"/>
        <w:ind w:firstLine="420"/>
      </w:pPr>
      <w:r>
        <w:rPr>
          <w:rFonts w:hint="eastAsia"/>
        </w:rPr>
        <w:t>本文件按照GB/T 1.1—2020《标准化工作导则  第1部分：标准化文件的结构和起草规则》的规定起草。</w:t>
      </w:r>
    </w:p>
    <w:p w14:paraId="0AE5595E">
      <w:pPr>
        <w:ind w:firstLine="420" w:firstLineChars="200"/>
        <w:rPr>
          <w:rFonts w:hint="eastAsia" w:ascii="宋体" w:hAnsi="宋体" w:cs="宋体"/>
        </w:rPr>
      </w:pPr>
      <w:r>
        <w:rPr>
          <w:rFonts w:hint="eastAsia" w:ascii="宋体" w:hAnsi="宋体" w:cs="宋体"/>
          <w:color w:val="000000"/>
          <w:kern w:val="0"/>
          <w:lang w:bidi="ar"/>
        </w:rPr>
        <w:t>请注意本文件的某些内容可能涉及专利。本文件的发布机构不承担识别专利的责任。</w:t>
      </w:r>
    </w:p>
    <w:p w14:paraId="1BA22EF6">
      <w:pPr>
        <w:pStyle w:val="56"/>
        <w:ind w:firstLine="420"/>
      </w:pPr>
      <w:r>
        <w:rPr>
          <w:rFonts w:hint="eastAsia"/>
        </w:rPr>
        <w:t>本文件由</w:t>
      </w:r>
      <w:r>
        <w:rPr>
          <w:rFonts w:hint="eastAsia" w:ascii="宋体" w:hAnsi="宋体" w:cs="宋体"/>
          <w:szCs w:val="21"/>
        </w:rPr>
        <w:t>中国港口协会</w:t>
      </w:r>
      <w:r>
        <w:rPr>
          <w:rFonts w:hint="eastAsia"/>
        </w:rPr>
        <w:t>提出并归口。</w:t>
      </w:r>
    </w:p>
    <w:p w14:paraId="37F0559B">
      <w:pPr>
        <w:pStyle w:val="56"/>
        <w:spacing w:after="120"/>
        <w:ind w:firstLine="420"/>
        <w:rPr>
          <w:szCs w:val="21"/>
        </w:rPr>
      </w:pPr>
      <w:r>
        <w:rPr>
          <w:rFonts w:hint="eastAsia"/>
        </w:rPr>
        <w:t>本文件起草单位：</w:t>
      </w:r>
      <w:r>
        <w:rPr>
          <w:rFonts w:hint="eastAsia" w:ascii="宋体" w:hAnsi="宋体" w:cs="宋体"/>
          <w:szCs w:val="21"/>
        </w:rPr>
        <w:t>宁波港信息通信有限公司、宁波舟山港股份有限公司、上海海事大学、上海虹口数字航运创新中心、上海航研运输咨询服务有限公司。</w:t>
      </w:r>
    </w:p>
    <w:p w14:paraId="1A10E4AB">
      <w:pPr>
        <w:pStyle w:val="56"/>
        <w:ind w:firstLine="420"/>
      </w:pPr>
      <w:r>
        <w:rPr>
          <w:rFonts w:hint="eastAsia"/>
        </w:rPr>
        <w:t>本文件主要起草人：黄昂涛、王强、夏侃、徐凯、郭胜童、乔耿嘉、滕雷斌、王汉君、夏超俊、段雪妍</w:t>
      </w:r>
      <w:bookmarkStart w:id="162" w:name="_GoBack"/>
      <w:bookmarkEnd w:id="162"/>
      <w:r>
        <w:rPr>
          <w:rFonts w:hint="eastAsia"/>
        </w:rPr>
        <w:t>、常柱、赵笛、真虹、陈荣、梅浪奇、周涵、吴高德、鲍朝前。</w:t>
      </w:r>
    </w:p>
    <w:p w14:paraId="152120EE">
      <w:pPr>
        <w:pStyle w:val="56"/>
        <w:ind w:firstLine="420"/>
      </w:pPr>
    </w:p>
    <w:p w14:paraId="32F915C4">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6"/>
    <w:p w14:paraId="18C4C8BD">
      <w:pPr>
        <w:spacing w:line="20" w:lineRule="exact"/>
        <w:jc w:val="center"/>
        <w:rPr>
          <w:rFonts w:hint="eastAsia" w:ascii="黑体" w:hAnsi="黑体" w:eastAsia="黑体"/>
          <w:sz w:val="32"/>
          <w:szCs w:val="32"/>
        </w:rPr>
      </w:pPr>
      <w:bookmarkStart w:id="27" w:name="BookMark4"/>
    </w:p>
    <w:p w14:paraId="5055A78B">
      <w:pPr>
        <w:spacing w:line="20" w:lineRule="exact"/>
        <w:jc w:val="center"/>
        <w:rPr>
          <w:rFonts w:hint="eastAsia" w:ascii="黑体" w:hAnsi="黑体" w:eastAsia="黑体"/>
          <w:sz w:val="32"/>
          <w:szCs w:val="32"/>
        </w:rPr>
      </w:pPr>
    </w:p>
    <w:sdt>
      <w:sdtPr>
        <w:tag w:val="NEW_STAND_NAME"/>
        <w:id w:val="595910757"/>
        <w:lock w:val="sdtLocked"/>
        <w:placeholder>
          <w:docPart w:val="6B6EA98C63BC4C99943F8D2DEF165CB3"/>
        </w:placeholder>
      </w:sdtPr>
      <w:sdtContent>
        <w:p w14:paraId="010951C6">
          <w:pPr>
            <w:pStyle w:val="177"/>
            <w:spacing w:before="2" w:beforeLines="1" w:after="528" w:afterLines="220"/>
            <w:rPr>
              <w:rFonts w:hint="eastAsia"/>
            </w:rPr>
          </w:pPr>
          <w:bookmarkStart w:id="28" w:name="NEW_STAND_NAME"/>
          <w:r>
            <w:rPr>
              <w:rFonts w:hint="eastAsia"/>
            </w:rPr>
            <w:t>港口安防识别系统技术要求</w:t>
          </w:r>
        </w:p>
      </w:sdtContent>
    </w:sdt>
    <w:bookmarkEnd w:id="28"/>
    <w:p w14:paraId="5D92B6F9">
      <w:pPr>
        <w:pStyle w:val="104"/>
        <w:spacing w:before="240" w:after="240"/>
      </w:pPr>
      <w:bookmarkStart w:id="29" w:name="_Toc24884211"/>
      <w:bookmarkStart w:id="30" w:name="_Toc199339621"/>
      <w:bookmarkStart w:id="31" w:name="_Toc26648465"/>
      <w:bookmarkStart w:id="32" w:name="_Toc97192964"/>
      <w:bookmarkStart w:id="33" w:name="_Toc24884218"/>
      <w:bookmarkStart w:id="34" w:name="_Toc199339498"/>
      <w:bookmarkStart w:id="35" w:name="_Toc199339544"/>
      <w:bookmarkStart w:id="36" w:name="_Toc199339556"/>
      <w:bookmarkStart w:id="37" w:name="_Toc17233325"/>
      <w:bookmarkStart w:id="38" w:name="_Toc17233333"/>
      <w:bookmarkStart w:id="39" w:name="_Toc26718930"/>
      <w:bookmarkStart w:id="40" w:name="_Toc26986530"/>
      <w:bookmarkStart w:id="41" w:name="_Toc26986771"/>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60826871">
      <w:pPr>
        <w:pStyle w:val="56"/>
        <w:spacing w:before="120" w:beforeLines="50" w:after="120" w:afterLines="50"/>
        <w:ind w:firstLine="420"/>
      </w:pPr>
      <w:bookmarkStart w:id="42" w:name="_Toc17233334"/>
      <w:bookmarkStart w:id="43" w:name="_Toc24884219"/>
      <w:bookmarkStart w:id="44" w:name="_Toc24884212"/>
      <w:bookmarkStart w:id="45" w:name="_Toc26648466"/>
      <w:bookmarkStart w:id="46" w:name="_Toc17233326"/>
      <w:r>
        <w:rPr>
          <w:rFonts w:hint="eastAsia"/>
        </w:rPr>
        <w:t>本文件规定了港口安防识别系统的构成、一般要求、数据采集、数据传输和存储、数据分析与识别、指挥控制与显示、预警与评价联动的要求。</w:t>
      </w:r>
    </w:p>
    <w:p w14:paraId="05ED9145">
      <w:pPr>
        <w:pStyle w:val="56"/>
        <w:spacing w:before="120" w:beforeLines="50" w:after="120" w:afterLines="50"/>
        <w:ind w:firstLine="420"/>
      </w:pPr>
      <w:r>
        <w:rPr>
          <w:rFonts w:hint="eastAsia"/>
        </w:rPr>
        <w:t>本标准适用于各类港口利用港口安防识别系统实现港口人员、车辆、船舶、货物等多个方面的安全防范与管理。</w:t>
      </w:r>
    </w:p>
    <w:p w14:paraId="05EAABDB">
      <w:pPr>
        <w:pStyle w:val="104"/>
        <w:spacing w:before="240" w:after="240"/>
      </w:pPr>
      <w:bookmarkStart w:id="47" w:name="_Toc26986772"/>
      <w:bookmarkStart w:id="48" w:name="_Toc26986531"/>
      <w:bookmarkStart w:id="49" w:name="_Toc199339622"/>
      <w:bookmarkStart w:id="50" w:name="_Toc199339499"/>
      <w:bookmarkStart w:id="51" w:name="_Toc26718931"/>
      <w:bookmarkStart w:id="52" w:name="_Toc199339557"/>
      <w:bookmarkStart w:id="53" w:name="_Toc97192965"/>
      <w:bookmarkStart w:id="54" w:name="_Toc199339545"/>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41FDD58255464820AC7DC1FED07EA81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6CFB55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96CC111">
      <w:pPr>
        <w:pStyle w:val="56"/>
        <w:spacing w:before="120" w:beforeLines="50" w:after="120" w:afterLines="50"/>
        <w:ind w:firstLine="420"/>
      </w:pPr>
      <w:bookmarkStart w:id="55" w:name="_Toc199339559"/>
      <w:bookmarkStart w:id="56" w:name="_Toc199339501"/>
      <w:r>
        <w:rPr>
          <w:rFonts w:hint="eastAsia"/>
        </w:rPr>
        <w:t>GB 50396 出入口控制系统工程设计规范</w:t>
      </w:r>
      <w:bookmarkEnd w:id="55"/>
      <w:bookmarkEnd w:id="56"/>
      <w:r>
        <w:rPr>
          <w:rFonts w:hint="eastAsia"/>
        </w:rPr>
        <w:t xml:space="preserve">  </w:t>
      </w:r>
    </w:p>
    <w:p w14:paraId="1C3789B0">
      <w:pPr>
        <w:pStyle w:val="56"/>
        <w:spacing w:before="120" w:beforeLines="50" w:after="120" w:afterLines="50"/>
        <w:ind w:firstLine="420"/>
      </w:pPr>
      <w:bookmarkStart w:id="57" w:name="_Toc199339560"/>
      <w:bookmarkStart w:id="58" w:name="_Toc199339502"/>
      <w:r>
        <w:rPr>
          <w:rFonts w:hint="eastAsia"/>
        </w:rPr>
        <w:t>GB 20815 视频安防监控数字录像设备</w:t>
      </w:r>
      <w:bookmarkEnd w:id="57"/>
      <w:bookmarkEnd w:id="58"/>
      <w:r>
        <w:rPr>
          <w:rFonts w:hint="eastAsia"/>
        </w:rPr>
        <w:t xml:space="preserve">  </w:t>
      </w:r>
    </w:p>
    <w:p w14:paraId="239B2F49">
      <w:pPr>
        <w:pStyle w:val="56"/>
        <w:spacing w:before="120" w:beforeLines="50" w:after="120" w:afterLines="50"/>
        <w:ind w:firstLine="420"/>
      </w:pPr>
      <w:bookmarkStart w:id="59" w:name="_Toc199339504"/>
      <w:bookmarkStart w:id="60" w:name="_Toc199339562"/>
      <w:r>
        <w:rPr>
          <w:rFonts w:hint="eastAsia"/>
        </w:rPr>
        <w:t>GB/T 35960.5 信息技术服务 治理 第5部分：数据治理规范</w:t>
      </w:r>
      <w:bookmarkEnd w:id="59"/>
      <w:bookmarkEnd w:id="60"/>
      <w:r>
        <w:rPr>
          <w:rFonts w:hint="eastAsia"/>
        </w:rPr>
        <w:t xml:space="preserve">  </w:t>
      </w:r>
    </w:p>
    <w:p w14:paraId="1371CCBA">
      <w:pPr>
        <w:pStyle w:val="56"/>
        <w:spacing w:before="120" w:beforeLines="50" w:after="120" w:afterLines="50"/>
        <w:ind w:firstLine="420"/>
        <w:rPr>
          <w:highlight w:val="none"/>
        </w:rPr>
      </w:pPr>
      <w:bookmarkStart w:id="61" w:name="_Toc199339563"/>
      <w:bookmarkStart w:id="62" w:name="_Toc199339505"/>
      <w:r>
        <w:rPr>
          <w:rFonts w:hint="eastAsia"/>
        </w:rPr>
        <w:t>GB/T 343</w:t>
      </w:r>
      <w:r>
        <w:rPr>
          <w:rFonts w:hint="eastAsia"/>
          <w:highlight w:val="none"/>
        </w:rPr>
        <w:t>16 港口安全防范系统技术要求</w:t>
      </w:r>
      <w:bookmarkEnd w:id="61"/>
      <w:bookmarkEnd w:id="62"/>
      <w:r>
        <w:rPr>
          <w:rFonts w:hint="eastAsia"/>
          <w:highlight w:val="none"/>
        </w:rPr>
        <w:t xml:space="preserve">  </w:t>
      </w:r>
    </w:p>
    <w:p w14:paraId="0FC7C0CF">
      <w:pPr>
        <w:pStyle w:val="56"/>
        <w:spacing w:before="120" w:beforeLines="50" w:after="120" w:afterLines="50"/>
        <w:ind w:firstLine="420"/>
      </w:pPr>
      <w:bookmarkStart w:id="63" w:name="_Toc199339506"/>
      <w:bookmarkStart w:id="64" w:name="_Toc199339564"/>
      <w:r>
        <w:rPr>
          <w:rFonts w:hint="eastAsia"/>
        </w:rPr>
        <w:t>GA/T 1127 安全防范视频监控摄像机通用技术要求</w:t>
      </w:r>
      <w:bookmarkEnd w:id="63"/>
      <w:bookmarkEnd w:id="64"/>
    </w:p>
    <w:p w14:paraId="7D3C7261">
      <w:pPr>
        <w:pStyle w:val="56"/>
        <w:spacing w:before="120" w:beforeLines="50" w:after="120" w:afterLines="50"/>
        <w:ind w:firstLine="420"/>
      </w:pPr>
      <w:bookmarkStart w:id="65" w:name="_Toc199339507"/>
      <w:bookmarkStart w:id="66" w:name="_Toc199339565"/>
      <w:r>
        <w:rPr>
          <w:rFonts w:hint="eastAsia"/>
        </w:rPr>
        <w:t>GA/T 1782 安防人脸识别应用系统技术要求</w:t>
      </w:r>
      <w:bookmarkEnd w:id="65"/>
      <w:bookmarkEnd w:id="66"/>
      <w:r>
        <w:rPr>
          <w:rFonts w:hint="eastAsia"/>
        </w:rPr>
        <w:t xml:space="preserve">  </w:t>
      </w:r>
    </w:p>
    <w:p w14:paraId="12FCE163">
      <w:pPr>
        <w:pStyle w:val="56"/>
        <w:spacing w:before="120" w:beforeLines="50" w:after="120" w:afterLines="50"/>
        <w:ind w:firstLine="420"/>
      </w:pPr>
      <w:bookmarkStart w:id="67" w:name="_Toc199339566"/>
      <w:bookmarkStart w:id="68" w:name="_Toc199339508"/>
      <w:r>
        <w:rPr>
          <w:rFonts w:hint="eastAsia"/>
        </w:rPr>
        <w:t>GA/T 1390 公安视频图像信息应用系统 视音频信息存储技术要求</w:t>
      </w:r>
      <w:bookmarkEnd w:id="67"/>
      <w:bookmarkEnd w:id="68"/>
      <w:r>
        <w:rPr>
          <w:rFonts w:hint="eastAsia"/>
        </w:rPr>
        <w:t xml:space="preserve">  </w:t>
      </w:r>
    </w:p>
    <w:p w14:paraId="0A5F470B">
      <w:pPr>
        <w:pStyle w:val="56"/>
        <w:spacing w:before="120" w:beforeLines="50" w:after="120" w:afterLines="50"/>
        <w:ind w:firstLine="420"/>
      </w:pPr>
      <w:bookmarkStart w:id="69" w:name="_Toc199339567"/>
      <w:bookmarkStart w:id="70" w:name="_Toc199339509"/>
      <w:r>
        <w:rPr>
          <w:rFonts w:hint="eastAsia"/>
        </w:rPr>
        <w:t>JT/T 1178.1 港口危险货物集装箱堆场安全监控系统技术要求 第1部分：基本要求</w:t>
      </w:r>
      <w:bookmarkEnd w:id="69"/>
      <w:bookmarkEnd w:id="70"/>
      <w:r>
        <w:rPr>
          <w:rFonts w:hint="eastAsia"/>
        </w:rPr>
        <w:t xml:space="preserve">  </w:t>
      </w:r>
    </w:p>
    <w:p w14:paraId="04352DB1">
      <w:pPr>
        <w:pStyle w:val="56"/>
        <w:spacing w:before="120" w:beforeLines="50" w:after="120" w:afterLines="50"/>
        <w:ind w:firstLine="420"/>
      </w:pPr>
      <w:bookmarkStart w:id="71" w:name="_Toc199339510"/>
      <w:bookmarkStart w:id="72" w:name="_Toc199339568"/>
      <w:r>
        <w:rPr>
          <w:rFonts w:hint="eastAsia"/>
        </w:rPr>
        <w:t>JT/T 1280 港口危险货物安全监管信息系统数据交换规范</w:t>
      </w:r>
      <w:bookmarkEnd w:id="71"/>
      <w:bookmarkEnd w:id="72"/>
    </w:p>
    <w:p w14:paraId="072697BA">
      <w:pPr>
        <w:pStyle w:val="104"/>
        <w:spacing w:before="240" w:after="240"/>
      </w:pPr>
      <w:bookmarkStart w:id="73" w:name="_Toc199339511"/>
      <w:bookmarkStart w:id="74" w:name="_Toc199339546"/>
      <w:bookmarkStart w:id="75" w:name="_Toc97192966"/>
      <w:bookmarkStart w:id="76" w:name="_Toc199339623"/>
      <w:bookmarkStart w:id="77" w:name="_Toc199339569"/>
      <w:r>
        <w:rPr>
          <w:rFonts w:hint="eastAsia"/>
          <w:szCs w:val="21"/>
        </w:rPr>
        <w:t>术语和定义</w:t>
      </w:r>
      <w:bookmarkEnd w:id="73"/>
      <w:bookmarkEnd w:id="74"/>
      <w:bookmarkEnd w:id="75"/>
      <w:bookmarkEnd w:id="76"/>
      <w:bookmarkEnd w:id="77"/>
    </w:p>
    <w:sdt>
      <w:sdtPr>
        <w:id w:val="-1909835108"/>
        <w:placeholder>
          <w:docPart w:val="DE8D67EB8A0047248F29C825F69440DF"/>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97656D">
          <w:pPr>
            <w:pStyle w:val="56"/>
            <w:ind w:firstLine="420"/>
          </w:pPr>
          <w:bookmarkStart w:id="78" w:name="_Toc26986532"/>
          <w:bookmarkEnd w:id="78"/>
          <w:r>
            <w:t>下列术语和定义适用于本文件。</w:t>
          </w:r>
        </w:p>
      </w:sdtContent>
    </w:sdt>
    <w:p w14:paraId="411B02E7">
      <w:pPr>
        <w:pStyle w:val="223"/>
        <w:spacing w:line="360" w:lineRule="auto"/>
        <w:rPr>
          <w:rFonts w:hint="eastAsia" w:ascii="黑体" w:hAnsi="黑体" w:eastAsia="黑体"/>
        </w:rPr>
      </w:pPr>
      <w:r>
        <w:rPr>
          <w:rFonts w:hint="eastAsia" w:ascii="黑体" w:hAnsi="黑体" w:eastAsia="黑体"/>
        </w:rPr>
        <w:t>识别准确率 system correct recognition rate</w:t>
      </w:r>
    </w:p>
    <w:p w14:paraId="444B3EF2">
      <w:pPr>
        <w:pStyle w:val="56"/>
        <w:spacing w:line="360" w:lineRule="auto"/>
        <w:ind w:firstLine="0" w:firstLineChars="0"/>
      </w:pPr>
      <w:r>
        <w:rPr>
          <w:rFonts w:hint="eastAsia"/>
        </w:rPr>
        <w:t>系统正确识别的次数与总识别次数的比例。</w:t>
      </w:r>
    </w:p>
    <w:p w14:paraId="15BA9A64">
      <w:pPr>
        <w:pStyle w:val="223"/>
        <w:spacing w:line="360" w:lineRule="auto"/>
        <w:rPr>
          <w:rFonts w:hint="eastAsia" w:ascii="黑体" w:hAnsi="黑体" w:eastAsia="黑体"/>
        </w:rPr>
      </w:pPr>
      <w:r>
        <w:rPr>
          <w:rFonts w:hint="eastAsia" w:ascii="黑体" w:hAnsi="黑体" w:eastAsia="黑体"/>
        </w:rPr>
        <w:t xml:space="preserve">采集精度 acquisition precision    </w:t>
      </w:r>
    </w:p>
    <w:p w14:paraId="32C1A4F4">
      <w:pPr>
        <w:pStyle w:val="56"/>
        <w:spacing w:line="360" w:lineRule="auto"/>
        <w:ind w:firstLine="0" w:firstLineChars="0"/>
      </w:pPr>
      <w:r>
        <w:rPr>
          <w:rFonts w:hint="eastAsia"/>
        </w:rPr>
        <w:t>衡量监控动态视频或静态图像画面质量、细节还原能力的核心指标。动态视频采集精度主要由分辨率、帧率、码率等多因素共同决定。静态图像采集精度主要由分辨率决定。</w:t>
      </w:r>
    </w:p>
    <w:p w14:paraId="49E1E813">
      <w:pPr>
        <w:pStyle w:val="223"/>
        <w:spacing w:line="360" w:lineRule="auto"/>
        <w:rPr>
          <w:rFonts w:hint="eastAsia" w:ascii="黑体" w:hAnsi="黑体" w:eastAsia="黑体"/>
        </w:rPr>
      </w:pPr>
      <w:r>
        <w:rPr>
          <w:rFonts w:hint="eastAsia" w:ascii="黑体" w:hAnsi="黑体" w:eastAsia="黑体"/>
        </w:rPr>
        <w:t xml:space="preserve">响应时间response time    </w:t>
      </w:r>
    </w:p>
    <w:p w14:paraId="7A910D05">
      <w:pPr>
        <w:pStyle w:val="56"/>
        <w:spacing w:line="360" w:lineRule="auto"/>
        <w:ind w:firstLine="0" w:firstLineChars="0"/>
      </w:pPr>
      <w:r>
        <w:rPr>
          <w:rFonts w:hint="eastAsia"/>
        </w:rPr>
        <w:t>从系统检测到异常事件到发出预警信号并完成相关处置操作的时间。</w:t>
      </w:r>
    </w:p>
    <w:p w14:paraId="29AD7D24">
      <w:pPr>
        <w:pStyle w:val="223"/>
        <w:spacing w:before="120" w:beforeLines="50" w:after="120" w:afterLines="50"/>
        <w:rPr>
          <w:rFonts w:hint="eastAsia" w:ascii="黑体" w:hAnsi="黑体" w:eastAsia="黑体"/>
        </w:rPr>
      </w:pPr>
      <w:r>
        <w:rPr>
          <w:rFonts w:hint="eastAsia" w:ascii="黑体" w:hAnsi="黑体" w:eastAsia="黑体"/>
        </w:rPr>
        <w:t xml:space="preserve">漏报率：false negative rate  </w:t>
      </w:r>
    </w:p>
    <w:p w14:paraId="7FA69F86">
      <w:pPr>
        <w:pStyle w:val="223"/>
        <w:numPr>
          <w:ilvl w:val="0"/>
          <w:numId w:val="0"/>
        </w:numPr>
        <w:spacing w:before="120" w:beforeLines="50" w:after="120" w:afterLines="50"/>
        <w:rPr>
          <w:rFonts w:ascii="Times New Roman"/>
        </w:rPr>
      </w:pPr>
      <w:r>
        <w:rPr>
          <w:rFonts w:hint="eastAsia" w:ascii="Times New Roman"/>
        </w:rPr>
        <w:t>实际发生的异常事件未被系统检测并发出预警的次数与实际发生的异常事件数量的比例。</w:t>
      </w:r>
    </w:p>
    <w:p w14:paraId="3642C287">
      <w:pPr>
        <w:pStyle w:val="223"/>
        <w:rPr>
          <w:rFonts w:hint="eastAsia" w:ascii="黑体" w:hAnsi="黑体" w:eastAsia="黑体"/>
        </w:rPr>
      </w:pPr>
      <w:r>
        <w:rPr>
          <w:rFonts w:hint="eastAsia" w:ascii="黑体" w:hAnsi="黑体" w:eastAsia="黑体"/>
        </w:rPr>
        <w:t>误报率：false positive rate</w:t>
      </w:r>
    </w:p>
    <w:p w14:paraId="3A2D8FC8">
      <w:pPr>
        <w:pStyle w:val="223"/>
        <w:numPr>
          <w:ilvl w:val="0"/>
          <w:numId w:val="0"/>
        </w:numPr>
        <w:spacing w:before="120" w:beforeLines="50" w:after="120" w:afterLines="50"/>
        <w:rPr>
          <w:rFonts w:ascii="Times New Roman"/>
        </w:rPr>
      </w:pPr>
      <w:r>
        <w:rPr>
          <w:rFonts w:hint="eastAsia" w:ascii="Times New Roman"/>
        </w:rPr>
        <w:t>系统将正常事件误判为异常事件并发出预警的次数与系统发出预警次数的比例。</w:t>
      </w:r>
    </w:p>
    <w:p w14:paraId="00F1C43A">
      <w:pPr>
        <w:pStyle w:val="105"/>
        <w:spacing w:before="120" w:after="120"/>
      </w:pPr>
      <w:r>
        <w:rPr>
          <w:rFonts w:hint="eastAsia"/>
        </w:rPr>
        <w:t xml:space="preserve">联动响应时间linked response time </w:t>
      </w:r>
    </w:p>
    <w:p w14:paraId="56018D02">
      <w:pPr>
        <w:pStyle w:val="56"/>
        <w:ind w:firstLine="0" w:firstLineChars="0"/>
      </w:pPr>
      <w:r>
        <w:rPr>
          <w:rFonts w:hint="eastAsia"/>
        </w:rPr>
        <w:t>系统识别到风险后，触发预设联动逻辑（如报警、设备控制、资源调度等）的全流程时间间隔。</w:t>
      </w:r>
    </w:p>
    <w:p w14:paraId="148B5874">
      <w:pPr>
        <w:pStyle w:val="104"/>
        <w:spacing w:before="240" w:after="240"/>
      </w:pPr>
      <w:bookmarkStart w:id="79" w:name="_Toc199339512"/>
      <w:bookmarkStart w:id="80" w:name="_Toc199339624"/>
      <w:bookmarkStart w:id="81" w:name="_Toc199339570"/>
      <w:bookmarkStart w:id="82" w:name="_Toc199339547"/>
      <w:r>
        <w:rPr>
          <w:rFonts w:hint="eastAsia"/>
        </w:rPr>
        <w:t>系统构成</w:t>
      </w:r>
      <w:bookmarkEnd w:id="79"/>
      <w:bookmarkEnd w:id="80"/>
      <w:bookmarkEnd w:id="81"/>
      <w:bookmarkEnd w:id="82"/>
    </w:p>
    <w:p w14:paraId="40CD0719">
      <w:pPr>
        <w:pStyle w:val="56"/>
        <w:ind w:firstLine="420"/>
        <w:rPr>
          <w:rFonts w:hint="eastAsia" w:ascii="宋体" w:hAnsi="宋体" w:cs="宋体"/>
        </w:rPr>
      </w:pPr>
      <w:r>
        <w:rPr>
          <w:rFonts w:hint="eastAsia" w:ascii="宋体" w:hAnsi="宋体" w:cs="宋体"/>
        </w:rPr>
        <w:t>港口安防识别系统包括前端感知设备、数据传输和存储设备、数据分析与识别平台、指挥控制与显示平台、预警与联动平台，具体构成如图1所示。</w:t>
      </w:r>
    </w:p>
    <w:p w14:paraId="14962353">
      <w:pPr>
        <w:pStyle w:val="56"/>
        <w:ind w:firstLine="420"/>
        <w:rPr>
          <w:rFonts w:hint="eastAsia" w:ascii="宋体" w:hAnsi="宋体" w:cs="宋体"/>
        </w:rPr>
      </w:pPr>
      <w:r>
        <w:drawing>
          <wp:inline distT="0" distB="0" distL="114300" distR="114300">
            <wp:extent cx="5339080" cy="4529455"/>
            <wp:effectExtent l="0" t="0" r="1016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5339080" cy="4529455"/>
                    </a:xfrm>
                    <a:prstGeom prst="rect">
                      <a:avLst/>
                    </a:prstGeom>
                    <a:noFill/>
                    <a:ln>
                      <a:noFill/>
                    </a:ln>
                  </pic:spPr>
                </pic:pic>
              </a:graphicData>
            </a:graphic>
          </wp:inline>
        </w:drawing>
      </w:r>
    </w:p>
    <w:p w14:paraId="5ED5E770">
      <w:pPr>
        <w:pStyle w:val="114"/>
        <w:spacing w:before="120" w:after="120"/>
      </w:pPr>
      <w:r>
        <w:rPr>
          <w:rFonts w:hint="eastAsia"/>
        </w:rPr>
        <w:t>港口安防识别系统构成图</w:t>
      </w:r>
    </w:p>
    <w:p w14:paraId="4F1CAE0B">
      <w:r>
        <w:br w:type="page"/>
      </w:r>
    </w:p>
    <w:p w14:paraId="1A4DCD97">
      <w:pPr>
        <w:pStyle w:val="56"/>
        <w:ind w:firstLine="420"/>
      </w:pPr>
    </w:p>
    <w:p w14:paraId="35D4DB6B">
      <w:pPr>
        <w:pStyle w:val="104"/>
        <w:spacing w:before="240" w:after="240"/>
      </w:pPr>
      <w:bookmarkStart w:id="83" w:name="_Toc199339571"/>
      <w:bookmarkStart w:id="84" w:name="_Toc199339625"/>
      <w:bookmarkStart w:id="85" w:name="_Toc199339548"/>
      <w:bookmarkStart w:id="86" w:name="_Toc199339513"/>
      <w:r>
        <w:rPr>
          <w:rFonts w:hint="eastAsia"/>
        </w:rPr>
        <w:t>一般要求</w:t>
      </w:r>
      <w:bookmarkEnd w:id="83"/>
      <w:bookmarkEnd w:id="84"/>
      <w:bookmarkEnd w:id="85"/>
      <w:bookmarkEnd w:id="86"/>
    </w:p>
    <w:p w14:paraId="41F26F3D">
      <w:pPr>
        <w:pStyle w:val="105"/>
        <w:spacing w:before="120" w:after="120"/>
      </w:pPr>
      <w:bookmarkStart w:id="87" w:name="_Toc199339626"/>
      <w:bookmarkStart w:id="88" w:name="_Toc199339572"/>
      <w:bookmarkStart w:id="89" w:name="_Toc199339514"/>
      <w:r>
        <w:rPr>
          <w:rFonts w:hint="eastAsia"/>
        </w:rPr>
        <w:t>稳定性</w:t>
      </w:r>
      <w:bookmarkEnd w:id="87"/>
      <w:bookmarkEnd w:id="88"/>
      <w:bookmarkEnd w:id="89"/>
    </w:p>
    <w:p w14:paraId="0CA2490F">
      <w:pPr>
        <w:pStyle w:val="56"/>
        <w:ind w:firstLine="420"/>
        <w:rPr>
          <w:rFonts w:hint="eastAsia" w:ascii="黑体" w:hAnsi="黑体" w:eastAsia="黑体"/>
        </w:rPr>
      </w:pPr>
      <w:r>
        <w:rPr>
          <w:rFonts w:hint="eastAsia" w:ascii="宋体" w:hAnsi="宋体" w:cs="宋体"/>
        </w:rPr>
        <w:t>系统中的所有设备均要保证稳定可靠的质量，确保设备在恶劣的港口环境（如高温、高湿、盐雾、大风等）下能长期24小时连续稳定运行。</w:t>
      </w:r>
    </w:p>
    <w:p w14:paraId="48D98C61">
      <w:pPr>
        <w:pStyle w:val="105"/>
        <w:spacing w:before="120" w:after="120"/>
      </w:pPr>
      <w:bookmarkStart w:id="90" w:name="_Toc199339627"/>
      <w:bookmarkStart w:id="91" w:name="_Toc199339515"/>
      <w:bookmarkStart w:id="92" w:name="_Toc199339573"/>
      <w:r>
        <w:rPr>
          <w:rFonts w:hint="eastAsia"/>
        </w:rPr>
        <w:t>容错能力</w:t>
      </w:r>
      <w:bookmarkEnd w:id="90"/>
      <w:bookmarkEnd w:id="91"/>
      <w:bookmarkEnd w:id="92"/>
    </w:p>
    <w:p w14:paraId="5CEB4D76">
      <w:pPr>
        <w:pStyle w:val="56"/>
        <w:ind w:firstLine="420"/>
        <w:rPr>
          <w:rFonts w:hint="eastAsia" w:ascii="宋体" w:hAnsi="宋体" w:cs="宋体"/>
        </w:rPr>
      </w:pPr>
      <w:r>
        <w:rPr>
          <w:rFonts w:hint="eastAsia" w:ascii="宋体" w:hAnsi="宋体" w:cs="宋体"/>
        </w:rPr>
        <w:t>系统需具备在复杂环境干扰（如高盐雾、强电磁、极端天气等）、设备故障（如传感器失效、网络中断等）、数据异常（如误识别、漏识别等） 等情况下，仍能维持核心安防功能、避免安全漏洞的能力。</w:t>
      </w:r>
    </w:p>
    <w:p w14:paraId="4A079B1B">
      <w:pPr>
        <w:pStyle w:val="105"/>
        <w:spacing w:before="120" w:after="120"/>
      </w:pPr>
      <w:bookmarkStart w:id="93" w:name="_Toc199339516"/>
      <w:bookmarkStart w:id="94" w:name="_Toc199339574"/>
      <w:bookmarkStart w:id="95" w:name="_Toc199339628"/>
      <w:r>
        <w:rPr>
          <w:rFonts w:hint="eastAsia" w:hAnsi="黑体"/>
        </w:rPr>
        <w:t>恢复</w:t>
      </w:r>
      <w:r>
        <w:rPr>
          <w:rFonts w:hint="eastAsia"/>
        </w:rPr>
        <w:t>能力</w:t>
      </w:r>
    </w:p>
    <w:p w14:paraId="20D64296">
      <w:pPr>
        <w:pStyle w:val="56"/>
        <w:ind w:firstLine="420"/>
        <w:rPr>
          <w:rFonts w:hint="eastAsia" w:ascii="宋体" w:hAnsi="宋体" w:cs="宋体"/>
        </w:rPr>
      </w:pPr>
      <w:r>
        <w:rPr>
          <w:rFonts w:hint="eastAsia" w:ascii="宋体" w:hAnsi="宋体" w:cs="宋体"/>
        </w:rPr>
        <w:t>系统需具备在故障排除或中断结束后，快速恢复至正常状态，且不丢失关键识别数据的能力。</w:t>
      </w:r>
    </w:p>
    <w:bookmarkEnd w:id="93"/>
    <w:bookmarkEnd w:id="94"/>
    <w:bookmarkEnd w:id="95"/>
    <w:p w14:paraId="56C53DEC">
      <w:pPr>
        <w:pStyle w:val="105"/>
        <w:spacing w:before="120" w:after="120"/>
      </w:pPr>
      <w:bookmarkStart w:id="96" w:name="_Toc199339576"/>
      <w:bookmarkStart w:id="97" w:name="_Toc199339518"/>
      <w:bookmarkStart w:id="98" w:name="_Toc199339630"/>
      <w:r>
        <w:rPr>
          <w:rFonts w:hint="eastAsia"/>
        </w:rPr>
        <w:t>系统操作界面简单友好</w:t>
      </w:r>
      <w:bookmarkEnd w:id="96"/>
      <w:bookmarkEnd w:id="97"/>
      <w:bookmarkEnd w:id="98"/>
    </w:p>
    <w:p w14:paraId="67E560DF">
      <w:pPr>
        <w:pStyle w:val="56"/>
        <w:ind w:firstLine="420"/>
        <w:rPr>
          <w:rFonts w:hint="eastAsia" w:ascii="宋体" w:hAnsi="宋体" w:cs="宋体"/>
        </w:rPr>
      </w:pPr>
      <w:r>
        <w:rPr>
          <w:rFonts w:hint="eastAsia" w:ascii="宋体" w:hAnsi="宋体" w:cs="宋体"/>
        </w:rPr>
        <w:t>系统的操作界面应简洁明了、易于上手，具备直观的图形化界面和操作指引，方便安保管理人员进行操作。</w:t>
      </w:r>
    </w:p>
    <w:p w14:paraId="65C2388E">
      <w:pPr>
        <w:pStyle w:val="105"/>
        <w:spacing w:before="120" w:after="120"/>
      </w:pPr>
      <w:bookmarkStart w:id="99" w:name="_Toc199339631"/>
      <w:bookmarkStart w:id="100" w:name="_Toc199339577"/>
      <w:bookmarkStart w:id="101" w:name="_Toc199339519"/>
      <w:r>
        <w:rPr>
          <w:rFonts w:hint="eastAsia"/>
        </w:rPr>
        <w:t>支持远程运维</w:t>
      </w:r>
      <w:bookmarkEnd w:id="99"/>
      <w:bookmarkEnd w:id="100"/>
      <w:bookmarkEnd w:id="101"/>
    </w:p>
    <w:p w14:paraId="67008EDA">
      <w:pPr>
        <w:pStyle w:val="56"/>
        <w:ind w:firstLine="420"/>
        <w:rPr>
          <w:rFonts w:hint="eastAsia" w:ascii="宋体" w:hAnsi="宋体" w:cs="宋体"/>
        </w:rPr>
      </w:pPr>
      <w:r>
        <w:rPr>
          <w:rFonts w:hint="eastAsia" w:ascii="宋体" w:hAnsi="宋体" w:cs="宋体"/>
        </w:rPr>
        <w:t>支持远程对系统进行监控、配置、升级、维护等操作，减少现场维护的工作量和成本，提高系统的运维效率。</w:t>
      </w:r>
    </w:p>
    <w:p w14:paraId="1B753749">
      <w:pPr>
        <w:pStyle w:val="104"/>
        <w:spacing w:before="240" w:after="240"/>
      </w:pPr>
      <w:bookmarkStart w:id="102" w:name="_Toc199339521"/>
      <w:bookmarkStart w:id="103" w:name="_Toc199339579"/>
      <w:bookmarkStart w:id="104" w:name="_Toc199339633"/>
      <w:bookmarkStart w:id="105" w:name="_Toc199339549"/>
      <w:r>
        <w:rPr>
          <w:rFonts w:hint="eastAsia"/>
        </w:rPr>
        <w:t>数据采集</w:t>
      </w:r>
      <w:bookmarkEnd w:id="102"/>
      <w:bookmarkEnd w:id="103"/>
      <w:bookmarkEnd w:id="104"/>
      <w:bookmarkEnd w:id="105"/>
    </w:p>
    <w:p w14:paraId="7AD6A92F">
      <w:pPr>
        <w:pStyle w:val="105"/>
        <w:spacing w:before="120" w:after="120"/>
      </w:pPr>
      <w:bookmarkStart w:id="106" w:name="_Toc199339634"/>
      <w:bookmarkStart w:id="107" w:name="_Toc199339522"/>
      <w:bookmarkStart w:id="108" w:name="_Toc199339580"/>
      <w:r>
        <w:rPr>
          <w:rFonts w:hint="eastAsia"/>
        </w:rPr>
        <w:t>前端感知设备</w:t>
      </w:r>
      <w:bookmarkEnd w:id="106"/>
      <w:bookmarkEnd w:id="107"/>
      <w:bookmarkEnd w:id="108"/>
      <w:r>
        <w:rPr>
          <w:rFonts w:hint="eastAsia"/>
        </w:rPr>
        <w:t>类型</w:t>
      </w:r>
    </w:p>
    <w:p w14:paraId="18255CB9">
      <w:pPr>
        <w:pStyle w:val="56"/>
        <w:ind w:firstLine="420"/>
        <w:rPr>
          <w:rFonts w:hint="eastAsia" w:ascii="宋体" w:hAnsi="宋体" w:cs="宋体"/>
        </w:rPr>
      </w:pPr>
      <w:r>
        <w:rPr>
          <w:rFonts w:hint="eastAsia" w:ascii="宋体" w:hAnsi="宋体" w:cs="宋体"/>
        </w:rPr>
        <w:t>前端感知采集设备包括：照相机、视频监控摄像机（包括但不限于具备智能识别、夜视、热成像等功能的摄像机）、传感器（包括但不限于入侵检测、烟雾、温度、红外检测、粉尘颗粒物等传感器）、RFID射频识别设备、GPS定位设备等。</w:t>
      </w:r>
    </w:p>
    <w:p w14:paraId="6C62E75E">
      <w:pPr>
        <w:pStyle w:val="105"/>
        <w:spacing w:before="120" w:after="120"/>
      </w:pPr>
      <w:r>
        <w:rPr>
          <w:rFonts w:hint="eastAsia"/>
        </w:rPr>
        <w:t>前端感知设备覆盖范围</w:t>
      </w:r>
    </w:p>
    <w:p w14:paraId="2952E9E6">
      <w:pPr>
        <w:pStyle w:val="56"/>
        <w:ind w:firstLine="420"/>
        <w:rPr>
          <w:rFonts w:hint="eastAsia" w:ascii="黑体" w:hAnsi="黑体" w:eastAsia="黑体"/>
        </w:rPr>
      </w:pPr>
      <w:r>
        <w:rPr>
          <w:rFonts w:hint="eastAsia" w:ascii="宋体" w:hAnsi="宋体" w:cs="宋体"/>
        </w:rPr>
        <w:t>前端感知设备需全方位覆盖港口的码头、堆场、航道、闸口、仓库等重要区域，确保任何异常行为和事件都能被及时捕捉到。</w:t>
      </w:r>
    </w:p>
    <w:p w14:paraId="6CE3F3FE">
      <w:pPr>
        <w:pStyle w:val="105"/>
        <w:spacing w:before="120" w:after="120"/>
      </w:pPr>
      <w:bookmarkStart w:id="109" w:name="_Toc199339523"/>
      <w:bookmarkStart w:id="110" w:name="_Toc199339635"/>
      <w:bookmarkStart w:id="111" w:name="_Toc199339581"/>
      <w:r>
        <w:rPr>
          <w:rFonts w:hint="eastAsia"/>
        </w:rPr>
        <w:t>采集数据类型与格式</w:t>
      </w:r>
      <w:bookmarkEnd w:id="109"/>
      <w:bookmarkEnd w:id="110"/>
      <w:bookmarkEnd w:id="111"/>
    </w:p>
    <w:p w14:paraId="00145682">
      <w:pPr>
        <w:pStyle w:val="65"/>
        <w:spacing w:before="120" w:after="120"/>
        <w:rPr>
          <w:rFonts w:hint="eastAsia" w:ascii="宋体" w:hAnsi="宋体" w:eastAsia="宋体" w:cs="宋体"/>
        </w:rPr>
      </w:pPr>
      <w:r>
        <w:rPr>
          <w:rFonts w:hint="eastAsia" w:ascii="宋体" w:hAnsi="宋体" w:eastAsia="宋体" w:cs="宋体"/>
        </w:rPr>
        <w:t>视频数据采用 H.264或H.265 编码格式进行采集和存储，低光等恶劣环境场景优先采用H.265 编码。</w:t>
      </w:r>
    </w:p>
    <w:p w14:paraId="274756D3">
      <w:pPr>
        <w:pStyle w:val="65"/>
        <w:spacing w:before="120" w:after="120"/>
      </w:pPr>
      <w:r>
        <w:rPr>
          <w:rFonts w:hint="eastAsia" w:ascii="宋体" w:hAnsi="宋体" w:eastAsia="宋体" w:cs="宋体"/>
        </w:rPr>
        <w:t>图像数据可采用JPEG、PNG 等格式进行采集和存储。</w:t>
      </w:r>
    </w:p>
    <w:p w14:paraId="76DAACD3">
      <w:pPr>
        <w:pStyle w:val="65"/>
        <w:spacing w:before="120" w:after="120"/>
        <w:rPr>
          <w:rFonts w:hint="eastAsia" w:ascii="宋体" w:hAnsi="宋体" w:eastAsia="宋体" w:cs="宋体"/>
        </w:rPr>
      </w:pPr>
      <w:r>
        <w:rPr>
          <w:rFonts w:hint="eastAsia" w:ascii="宋体" w:hAnsi="宋体" w:eastAsia="宋体" w:cs="宋体"/>
        </w:rPr>
        <w:t>传感器采集的数据类型多样，这些数据可经过模数转换，转换为数字信号进行处理和存储。</w:t>
      </w:r>
    </w:p>
    <w:p w14:paraId="3E250FC4">
      <w:pPr>
        <w:pStyle w:val="105"/>
        <w:spacing w:before="120" w:after="120"/>
      </w:pPr>
      <w:bookmarkStart w:id="112" w:name="_Toc199339524"/>
      <w:bookmarkStart w:id="113" w:name="_Toc199339582"/>
      <w:bookmarkStart w:id="114" w:name="_Toc199339636"/>
      <w:r>
        <w:rPr>
          <w:rFonts w:hint="eastAsia"/>
        </w:rPr>
        <w:t>采集精度</w:t>
      </w:r>
      <w:bookmarkEnd w:id="112"/>
      <w:bookmarkEnd w:id="113"/>
      <w:bookmarkEnd w:id="114"/>
    </w:p>
    <w:p w14:paraId="2EDAA872">
      <w:pPr>
        <w:pStyle w:val="65"/>
        <w:spacing w:before="120" w:after="120"/>
      </w:pPr>
      <w:r>
        <w:rPr>
          <w:rFonts w:hint="eastAsia" w:ascii="宋体" w:hAnsi="宋体" w:eastAsia="宋体" w:cs="宋体"/>
        </w:rPr>
        <w:t>视频采集精度要求分辨率不低于400万像素，帧率不低于每秒 25 帧，以保证视频图像的连续性和实时性。</w:t>
      </w:r>
    </w:p>
    <w:p w14:paraId="157CF9E1">
      <w:pPr>
        <w:pStyle w:val="65"/>
        <w:spacing w:before="120" w:after="120"/>
      </w:pPr>
      <w:r>
        <w:rPr>
          <w:rFonts w:hint="eastAsia" w:ascii="宋体" w:hAnsi="宋体" w:eastAsia="宋体" w:cs="宋体"/>
        </w:rPr>
        <w:t>图像采集精度要求分辨率不低于400万像素。</w:t>
      </w:r>
    </w:p>
    <w:p w14:paraId="768AE5C1">
      <w:pPr>
        <w:pStyle w:val="65"/>
        <w:spacing w:before="120" w:after="120"/>
      </w:pPr>
      <w:r>
        <w:rPr>
          <w:rFonts w:hint="eastAsia" w:ascii="宋体" w:hAnsi="宋体" w:eastAsia="宋体" w:cs="宋体"/>
        </w:rPr>
        <w:t>不同类型的传感器需根据具体的应用场景和安全要求设置相应的采集精度要求。</w:t>
      </w:r>
    </w:p>
    <w:p w14:paraId="499D2615">
      <w:pPr>
        <w:pStyle w:val="104"/>
        <w:spacing w:before="240" w:after="240"/>
      </w:pPr>
      <w:bookmarkStart w:id="115" w:name="_Toc199339583"/>
      <w:bookmarkStart w:id="116" w:name="_Toc199339637"/>
      <w:bookmarkStart w:id="117" w:name="_Toc199339550"/>
      <w:bookmarkStart w:id="118" w:name="_Toc199339525"/>
      <w:r>
        <w:rPr>
          <w:rFonts w:hint="eastAsia"/>
        </w:rPr>
        <w:t>数据传输和存储</w:t>
      </w:r>
      <w:bookmarkEnd w:id="115"/>
      <w:bookmarkEnd w:id="116"/>
      <w:bookmarkEnd w:id="117"/>
      <w:bookmarkEnd w:id="118"/>
    </w:p>
    <w:p w14:paraId="2CCACEF8">
      <w:pPr>
        <w:pStyle w:val="105"/>
        <w:spacing w:before="120" w:after="120"/>
      </w:pPr>
      <w:bookmarkStart w:id="119" w:name="_Toc199339638"/>
      <w:bookmarkStart w:id="120" w:name="_Toc199339584"/>
      <w:bookmarkStart w:id="121" w:name="_Toc199339526"/>
      <w:r>
        <w:rPr>
          <w:rFonts w:hint="eastAsia"/>
        </w:rPr>
        <w:t>数据传输</w:t>
      </w:r>
      <w:bookmarkEnd w:id="119"/>
      <w:bookmarkEnd w:id="120"/>
      <w:bookmarkEnd w:id="121"/>
    </w:p>
    <w:p w14:paraId="7B72C3AD">
      <w:pPr>
        <w:pStyle w:val="65"/>
        <w:spacing w:before="120" w:after="120"/>
      </w:pPr>
      <w:r>
        <w:rPr>
          <w:rFonts w:hint="eastAsia" w:ascii="宋体" w:hAnsi="宋体" w:eastAsia="宋体" w:cs="宋体"/>
        </w:rPr>
        <w:t>数据传输通道包括有线网络（如光纤、网线）和无线网络（如 4G/5G、Wi-Fi）。</w:t>
      </w:r>
    </w:p>
    <w:p w14:paraId="7CC9BDE7">
      <w:pPr>
        <w:pStyle w:val="65"/>
        <w:spacing w:before="120" w:after="120"/>
      </w:pPr>
      <w:r>
        <w:rPr>
          <w:rFonts w:hint="eastAsia" w:ascii="宋体" w:hAnsi="宋体" w:eastAsia="宋体" w:cs="宋体"/>
        </w:rPr>
        <w:t>数据传输协议根据实际场景要求，可采用实时流协议（RTSP）、实时传输协议（RTP）、网页实时通信协议（WebRTC）等。</w:t>
      </w:r>
    </w:p>
    <w:p w14:paraId="62874313">
      <w:pPr>
        <w:pStyle w:val="105"/>
        <w:spacing w:before="120" w:after="120"/>
      </w:pPr>
      <w:bookmarkStart w:id="122" w:name="_Toc199339639"/>
      <w:bookmarkStart w:id="123" w:name="_Toc199339527"/>
      <w:bookmarkStart w:id="124" w:name="_Toc199339585"/>
      <w:r>
        <w:rPr>
          <w:rFonts w:hint="eastAsia"/>
        </w:rPr>
        <w:t>数据存储</w:t>
      </w:r>
      <w:bookmarkEnd w:id="122"/>
      <w:bookmarkEnd w:id="123"/>
      <w:bookmarkEnd w:id="124"/>
    </w:p>
    <w:p w14:paraId="7A2508FD">
      <w:pPr>
        <w:pStyle w:val="65"/>
        <w:spacing w:before="120" w:after="120"/>
      </w:pPr>
      <w:r>
        <w:rPr>
          <w:rFonts w:hint="eastAsia" w:ascii="宋体" w:hAnsi="宋体" w:eastAsia="宋体" w:cs="宋体"/>
        </w:rPr>
        <w:t>数据存储可采用磁盘阵列、云存储等大容量存储设备进行循环存储。</w:t>
      </w:r>
    </w:p>
    <w:p w14:paraId="79D6D0FC">
      <w:pPr>
        <w:pStyle w:val="65"/>
        <w:spacing w:before="120" w:after="120"/>
        <w:rPr>
          <w:rFonts w:hint="eastAsia" w:ascii="宋体" w:hAnsi="宋体" w:eastAsia="宋体" w:cs="宋体"/>
        </w:rPr>
      </w:pPr>
      <w:r>
        <w:rPr>
          <w:rFonts w:hint="eastAsia" w:ascii="宋体" w:hAnsi="宋体" w:eastAsia="宋体" w:cs="宋体"/>
        </w:rPr>
        <w:t>数据存储时间根据港口的安全管理要求和相关法规规定，通常不少于 3 个月，以便查询、分析和追溯。</w:t>
      </w:r>
    </w:p>
    <w:p w14:paraId="411C5626">
      <w:pPr>
        <w:pStyle w:val="65"/>
        <w:spacing w:before="120" w:after="120"/>
        <w:rPr>
          <w:rFonts w:hint="eastAsia" w:ascii="宋体" w:hAnsi="宋体" w:eastAsia="宋体" w:cs="宋体"/>
        </w:rPr>
      </w:pPr>
      <w:r>
        <w:rPr>
          <w:rFonts w:hint="eastAsia" w:ascii="宋体" w:hAnsi="宋体" w:eastAsia="宋体" w:cs="宋体"/>
        </w:rPr>
        <w:t>应对存储数据进行分类和索引，便于数据管理和检索。</w:t>
      </w:r>
    </w:p>
    <w:p w14:paraId="7721BA5B">
      <w:pPr>
        <w:pStyle w:val="105"/>
        <w:spacing w:before="120" w:after="120"/>
      </w:pPr>
      <w:r>
        <w:rPr>
          <w:rFonts w:hint="eastAsia"/>
        </w:rPr>
        <w:t>外部数据对接</w:t>
      </w:r>
    </w:p>
    <w:p w14:paraId="63F72AFE">
      <w:pPr>
        <w:pStyle w:val="65"/>
        <w:numPr>
          <w:ilvl w:val="3"/>
          <w:numId w:val="0"/>
        </w:numPr>
        <w:spacing w:before="120" w:after="120"/>
        <w:ind w:firstLine="420" w:firstLineChars="200"/>
        <w:rPr>
          <w:rFonts w:hint="eastAsia" w:ascii="宋体" w:hAnsi="宋体" w:eastAsia="宋体" w:cs="宋体"/>
        </w:rPr>
      </w:pPr>
      <w:r>
        <w:rPr>
          <w:rFonts w:hint="eastAsia" w:ascii="宋体" w:hAnsi="宋体" w:eastAsia="宋体" w:cs="宋体"/>
        </w:rPr>
        <w:t>系统需设置外部数据接口，实现与港口内外其他信息系统的信息对接和协同。</w:t>
      </w:r>
    </w:p>
    <w:p w14:paraId="1C394EE2">
      <w:pPr>
        <w:pStyle w:val="105"/>
        <w:spacing w:before="120" w:after="120"/>
      </w:pPr>
      <w:r>
        <w:rPr>
          <w:rFonts w:hint="eastAsia"/>
        </w:rPr>
        <w:t>数据加密</w:t>
      </w:r>
    </w:p>
    <w:p w14:paraId="5D93EA33">
      <w:pPr>
        <w:pStyle w:val="65"/>
        <w:spacing w:before="120" w:after="120"/>
      </w:pPr>
      <w:r>
        <w:rPr>
          <w:rFonts w:hint="eastAsia" w:ascii="宋体" w:hAnsi="宋体" w:eastAsia="宋体" w:cs="宋体"/>
        </w:rPr>
        <w:t>敏感数据需采用加密协议进行加密传输，防止数据在传输过程中被窃取或篡改。</w:t>
      </w:r>
    </w:p>
    <w:p w14:paraId="0E8C85EA">
      <w:pPr>
        <w:pStyle w:val="65"/>
        <w:spacing w:before="120" w:after="120"/>
      </w:pPr>
      <w:r>
        <w:rPr>
          <w:rFonts w:hint="eastAsia" w:ascii="宋体" w:hAnsi="宋体" w:eastAsia="宋体" w:cs="宋体"/>
        </w:rPr>
        <w:t>存储数据需采用磁盘加密技术或文件级加密技术，保护数据在存储状态下的安全性，即使存储设备丢失或被盗，数据也难以被破解和读取。</w:t>
      </w:r>
    </w:p>
    <w:p w14:paraId="3FFA1E40">
      <w:pPr>
        <w:pStyle w:val="105"/>
        <w:spacing w:before="120" w:after="120"/>
      </w:pPr>
      <w:bookmarkStart w:id="125" w:name="_Toc199339539"/>
      <w:bookmarkStart w:id="126" w:name="_Toc199339651"/>
      <w:bookmarkStart w:id="127" w:name="_Toc199339597"/>
      <w:r>
        <w:rPr>
          <w:rFonts w:hint="eastAsia"/>
        </w:rPr>
        <w:t>网络安全</w:t>
      </w:r>
      <w:bookmarkEnd w:id="125"/>
      <w:bookmarkEnd w:id="126"/>
      <w:bookmarkEnd w:id="127"/>
    </w:p>
    <w:p w14:paraId="79675896">
      <w:pPr>
        <w:pStyle w:val="65"/>
        <w:numPr>
          <w:ilvl w:val="3"/>
          <w:numId w:val="0"/>
        </w:numPr>
        <w:spacing w:before="120" w:after="120"/>
        <w:ind w:firstLine="420" w:firstLineChars="200"/>
      </w:pPr>
      <w:r>
        <w:rPr>
          <w:rFonts w:hint="eastAsia" w:ascii="宋体" w:hAnsi="宋体" w:eastAsia="宋体" w:cs="宋体"/>
        </w:rPr>
        <w:t>系统需构建网络安全主动防御体系，杜绝数据泄露、系统被入侵、识别功能中断等网络安全事件发生。</w:t>
      </w:r>
    </w:p>
    <w:p w14:paraId="0CBE5C72">
      <w:pPr>
        <w:pStyle w:val="104"/>
        <w:spacing w:before="240" w:after="240"/>
      </w:pPr>
      <w:bookmarkStart w:id="128" w:name="_Toc199339640"/>
      <w:bookmarkStart w:id="129" w:name="_Toc199339528"/>
      <w:bookmarkStart w:id="130" w:name="_Toc199339551"/>
      <w:bookmarkStart w:id="131" w:name="_Toc199339586"/>
      <w:r>
        <w:rPr>
          <w:rFonts w:hint="eastAsia"/>
        </w:rPr>
        <w:t>数据分析与识别</w:t>
      </w:r>
      <w:bookmarkEnd w:id="128"/>
      <w:bookmarkEnd w:id="129"/>
      <w:bookmarkEnd w:id="130"/>
      <w:bookmarkEnd w:id="131"/>
    </w:p>
    <w:p w14:paraId="7DED2EE4">
      <w:pPr>
        <w:pStyle w:val="105"/>
        <w:spacing w:before="120" w:after="120"/>
      </w:pPr>
      <w:bookmarkStart w:id="132" w:name="_Toc199339575"/>
      <w:bookmarkStart w:id="133" w:name="_Toc199339517"/>
      <w:bookmarkStart w:id="134" w:name="_Toc199339629"/>
      <w:bookmarkStart w:id="135" w:name="_Toc199339529"/>
      <w:bookmarkStart w:id="136" w:name="_Toc199339587"/>
      <w:bookmarkStart w:id="137" w:name="_Toc199339641"/>
      <w:r>
        <w:rPr>
          <w:rFonts w:hint="eastAsia"/>
        </w:rPr>
        <w:t>数据分析</w:t>
      </w:r>
      <w:bookmarkEnd w:id="132"/>
      <w:bookmarkEnd w:id="133"/>
      <w:bookmarkEnd w:id="134"/>
    </w:p>
    <w:p w14:paraId="0F2CEAD9">
      <w:pPr>
        <w:pStyle w:val="65"/>
        <w:spacing w:before="120" w:after="120"/>
        <w:rPr>
          <w:rFonts w:hint="eastAsia" w:ascii="宋体" w:hAnsi="宋体" w:eastAsia="宋体" w:cs="宋体"/>
        </w:rPr>
      </w:pPr>
      <w:r>
        <w:rPr>
          <w:rFonts w:hint="eastAsia" w:ascii="宋体" w:hAnsi="宋体" w:eastAsia="宋体" w:cs="宋体"/>
        </w:rPr>
        <w:t>系统能够基于智能分析算法，准确识别人员、车辆、船舶、货物等目标的身份信息，并及时做出正确与否的判断。</w:t>
      </w:r>
    </w:p>
    <w:p w14:paraId="493A50C9">
      <w:pPr>
        <w:pStyle w:val="65"/>
        <w:spacing w:before="120" w:after="120"/>
        <w:rPr>
          <w:rFonts w:hint="eastAsia" w:ascii="宋体" w:hAnsi="宋体" w:eastAsia="宋体" w:cs="宋体"/>
        </w:rPr>
      </w:pPr>
      <w:r>
        <w:rPr>
          <w:rFonts w:hint="eastAsia" w:ascii="宋体" w:hAnsi="宋体" w:eastAsia="宋体" w:cs="宋体"/>
        </w:rPr>
        <w:t>系统能够基于智能分析算法，对监测目标的行为进行分析，判断是否存在异常行为，并及时发出警报信号。</w:t>
      </w:r>
    </w:p>
    <w:p w14:paraId="5D3A1392">
      <w:pPr>
        <w:pStyle w:val="65"/>
        <w:spacing w:before="120" w:after="120"/>
      </w:pPr>
      <w:r>
        <w:rPr>
          <w:rFonts w:hint="eastAsia" w:ascii="宋体" w:hAnsi="宋体" w:eastAsia="宋体" w:cs="宋体"/>
        </w:rPr>
        <w:t>系统能够对采集到的数据进行深度分析，生成各类统计报表和趋势分析图表，为港口的安全管理、运营调度等提供决策支持。</w:t>
      </w:r>
    </w:p>
    <w:p w14:paraId="180DBF1A">
      <w:pPr>
        <w:pStyle w:val="105"/>
        <w:spacing w:before="120" w:after="120"/>
      </w:pPr>
      <w:r>
        <w:rPr>
          <w:rFonts w:hint="eastAsia"/>
        </w:rPr>
        <w:t>识别</w:t>
      </w:r>
      <w:bookmarkEnd w:id="135"/>
      <w:bookmarkEnd w:id="136"/>
      <w:bookmarkEnd w:id="137"/>
      <w:r>
        <w:rPr>
          <w:rFonts w:hint="eastAsia"/>
        </w:rPr>
        <w:t>准确率</w:t>
      </w:r>
    </w:p>
    <w:p w14:paraId="626913F9">
      <w:pPr>
        <w:pStyle w:val="65"/>
        <w:spacing w:before="120" w:after="120"/>
      </w:pPr>
      <w:r>
        <w:rPr>
          <w:rFonts w:hint="eastAsia" w:ascii="宋体" w:hAnsi="宋体" w:eastAsia="宋体" w:cs="宋体"/>
        </w:rPr>
        <w:t>一般情况下，人脸和车辆识别准确率应达到 98% 以上。</w:t>
      </w:r>
    </w:p>
    <w:p w14:paraId="743014E4">
      <w:pPr>
        <w:pStyle w:val="65"/>
        <w:spacing w:before="120" w:after="120"/>
        <w:rPr>
          <w:rFonts w:hint="eastAsia" w:ascii="宋体" w:hAnsi="宋体" w:eastAsia="宋体" w:cs="宋体"/>
        </w:rPr>
      </w:pPr>
      <w:r>
        <w:rPr>
          <w:rFonts w:hint="eastAsia" w:ascii="宋体" w:hAnsi="宋体" w:eastAsia="宋体" w:cs="宋体"/>
        </w:rPr>
        <w:t>货物识别准确率可根据具体的识别任务和要求而定，一般应在 90% 以上。</w:t>
      </w:r>
    </w:p>
    <w:p w14:paraId="739E5C12">
      <w:pPr>
        <w:pStyle w:val="65"/>
        <w:spacing w:before="120" w:after="120"/>
      </w:pPr>
      <w:r>
        <w:rPr>
          <w:rFonts w:hint="eastAsia" w:ascii="宋体" w:hAnsi="宋体" w:eastAsia="宋体" w:cs="宋体"/>
        </w:rPr>
        <w:t>对于一些关键区域和重要目标的识别，识别准确率可根据需要制定更高要求。</w:t>
      </w:r>
    </w:p>
    <w:p w14:paraId="1D3F1873">
      <w:pPr>
        <w:pStyle w:val="65"/>
        <w:spacing w:before="120" w:after="120"/>
        <w:rPr>
          <w:rFonts w:hint="eastAsia" w:ascii="宋体" w:hAnsi="宋体" w:eastAsia="宋体" w:cs="宋体"/>
        </w:rPr>
      </w:pPr>
      <w:r>
        <w:rPr>
          <w:rFonts w:hint="eastAsia" w:ascii="宋体" w:hAnsi="宋体" w:eastAsia="宋体" w:cs="宋体"/>
        </w:rPr>
        <w:t>漏报率应低于 1%，误报率应低于 5%。</w:t>
      </w:r>
    </w:p>
    <w:p w14:paraId="1899BBA3">
      <w:pPr>
        <w:pStyle w:val="105"/>
        <w:spacing w:before="120" w:after="120"/>
      </w:pPr>
      <w:bookmarkStart w:id="138" w:name="_Toc199339642"/>
      <w:bookmarkStart w:id="139" w:name="_Toc199339530"/>
      <w:bookmarkStart w:id="140" w:name="_Toc199339588"/>
      <w:r>
        <w:rPr>
          <w:rFonts w:hint="eastAsia"/>
        </w:rPr>
        <w:t>识别速度</w:t>
      </w:r>
      <w:bookmarkEnd w:id="138"/>
      <w:bookmarkEnd w:id="139"/>
      <w:bookmarkEnd w:id="140"/>
    </w:p>
    <w:p w14:paraId="5CC0171B">
      <w:pPr>
        <w:pStyle w:val="56"/>
        <w:ind w:firstLine="420"/>
        <w:rPr>
          <w:rFonts w:hint="eastAsia" w:ascii="宋体" w:hAnsi="宋体" w:cs="宋体"/>
        </w:rPr>
      </w:pPr>
      <w:r>
        <w:rPr>
          <w:rFonts w:hint="eastAsia" w:ascii="宋体" w:hAnsi="宋体" w:cs="宋体"/>
        </w:rPr>
        <w:t>系统需要具备快速的识别能力，以满足港口高效运营的需求。</w:t>
      </w:r>
    </w:p>
    <w:p w14:paraId="50435E2B">
      <w:pPr>
        <w:pStyle w:val="56"/>
        <w:ind w:firstLine="420"/>
        <w:rPr>
          <w:rFonts w:hint="eastAsia" w:ascii="宋体" w:hAnsi="宋体" w:cs="宋体"/>
        </w:rPr>
      </w:pPr>
      <w:r>
        <w:rPr>
          <w:rFonts w:hint="eastAsia" w:ascii="宋体" w:hAnsi="宋体" w:cs="宋体"/>
        </w:rPr>
        <w:t>在车辆进出港口的门禁系统中，车辆识别的速度应在 1-2 秒内完成，确保车辆能够快速通行，不影响港口的交通流量。</w:t>
      </w:r>
    </w:p>
    <w:p w14:paraId="43807F06">
      <w:pPr>
        <w:pStyle w:val="56"/>
        <w:ind w:firstLine="420"/>
        <w:rPr>
          <w:rFonts w:hint="eastAsia" w:ascii="黑体" w:hAnsi="黑体" w:eastAsia="黑体"/>
        </w:rPr>
      </w:pPr>
      <w:r>
        <w:rPr>
          <w:rFonts w:hint="eastAsia" w:ascii="宋体" w:hAnsi="宋体" w:cs="宋体"/>
        </w:rPr>
        <w:t>在人员通行控制场景中，人脸识别的速度应在 1-3 秒内，保证人员能够顺畅地通过安检通道。</w:t>
      </w:r>
    </w:p>
    <w:p w14:paraId="3395D622">
      <w:pPr>
        <w:pStyle w:val="104"/>
        <w:spacing w:before="240" w:after="240"/>
      </w:pPr>
      <w:bookmarkStart w:id="141" w:name="_Toc199339553"/>
      <w:bookmarkStart w:id="142" w:name="_Toc199339647"/>
      <w:bookmarkStart w:id="143" w:name="_Toc199339593"/>
      <w:bookmarkStart w:id="144" w:name="_Toc199339535"/>
      <w:bookmarkStart w:id="145" w:name="_Toc199339531"/>
      <w:bookmarkStart w:id="146" w:name="_Toc199339643"/>
      <w:bookmarkStart w:id="147" w:name="_Toc199339552"/>
      <w:bookmarkStart w:id="148" w:name="_Toc199339589"/>
      <w:r>
        <w:rPr>
          <w:rFonts w:hint="eastAsia"/>
        </w:rPr>
        <w:t>指挥控制与显示</w:t>
      </w:r>
      <w:bookmarkEnd w:id="141"/>
      <w:bookmarkEnd w:id="142"/>
      <w:bookmarkEnd w:id="143"/>
      <w:bookmarkEnd w:id="144"/>
    </w:p>
    <w:p w14:paraId="16449EBC">
      <w:pPr>
        <w:pStyle w:val="105"/>
        <w:spacing w:before="120" w:after="120"/>
      </w:pPr>
      <w:bookmarkStart w:id="149" w:name="_Toc199339594"/>
      <w:bookmarkStart w:id="150" w:name="_Toc199339648"/>
      <w:bookmarkStart w:id="151" w:name="_Toc199339536"/>
      <w:r>
        <w:rPr>
          <w:rFonts w:hint="eastAsia"/>
        </w:rPr>
        <w:t>指挥控制</w:t>
      </w:r>
    </w:p>
    <w:p w14:paraId="618A579B">
      <w:pPr>
        <w:pStyle w:val="56"/>
        <w:ind w:firstLine="420"/>
        <w:rPr>
          <w:rFonts w:hint="eastAsia" w:ascii="宋体" w:hAnsi="宋体" w:cs="宋体"/>
        </w:rPr>
      </w:pPr>
      <w:r>
        <w:rPr>
          <w:rFonts w:hint="eastAsia" w:ascii="宋体" w:hAnsi="宋体" w:cs="宋体"/>
        </w:rPr>
        <w:t>指挥控制包括指挥控制操作台和应急指挥调度系统。</w:t>
      </w:r>
    </w:p>
    <w:p w14:paraId="134FAFD3">
      <w:pPr>
        <w:pStyle w:val="56"/>
        <w:ind w:firstLine="420"/>
        <w:rPr>
          <w:rFonts w:hint="eastAsia" w:ascii="宋体" w:hAnsi="宋体" w:cs="宋体"/>
        </w:rPr>
      </w:pPr>
      <w:r>
        <w:rPr>
          <w:rFonts w:hint="eastAsia" w:ascii="宋体" w:hAnsi="宋体" w:cs="宋体"/>
        </w:rPr>
        <w:t>指挥控制操作台需配置语音调度台，支持广播喊话和分组通话。</w:t>
      </w:r>
    </w:p>
    <w:p w14:paraId="7318F54F">
      <w:pPr>
        <w:pStyle w:val="56"/>
        <w:ind w:firstLine="420"/>
        <w:rPr>
          <w:rFonts w:hint="eastAsia" w:ascii="宋体" w:hAnsi="宋体" w:cs="宋体"/>
        </w:rPr>
      </w:pPr>
      <w:r>
        <w:rPr>
          <w:rFonts w:hint="eastAsia" w:ascii="宋体" w:hAnsi="宋体" w:cs="宋体"/>
        </w:rPr>
        <w:t>应急</w:t>
      </w:r>
      <w:r>
        <w:rPr>
          <w:rFonts w:ascii="宋体" w:hAnsi="宋体" w:cs="宋体"/>
        </w:rPr>
        <w:t>指挥调度系统</w:t>
      </w:r>
      <w:r>
        <w:rPr>
          <w:rFonts w:hint="eastAsia" w:ascii="宋体" w:hAnsi="宋体" w:cs="宋体"/>
        </w:rPr>
        <w:t>内置应急预案库，事件发生时可快速调取对应预案，生成事件处置清单。</w:t>
      </w:r>
    </w:p>
    <w:p w14:paraId="1F87D8BA">
      <w:pPr>
        <w:pStyle w:val="105"/>
        <w:spacing w:before="120" w:after="120"/>
      </w:pPr>
      <w:r>
        <w:rPr>
          <w:rFonts w:hint="eastAsia"/>
        </w:rPr>
        <w:t>显示</w:t>
      </w:r>
      <w:bookmarkEnd w:id="149"/>
      <w:bookmarkEnd w:id="150"/>
      <w:bookmarkEnd w:id="151"/>
    </w:p>
    <w:p w14:paraId="39922951">
      <w:pPr>
        <w:pStyle w:val="65"/>
        <w:spacing w:before="120" w:after="120"/>
        <w:rPr>
          <w:rFonts w:hint="eastAsia" w:ascii="宋体" w:hAnsi="宋体" w:eastAsia="宋体" w:cs="宋体"/>
        </w:rPr>
      </w:pPr>
      <w:r>
        <w:rPr>
          <w:rFonts w:hint="eastAsia" w:ascii="宋体" w:hAnsi="宋体" w:eastAsia="宋体" w:cs="宋体"/>
        </w:rPr>
        <w:t>显示设备包括监控中心大屏幕、安保人员办公电脑显示器和手持移动终端显示器。</w:t>
      </w:r>
    </w:p>
    <w:p w14:paraId="3747E8C9">
      <w:pPr>
        <w:pStyle w:val="65"/>
        <w:spacing w:before="120" w:after="120"/>
        <w:rPr>
          <w:rFonts w:hint="eastAsia" w:ascii="宋体" w:hAnsi="宋体" w:eastAsia="宋体" w:cs="宋体"/>
        </w:rPr>
      </w:pPr>
      <w:r>
        <w:rPr>
          <w:rFonts w:hint="eastAsia" w:ascii="宋体" w:hAnsi="宋体" w:eastAsia="宋体" w:cs="宋体"/>
        </w:rPr>
        <w:t>监控中心大屏幕需支持多屏联动，可以通过视频矩阵或图像处理器进行画面的切换、分割和组合。</w:t>
      </w:r>
    </w:p>
    <w:p w14:paraId="5CBA311F">
      <w:pPr>
        <w:pStyle w:val="65"/>
        <w:spacing w:before="120" w:after="120"/>
        <w:rPr>
          <w:rFonts w:hint="eastAsia" w:ascii="宋体" w:hAnsi="宋体" w:eastAsia="宋体" w:cs="宋体"/>
        </w:rPr>
      </w:pPr>
      <w:r>
        <w:rPr>
          <w:rFonts w:hint="eastAsia" w:ascii="宋体" w:hAnsi="宋体" w:eastAsia="宋体" w:cs="宋体"/>
        </w:rPr>
        <w:t>安保人员办公电脑可以根据其职责和分工，定制显示特定监控内容。</w:t>
      </w:r>
    </w:p>
    <w:p w14:paraId="6DFB64C0">
      <w:pPr>
        <w:pStyle w:val="65"/>
        <w:spacing w:before="120" w:after="120"/>
      </w:pPr>
      <w:r>
        <w:rPr>
          <w:rFonts w:hint="eastAsia" w:ascii="宋体" w:hAnsi="宋体" w:eastAsia="宋体" w:cs="宋体"/>
        </w:rPr>
        <w:t>安保人员手持移动终端可查看实时监控画面、接收报警信息，并进行一些简单的安防操作。</w:t>
      </w:r>
    </w:p>
    <w:p w14:paraId="60550891">
      <w:pPr>
        <w:pStyle w:val="104"/>
        <w:spacing w:before="240" w:after="240"/>
      </w:pPr>
      <w:r>
        <w:rPr>
          <w:rFonts w:hint="eastAsia"/>
        </w:rPr>
        <w:t>预警与</w:t>
      </w:r>
      <w:bookmarkEnd w:id="145"/>
      <w:bookmarkEnd w:id="146"/>
      <w:bookmarkEnd w:id="147"/>
      <w:bookmarkEnd w:id="148"/>
      <w:r>
        <w:rPr>
          <w:rFonts w:hint="eastAsia"/>
        </w:rPr>
        <w:t>联动</w:t>
      </w:r>
    </w:p>
    <w:p w14:paraId="39369564">
      <w:pPr>
        <w:pStyle w:val="105"/>
        <w:spacing w:before="120" w:after="120"/>
      </w:pPr>
      <w:bookmarkStart w:id="152" w:name="_Toc199339532"/>
      <w:bookmarkStart w:id="153" w:name="_Toc199339590"/>
      <w:bookmarkStart w:id="154" w:name="_Toc199339644"/>
      <w:r>
        <w:rPr>
          <w:rFonts w:hint="eastAsia"/>
        </w:rPr>
        <w:t>预警功能</w:t>
      </w:r>
      <w:bookmarkEnd w:id="152"/>
      <w:bookmarkEnd w:id="153"/>
      <w:bookmarkEnd w:id="154"/>
    </w:p>
    <w:p w14:paraId="7E0DFAAF">
      <w:pPr>
        <w:pStyle w:val="56"/>
        <w:ind w:firstLine="420"/>
        <w:rPr>
          <w:rFonts w:hint="eastAsia" w:ascii="黑体" w:hAnsi="黑体" w:eastAsia="黑体"/>
        </w:rPr>
      </w:pPr>
      <w:r>
        <w:rPr>
          <w:rFonts w:hint="eastAsia" w:ascii="宋体" w:hAnsi="宋体" w:cs="宋体"/>
        </w:rPr>
        <w:t>系统需具备预警功能。当系统识别到风险或异常情况时，可及时触发预警功能，实现主动防御。</w:t>
      </w:r>
    </w:p>
    <w:p w14:paraId="79571836">
      <w:pPr>
        <w:pStyle w:val="105"/>
        <w:spacing w:before="120" w:after="120"/>
      </w:pPr>
      <w:bookmarkStart w:id="155" w:name="_Toc199339645"/>
      <w:bookmarkStart w:id="156" w:name="_Toc199339591"/>
      <w:bookmarkStart w:id="157" w:name="_Toc199339533"/>
      <w:r>
        <w:rPr>
          <w:rFonts w:hint="eastAsia"/>
        </w:rPr>
        <w:t>预警方式</w:t>
      </w:r>
      <w:bookmarkEnd w:id="155"/>
      <w:bookmarkEnd w:id="156"/>
      <w:bookmarkEnd w:id="157"/>
    </w:p>
    <w:p w14:paraId="1D48CD93">
      <w:pPr>
        <w:pStyle w:val="65"/>
        <w:numPr>
          <w:ilvl w:val="3"/>
          <w:numId w:val="0"/>
        </w:numPr>
        <w:spacing w:before="120" w:after="120"/>
        <w:ind w:firstLine="420" w:firstLineChars="200"/>
        <w:rPr>
          <w:rFonts w:hint="eastAsia" w:ascii="宋体" w:hAnsi="宋体" w:eastAsia="宋体" w:cs="宋体"/>
        </w:rPr>
      </w:pPr>
      <w:r>
        <w:rPr>
          <w:rFonts w:hint="eastAsia" w:ascii="宋体" w:hAnsi="宋体" w:eastAsia="宋体" w:cs="宋体"/>
        </w:rPr>
        <w:t>预警方式包括声音报警、灯光闪烁、手机短信、电子邮件等。</w:t>
      </w:r>
    </w:p>
    <w:p w14:paraId="0D0340EB">
      <w:pPr>
        <w:pStyle w:val="105"/>
        <w:spacing w:before="120" w:after="120"/>
      </w:pPr>
      <w:bookmarkStart w:id="158" w:name="_Toc199339646"/>
      <w:bookmarkStart w:id="159" w:name="_Toc199339534"/>
      <w:bookmarkStart w:id="160" w:name="_Toc199339592"/>
      <w:r>
        <w:rPr>
          <w:rFonts w:hint="eastAsia"/>
        </w:rPr>
        <w:t>联动</w:t>
      </w:r>
      <w:bookmarkEnd w:id="158"/>
      <w:bookmarkEnd w:id="159"/>
      <w:bookmarkEnd w:id="160"/>
      <w:r>
        <w:rPr>
          <w:rFonts w:hint="eastAsia"/>
        </w:rPr>
        <w:t>功能</w:t>
      </w:r>
    </w:p>
    <w:p w14:paraId="50DE39E8">
      <w:pPr>
        <w:pStyle w:val="65"/>
        <w:numPr>
          <w:ilvl w:val="3"/>
          <w:numId w:val="0"/>
        </w:numPr>
        <w:spacing w:before="120" w:after="120"/>
        <w:ind w:firstLine="420" w:firstLineChars="200"/>
        <w:rPr>
          <w:rFonts w:hint="eastAsia" w:ascii="宋体" w:hAnsi="宋体" w:eastAsia="宋体" w:cs="宋体"/>
        </w:rPr>
      </w:pPr>
      <w:r>
        <w:rPr>
          <w:rFonts w:hint="eastAsia" w:ascii="宋体" w:hAnsi="宋体" w:eastAsia="宋体" w:cs="宋体"/>
        </w:rPr>
        <w:t>系统需具备联动功能。当系统预警后，无需人工干预，即可自动触发预设联动逻辑（如报警、设备控制、资源调度等），快速控制风险扩散。</w:t>
      </w:r>
    </w:p>
    <w:p w14:paraId="78605E82">
      <w:pPr>
        <w:pStyle w:val="105"/>
        <w:spacing w:before="120" w:after="120"/>
      </w:pPr>
      <w:r>
        <w:rPr>
          <w:rFonts w:hint="eastAsia"/>
        </w:rPr>
        <w:t>联动响应时间</w:t>
      </w:r>
    </w:p>
    <w:p w14:paraId="24168A47">
      <w:pPr>
        <w:pStyle w:val="65"/>
        <w:numPr>
          <w:ilvl w:val="3"/>
          <w:numId w:val="0"/>
        </w:numPr>
        <w:spacing w:before="120" w:after="120"/>
        <w:ind w:firstLine="420" w:firstLineChars="200"/>
        <w:rPr>
          <w:rFonts w:hint="eastAsia" w:ascii="宋体" w:hAnsi="宋体" w:eastAsia="宋体" w:cs="宋体"/>
        </w:rPr>
      </w:pPr>
      <w:r>
        <w:rPr>
          <w:rFonts w:hint="eastAsia" w:ascii="宋体" w:hAnsi="宋体" w:eastAsia="宋体" w:cs="宋体"/>
        </w:rPr>
        <w:t>一般情况下，联动响应时间应不超过3秒。涉及到人员生命安全和运营安全的紧急情况下，联动响应时间应不超过1 秒。</w:t>
      </w:r>
    </w:p>
    <w:bookmarkEnd w:id="27"/>
    <w:p w14:paraId="0FC392BF">
      <w:pPr>
        <w:pStyle w:val="56"/>
        <w:ind w:firstLine="0" w:firstLineChars="0"/>
        <w:jc w:val="center"/>
      </w:pPr>
      <w:bookmarkStart w:id="161" w:name="BookMark8"/>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1"/>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8516C">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5054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B99C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8D12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0FA3C">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812F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FE4E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585EC">
    <w:pPr>
      <w:pStyle w:val="61"/>
      <w:rPr>
        <w:rFonts w:hint="eastAsia"/>
      </w:rPr>
    </w:pPr>
    <w:r>
      <w:fldChar w:fldCharType="begin"/>
    </w:r>
    <w:r>
      <w:instrText xml:space="preserve"> STYLEREF  标准文件_文件编号  \* MERGEFORMAT </w:instrText>
    </w:r>
    <w:r>
      <w:fldChar w:fldCharType="separate"/>
    </w:r>
    <w:r>
      <w:t>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6511">
    <w:pPr>
      <w:pStyle w:val="18"/>
      <w:jc w:val="right"/>
    </w:pPr>
    <w:r>
      <w:fldChar w:fldCharType="begin"/>
    </w:r>
    <w:r>
      <w:instrText xml:space="preserve"> STYLEREF  标准文件_文件编号  \* MERGEFORMAT </w:instrText>
    </w:r>
    <w:r>
      <w:fldChar w:fldCharType="separate"/>
    </w:r>
    <w:r>
      <w:t>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attachedTemplate r:id="rId1"/>
  <w:documentProtection w:edit="forms" w:enforcement="1" w:cryptProviderType="rsaAES" w:cryptAlgorithmClass="hash" w:cryptAlgorithmType="typeAny" w:cryptAlgorithmSid="14" w:cryptSpinCount="100000" w:hash="g6GDZI0rYbAEQ8lyTPnPpZLDH32701eIt1ajQRwM9EHeA6PRKqv/9yN9Nt/kSP8sHHrRaEKWDRmkfYJNIiOQ+w==" w:salt="/W6L309VWV4ts4hPDJUPn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96"/>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996"/>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27853"/>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C7B"/>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4E28"/>
    <w:rsid w:val="005B51CE"/>
    <w:rsid w:val="005B5885"/>
    <w:rsid w:val="005B5CD7"/>
    <w:rsid w:val="005B6CF6"/>
    <w:rsid w:val="005B7422"/>
    <w:rsid w:val="005C29B8"/>
    <w:rsid w:val="005C5F21"/>
    <w:rsid w:val="005C7156"/>
    <w:rsid w:val="005D0C75"/>
    <w:rsid w:val="005D4171"/>
    <w:rsid w:val="005D6A95"/>
    <w:rsid w:val="005D6B2C"/>
    <w:rsid w:val="005D6D9C"/>
    <w:rsid w:val="005E1C89"/>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07A"/>
    <w:rsid w:val="00B07242"/>
    <w:rsid w:val="00B10534"/>
    <w:rsid w:val="00B113DB"/>
    <w:rsid w:val="00B11D8A"/>
    <w:rsid w:val="00B12981"/>
    <w:rsid w:val="00B147DD"/>
    <w:rsid w:val="00B156FD"/>
    <w:rsid w:val="00B21F61"/>
    <w:rsid w:val="00B2312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DD3"/>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96D"/>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3EFA"/>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5A25"/>
    <w:rsid w:val="00F46496"/>
    <w:rsid w:val="00F474D0"/>
    <w:rsid w:val="00F50179"/>
    <w:rsid w:val="00F515EE"/>
    <w:rsid w:val="00F56511"/>
    <w:rsid w:val="00F6194E"/>
    <w:rsid w:val="00F623AC"/>
    <w:rsid w:val="00F6412A"/>
    <w:rsid w:val="00F65893"/>
    <w:rsid w:val="00F66A4A"/>
    <w:rsid w:val="00F71E22"/>
    <w:rsid w:val="00F72142"/>
    <w:rsid w:val="00F7276B"/>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3F8"/>
    <w:rsid w:val="00FF7CE4"/>
    <w:rsid w:val="00FF7E39"/>
    <w:rsid w:val="0116312F"/>
    <w:rsid w:val="01B464A4"/>
    <w:rsid w:val="03DE797F"/>
    <w:rsid w:val="03EA08A3"/>
    <w:rsid w:val="07DE071F"/>
    <w:rsid w:val="0BEC6947"/>
    <w:rsid w:val="0E5D2BF2"/>
    <w:rsid w:val="129245E1"/>
    <w:rsid w:val="13086650"/>
    <w:rsid w:val="13AA7707"/>
    <w:rsid w:val="166E0EC0"/>
    <w:rsid w:val="172A195F"/>
    <w:rsid w:val="1883469D"/>
    <w:rsid w:val="189C687F"/>
    <w:rsid w:val="1A7E443C"/>
    <w:rsid w:val="1AC66DC6"/>
    <w:rsid w:val="1BCB0A96"/>
    <w:rsid w:val="1DE44A46"/>
    <w:rsid w:val="1E7A7042"/>
    <w:rsid w:val="21635AC5"/>
    <w:rsid w:val="22160D89"/>
    <w:rsid w:val="23F6340C"/>
    <w:rsid w:val="24AF35D2"/>
    <w:rsid w:val="270E195B"/>
    <w:rsid w:val="281C0F26"/>
    <w:rsid w:val="2A352828"/>
    <w:rsid w:val="2CD5171F"/>
    <w:rsid w:val="2F0957D2"/>
    <w:rsid w:val="30006BD5"/>
    <w:rsid w:val="30A52F82"/>
    <w:rsid w:val="334B460B"/>
    <w:rsid w:val="34A35D81"/>
    <w:rsid w:val="353C245D"/>
    <w:rsid w:val="35A26038"/>
    <w:rsid w:val="37054AD1"/>
    <w:rsid w:val="37324D47"/>
    <w:rsid w:val="37A24077"/>
    <w:rsid w:val="39553088"/>
    <w:rsid w:val="39FD5F33"/>
    <w:rsid w:val="3A6E436D"/>
    <w:rsid w:val="3BF734F2"/>
    <w:rsid w:val="3E353EED"/>
    <w:rsid w:val="3F7A2500"/>
    <w:rsid w:val="41B03594"/>
    <w:rsid w:val="41D103D1"/>
    <w:rsid w:val="42FE07F6"/>
    <w:rsid w:val="45703A5D"/>
    <w:rsid w:val="45CD0EAF"/>
    <w:rsid w:val="46276812"/>
    <w:rsid w:val="46D06EA9"/>
    <w:rsid w:val="48340255"/>
    <w:rsid w:val="4AB10DA0"/>
    <w:rsid w:val="4ABB577A"/>
    <w:rsid w:val="4AFB769C"/>
    <w:rsid w:val="4EC62B98"/>
    <w:rsid w:val="52734B8D"/>
    <w:rsid w:val="550F3292"/>
    <w:rsid w:val="56000B25"/>
    <w:rsid w:val="5B231846"/>
    <w:rsid w:val="5BC56459"/>
    <w:rsid w:val="5BDB7951"/>
    <w:rsid w:val="5C1967A5"/>
    <w:rsid w:val="5D107BA8"/>
    <w:rsid w:val="5D3C62B3"/>
    <w:rsid w:val="5E227B93"/>
    <w:rsid w:val="5EA26F25"/>
    <w:rsid w:val="5F821357"/>
    <w:rsid w:val="5FB276FB"/>
    <w:rsid w:val="609D5BF6"/>
    <w:rsid w:val="61404326"/>
    <w:rsid w:val="615A7958"/>
    <w:rsid w:val="636C5CA4"/>
    <w:rsid w:val="65F05029"/>
    <w:rsid w:val="67873F56"/>
    <w:rsid w:val="67DC301C"/>
    <w:rsid w:val="683F57E5"/>
    <w:rsid w:val="6B052656"/>
    <w:rsid w:val="6B637A3C"/>
    <w:rsid w:val="6BC32DA0"/>
    <w:rsid w:val="6D262319"/>
    <w:rsid w:val="6DBF78DA"/>
    <w:rsid w:val="6E076DA5"/>
    <w:rsid w:val="6E82642B"/>
    <w:rsid w:val="6FCD4530"/>
    <w:rsid w:val="6FDC7204"/>
    <w:rsid w:val="71CE0144"/>
    <w:rsid w:val="725F0F5E"/>
    <w:rsid w:val="726F5270"/>
    <w:rsid w:val="7436113E"/>
    <w:rsid w:val="766C3C49"/>
    <w:rsid w:val="76946CFC"/>
    <w:rsid w:val="788A485A"/>
    <w:rsid w:val="791A766E"/>
    <w:rsid w:val="7A4845C8"/>
    <w:rsid w:val="7BA94FF8"/>
    <w:rsid w:val="7DA755C3"/>
    <w:rsid w:val="7F376DBE"/>
    <w:rsid w:val="7F8A3392"/>
    <w:rsid w:val="7FCE1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J\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B6EA98C63BC4C99943F8D2DEF165CB3"/>
        <w:style w:val=""/>
        <w:category>
          <w:name w:val="常规"/>
          <w:gallery w:val="placeholder"/>
        </w:category>
        <w:types>
          <w:type w:val="bbPlcHdr"/>
        </w:types>
        <w:behaviors>
          <w:behavior w:val="content"/>
        </w:behaviors>
        <w:description w:val=""/>
        <w:guid w:val="{BC0DC88F-29E1-4593-B2DC-E5CC76D902BE}"/>
      </w:docPartPr>
      <w:docPartBody>
        <w:p w14:paraId="04C9EACC">
          <w:pPr>
            <w:pStyle w:val="5"/>
            <w:rPr>
              <w:rFonts w:hint="eastAsia"/>
            </w:rPr>
          </w:pPr>
          <w:r>
            <w:rPr>
              <w:rStyle w:val="4"/>
              <w:rFonts w:hint="eastAsia"/>
            </w:rPr>
            <w:t>单击或点击此处输入文字。</w:t>
          </w:r>
        </w:p>
      </w:docPartBody>
    </w:docPart>
    <w:docPart>
      <w:docPartPr>
        <w:name w:val="41FDD58255464820AC7DC1FED07EA817"/>
        <w:style w:val=""/>
        <w:category>
          <w:name w:val="常规"/>
          <w:gallery w:val="placeholder"/>
        </w:category>
        <w:types>
          <w:type w:val="bbPlcHdr"/>
        </w:types>
        <w:behaviors>
          <w:behavior w:val="content"/>
        </w:behaviors>
        <w:description w:val=""/>
        <w:guid w:val="{B9E36435-CE0E-4A51-B95F-3B6BD08ADD7B}"/>
      </w:docPartPr>
      <w:docPartBody>
        <w:p w14:paraId="611B7124">
          <w:pPr>
            <w:pStyle w:val="6"/>
            <w:rPr>
              <w:rFonts w:hint="eastAsia"/>
            </w:rPr>
          </w:pPr>
          <w:r>
            <w:rPr>
              <w:rStyle w:val="4"/>
              <w:rFonts w:hint="eastAsia"/>
            </w:rPr>
            <w:t>选择一项。</w:t>
          </w:r>
        </w:p>
      </w:docPartBody>
    </w:docPart>
    <w:docPart>
      <w:docPartPr>
        <w:name w:val="DE8D67EB8A0047248F29C825F69440DF"/>
        <w:style w:val=""/>
        <w:category>
          <w:name w:val="常规"/>
          <w:gallery w:val="placeholder"/>
        </w:category>
        <w:types>
          <w:type w:val="bbPlcHdr"/>
        </w:types>
        <w:behaviors>
          <w:behavior w:val="content"/>
        </w:behaviors>
        <w:description w:val=""/>
        <w:guid w:val="{E2EB1AD5-45D0-4B0C-B1E2-744462C9F7C9}"/>
      </w:docPartPr>
      <w:docPartBody>
        <w:p w14:paraId="49D79A35">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7AB"/>
    <w:rsid w:val="000F27AB"/>
    <w:rsid w:val="00950FF2"/>
    <w:rsid w:val="00C4766B"/>
    <w:rsid w:val="00F45A25"/>
    <w:rsid w:val="00FF7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B6EA98C63BC4C99943F8D2DEF165CB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1FDD58255464820AC7DC1FED07EA81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E8D67EB8A0047248F29C825F69440D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8</Pages>
  <Words>3118</Words>
  <Characters>3426</Characters>
  <Lines>34</Lines>
  <Paragraphs>9</Paragraphs>
  <TotalTime>7</TotalTime>
  <ScaleCrop>false</ScaleCrop>
  <LinksUpToDate>false</LinksUpToDate>
  <CharactersWithSpaces>3560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2025-10-16T07:10:00Z</dcterms:created>
  <dc:creator>DELL</dc:creator>
  <cp:lastModifiedBy>童欣</cp:lastModifiedBy>
  <cp:lastPrinted>2025-09-16T00:43:00Z</cp:lastPrinted>
  <dcterms:modified xsi:type="dcterms:W3CDTF">2025-10-20T05:56:04Z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eyJoZGlkIjoiYmIyNjQ5ODlkYWU1MTFmZjlhNTc2MjUxYjhiZTZhYTkiLCJ1c2VySWQiOiI1MzIyNTg0MDQifQ==</vt:lpwstr>
  </property>
  <property fmtid="{D5CDD505-2E9C-101B-9397-08002B2CF9AE}" pid="15" name="KSOProductBuildVer">
    <vt:lpwstr>2052-12.1.0.23125</vt:lpwstr>
  </property>
  <property fmtid="{D5CDD505-2E9C-101B-9397-08002B2CF9AE}" pid="16" name="ICV">
    <vt:lpwstr>49DEEE151A544BA390EBF6B3A07D60AD_13</vt:lpwstr>
  </property>
</Properties>
</file>