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gif" ContentType="image/gi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media/image17.webp" ContentType="image/webp"/>
  <Override PartName="/word/media/image19.webp" ContentType="image/webp"/>
  <Override PartName="/word/media/image20.webp" ContentType="image/webp"/>
  <Override PartName="/word/media/image37.webp" ContentType="image/webp"/>
  <Override PartName="/word/media/image38.webp" ContentType="image/webp"/>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9F24BE">
      <w:pPr>
        <w:pStyle w:val="6"/>
        <w:pageBreakBefore w:val="0"/>
        <w:kinsoku/>
        <w:wordWrap/>
        <w:overflowPunct/>
        <w:topLinePunct w:val="0"/>
        <w:bidi w:val="0"/>
        <w:spacing w:line="440" w:lineRule="exact"/>
        <w:ind w:left="0" w:right="0"/>
        <w:rPr>
          <w:rFonts w:hint="default" w:ascii="Times New Roman" w:hAnsi="Times New Roman" w:cs="Times New Roman"/>
          <w:sz w:val="20"/>
        </w:rPr>
      </w:pPr>
    </w:p>
    <w:p w14:paraId="49516A4F">
      <w:pPr>
        <w:pStyle w:val="6"/>
        <w:pageBreakBefore w:val="0"/>
        <w:kinsoku/>
        <w:wordWrap/>
        <w:overflowPunct/>
        <w:topLinePunct w:val="0"/>
        <w:bidi w:val="0"/>
        <w:spacing w:line="440" w:lineRule="exact"/>
        <w:ind w:left="0" w:right="0"/>
        <w:rPr>
          <w:rFonts w:hint="default" w:ascii="Times New Roman" w:hAnsi="Times New Roman" w:cs="Times New Roman"/>
          <w:sz w:val="20"/>
        </w:rPr>
      </w:pPr>
    </w:p>
    <w:p w14:paraId="53683802">
      <w:pPr>
        <w:pStyle w:val="6"/>
        <w:pageBreakBefore w:val="0"/>
        <w:kinsoku/>
        <w:wordWrap/>
        <w:overflowPunct/>
        <w:topLinePunct w:val="0"/>
        <w:bidi w:val="0"/>
        <w:spacing w:line="440" w:lineRule="exact"/>
        <w:ind w:left="0" w:right="0"/>
        <w:rPr>
          <w:rFonts w:hint="default" w:ascii="Times New Roman" w:hAnsi="Times New Roman" w:cs="Times New Roman"/>
          <w:sz w:val="20"/>
        </w:rPr>
      </w:pPr>
    </w:p>
    <w:p w14:paraId="6039805D">
      <w:pPr>
        <w:pStyle w:val="6"/>
        <w:pageBreakBefore w:val="0"/>
        <w:kinsoku/>
        <w:wordWrap/>
        <w:overflowPunct/>
        <w:topLinePunct w:val="0"/>
        <w:bidi w:val="0"/>
        <w:spacing w:line="440" w:lineRule="exact"/>
        <w:ind w:left="0" w:right="0"/>
        <w:rPr>
          <w:rFonts w:hint="default" w:ascii="Times New Roman" w:hAnsi="Times New Roman" w:cs="Times New Roman"/>
          <w:sz w:val="20"/>
        </w:rPr>
      </w:pPr>
    </w:p>
    <w:p w14:paraId="18FE4F3F">
      <w:pPr>
        <w:pStyle w:val="6"/>
        <w:pageBreakBefore w:val="0"/>
        <w:kinsoku/>
        <w:wordWrap/>
        <w:overflowPunct/>
        <w:topLinePunct w:val="0"/>
        <w:bidi w:val="0"/>
        <w:spacing w:line="440" w:lineRule="exact"/>
        <w:ind w:left="0" w:right="0"/>
        <w:rPr>
          <w:rFonts w:hint="default" w:ascii="Times New Roman" w:hAnsi="Times New Roman" w:cs="Times New Roman"/>
          <w:sz w:val="20"/>
        </w:rPr>
      </w:pPr>
    </w:p>
    <w:p w14:paraId="6F32E718">
      <w:pPr>
        <w:pStyle w:val="6"/>
        <w:pageBreakBefore w:val="0"/>
        <w:kinsoku/>
        <w:wordWrap/>
        <w:overflowPunct/>
        <w:topLinePunct w:val="0"/>
        <w:bidi w:val="0"/>
        <w:spacing w:line="440" w:lineRule="exact"/>
        <w:ind w:left="0" w:right="0"/>
        <w:rPr>
          <w:rFonts w:hint="default" w:ascii="Times New Roman" w:hAnsi="Times New Roman" w:cs="Times New Roman"/>
          <w:sz w:val="20"/>
        </w:rPr>
      </w:pPr>
    </w:p>
    <w:p w14:paraId="0ED8814D">
      <w:pPr>
        <w:pStyle w:val="6"/>
        <w:pageBreakBefore w:val="0"/>
        <w:kinsoku/>
        <w:wordWrap/>
        <w:overflowPunct/>
        <w:topLinePunct w:val="0"/>
        <w:bidi w:val="0"/>
        <w:spacing w:line="440" w:lineRule="exact"/>
        <w:ind w:left="0" w:right="0"/>
        <w:rPr>
          <w:rFonts w:hint="default" w:ascii="Times New Roman" w:hAnsi="Times New Roman" w:cs="Times New Roman"/>
          <w:sz w:val="20"/>
        </w:rPr>
      </w:pPr>
    </w:p>
    <w:p w14:paraId="22E52AEF">
      <w:pPr>
        <w:pStyle w:val="6"/>
        <w:pageBreakBefore w:val="0"/>
        <w:kinsoku/>
        <w:wordWrap/>
        <w:overflowPunct/>
        <w:topLinePunct w:val="0"/>
        <w:bidi w:val="0"/>
        <w:spacing w:line="440" w:lineRule="exact"/>
        <w:ind w:left="0" w:right="0"/>
        <w:rPr>
          <w:rFonts w:hint="default" w:ascii="Times New Roman" w:hAnsi="Times New Roman" w:cs="Times New Roman"/>
          <w:sz w:val="20"/>
        </w:rPr>
      </w:pPr>
    </w:p>
    <w:p w14:paraId="4CACE2FF">
      <w:pPr>
        <w:pageBreakBefore w:val="0"/>
        <w:kinsoku/>
        <w:wordWrap/>
        <w:overflowPunct/>
        <w:topLinePunct w:val="0"/>
        <w:bidi w:val="0"/>
        <w:spacing w:after="120" w:afterLines="50"/>
        <w:ind w:left="0" w:right="0"/>
        <w:jc w:val="center"/>
        <w:rPr>
          <w:rFonts w:hint="default" w:ascii="Times New Roman" w:hAnsi="Times New Roman" w:eastAsia="黑体" w:cs="Times New Roman"/>
          <w:b/>
          <w:sz w:val="48"/>
          <w:szCs w:val="48"/>
          <w:lang w:eastAsia="zh-CN"/>
        </w:rPr>
      </w:pPr>
      <w:r>
        <w:rPr>
          <w:rFonts w:hint="default" w:ascii="Times New Roman" w:hAnsi="Times New Roman" w:eastAsia="黑体" w:cs="Times New Roman"/>
          <w:b/>
          <w:sz w:val="48"/>
          <w:szCs w:val="48"/>
          <w:lang w:eastAsia="zh-CN"/>
        </w:rPr>
        <w:t>港口干散货运输车辆洗车平台要求</w:t>
      </w:r>
    </w:p>
    <w:p w14:paraId="1F8D381D">
      <w:pPr>
        <w:pageBreakBefore w:val="0"/>
        <w:kinsoku/>
        <w:wordWrap/>
        <w:overflowPunct/>
        <w:topLinePunct w:val="0"/>
        <w:bidi w:val="0"/>
        <w:spacing w:after="120" w:afterLines="50"/>
        <w:ind w:left="0" w:right="0"/>
        <w:jc w:val="center"/>
        <w:rPr>
          <w:rFonts w:hint="default" w:ascii="Times New Roman" w:hAnsi="Times New Roman" w:eastAsia="黑体" w:cs="Times New Roman"/>
          <w:b/>
          <w:sz w:val="48"/>
          <w:szCs w:val="48"/>
          <w:lang w:eastAsia="zh-CN"/>
        </w:rPr>
      </w:pPr>
      <w:r>
        <w:rPr>
          <w:rFonts w:hint="default" w:ascii="Times New Roman" w:hAnsi="Times New Roman" w:eastAsia="黑体" w:cs="Times New Roman"/>
          <w:b/>
          <w:sz w:val="48"/>
          <w:szCs w:val="48"/>
          <w:lang w:eastAsia="zh-CN"/>
        </w:rPr>
        <w:t>（征求意见稿）</w:t>
      </w:r>
    </w:p>
    <w:p w14:paraId="07AE8475">
      <w:pPr>
        <w:pageBreakBefore w:val="0"/>
        <w:kinsoku/>
        <w:wordWrap/>
        <w:overflowPunct/>
        <w:topLinePunct w:val="0"/>
        <w:bidi w:val="0"/>
        <w:ind w:left="0" w:right="0"/>
        <w:jc w:val="center"/>
        <w:rPr>
          <w:rFonts w:hint="default" w:ascii="Times New Roman" w:hAnsi="Times New Roman" w:eastAsia="黑体" w:cs="Times New Roman"/>
          <w:b/>
          <w:sz w:val="52"/>
          <w:szCs w:val="52"/>
          <w:lang w:eastAsia="zh-CN"/>
        </w:rPr>
      </w:pPr>
    </w:p>
    <w:p w14:paraId="4D1C40C3">
      <w:pPr>
        <w:pageBreakBefore w:val="0"/>
        <w:kinsoku/>
        <w:wordWrap/>
        <w:overflowPunct/>
        <w:topLinePunct w:val="0"/>
        <w:bidi w:val="0"/>
        <w:ind w:left="0" w:right="0"/>
        <w:jc w:val="center"/>
        <w:rPr>
          <w:rFonts w:hint="default" w:ascii="Times New Roman" w:hAnsi="Times New Roman" w:eastAsia="黑体" w:cs="Times New Roman"/>
          <w:b/>
          <w:sz w:val="48"/>
          <w:szCs w:val="48"/>
          <w:lang w:eastAsia="zh-CN"/>
        </w:rPr>
      </w:pPr>
      <w:r>
        <w:rPr>
          <w:rFonts w:hint="default" w:ascii="Times New Roman" w:hAnsi="Times New Roman" w:eastAsia="黑体" w:cs="Times New Roman"/>
          <w:b/>
          <w:sz w:val="48"/>
          <w:szCs w:val="48"/>
          <w:lang w:eastAsia="zh-CN"/>
        </w:rPr>
        <w:t>编制说明</w:t>
      </w:r>
    </w:p>
    <w:p w14:paraId="4FED64E3">
      <w:pPr>
        <w:pStyle w:val="6"/>
        <w:pageBreakBefore w:val="0"/>
        <w:kinsoku/>
        <w:wordWrap/>
        <w:overflowPunct/>
        <w:topLinePunct w:val="0"/>
        <w:bidi w:val="0"/>
        <w:ind w:left="0" w:right="0"/>
        <w:rPr>
          <w:rFonts w:hint="default" w:ascii="Times New Roman" w:hAnsi="Times New Roman" w:cs="Times New Roman"/>
          <w:b/>
          <w:sz w:val="42"/>
          <w:lang w:eastAsia="zh-CN"/>
        </w:rPr>
      </w:pPr>
    </w:p>
    <w:p w14:paraId="61442F74">
      <w:pPr>
        <w:pStyle w:val="6"/>
        <w:pageBreakBefore w:val="0"/>
        <w:kinsoku/>
        <w:wordWrap/>
        <w:overflowPunct/>
        <w:topLinePunct w:val="0"/>
        <w:bidi w:val="0"/>
        <w:ind w:left="0" w:right="0"/>
        <w:rPr>
          <w:rFonts w:hint="default" w:ascii="Times New Roman" w:hAnsi="Times New Roman" w:cs="Times New Roman"/>
          <w:b/>
          <w:sz w:val="42"/>
          <w:lang w:eastAsia="zh-CN"/>
        </w:rPr>
      </w:pPr>
    </w:p>
    <w:p w14:paraId="0FDD70ED">
      <w:pPr>
        <w:pStyle w:val="6"/>
        <w:pageBreakBefore w:val="0"/>
        <w:kinsoku/>
        <w:wordWrap/>
        <w:overflowPunct/>
        <w:topLinePunct w:val="0"/>
        <w:bidi w:val="0"/>
        <w:ind w:left="0" w:right="0"/>
        <w:rPr>
          <w:rFonts w:hint="default" w:ascii="Times New Roman" w:hAnsi="Times New Roman" w:cs="Times New Roman"/>
          <w:b/>
          <w:sz w:val="42"/>
          <w:lang w:eastAsia="zh-CN"/>
        </w:rPr>
      </w:pPr>
    </w:p>
    <w:p w14:paraId="3D41EA45">
      <w:pPr>
        <w:pStyle w:val="6"/>
        <w:pageBreakBefore w:val="0"/>
        <w:kinsoku/>
        <w:wordWrap/>
        <w:overflowPunct/>
        <w:topLinePunct w:val="0"/>
        <w:bidi w:val="0"/>
        <w:ind w:left="0" w:right="0"/>
        <w:rPr>
          <w:rFonts w:hint="default" w:ascii="Times New Roman" w:hAnsi="Times New Roman" w:cs="Times New Roman"/>
          <w:b/>
          <w:sz w:val="42"/>
          <w:lang w:eastAsia="zh-CN"/>
        </w:rPr>
      </w:pPr>
    </w:p>
    <w:p w14:paraId="24C53F6C">
      <w:pPr>
        <w:pStyle w:val="6"/>
        <w:pageBreakBefore w:val="0"/>
        <w:kinsoku/>
        <w:wordWrap/>
        <w:overflowPunct/>
        <w:topLinePunct w:val="0"/>
        <w:bidi w:val="0"/>
        <w:ind w:left="0" w:right="0"/>
        <w:rPr>
          <w:rFonts w:hint="default" w:ascii="Times New Roman" w:hAnsi="Times New Roman" w:cs="Times New Roman"/>
          <w:b/>
          <w:sz w:val="42"/>
          <w:lang w:eastAsia="zh-CN"/>
        </w:rPr>
      </w:pPr>
    </w:p>
    <w:p w14:paraId="3E1ECA5B">
      <w:pPr>
        <w:pStyle w:val="6"/>
        <w:pageBreakBefore w:val="0"/>
        <w:kinsoku/>
        <w:wordWrap/>
        <w:overflowPunct/>
        <w:topLinePunct w:val="0"/>
        <w:bidi w:val="0"/>
        <w:ind w:left="0" w:right="0"/>
        <w:rPr>
          <w:rFonts w:hint="default" w:ascii="Times New Roman" w:hAnsi="Times New Roman" w:cs="Times New Roman"/>
          <w:b/>
          <w:sz w:val="42"/>
          <w:lang w:eastAsia="zh-CN"/>
        </w:rPr>
      </w:pPr>
    </w:p>
    <w:p w14:paraId="3E45E0C5">
      <w:pPr>
        <w:pStyle w:val="6"/>
        <w:pageBreakBefore w:val="0"/>
        <w:kinsoku/>
        <w:wordWrap/>
        <w:overflowPunct/>
        <w:topLinePunct w:val="0"/>
        <w:bidi w:val="0"/>
        <w:ind w:left="0" w:right="0"/>
        <w:rPr>
          <w:rFonts w:hint="default" w:ascii="Times New Roman" w:hAnsi="Times New Roman" w:cs="Times New Roman"/>
          <w:b/>
          <w:sz w:val="42"/>
          <w:lang w:eastAsia="zh-CN"/>
        </w:rPr>
      </w:pPr>
    </w:p>
    <w:p w14:paraId="19CCCBFF">
      <w:pPr>
        <w:pStyle w:val="6"/>
        <w:pageBreakBefore w:val="0"/>
        <w:kinsoku/>
        <w:wordWrap/>
        <w:overflowPunct/>
        <w:topLinePunct w:val="0"/>
        <w:bidi w:val="0"/>
        <w:ind w:left="0" w:right="0"/>
        <w:rPr>
          <w:rFonts w:hint="default" w:ascii="Times New Roman" w:hAnsi="Times New Roman" w:cs="Times New Roman"/>
          <w:b/>
          <w:sz w:val="42"/>
          <w:lang w:eastAsia="zh-CN"/>
        </w:rPr>
      </w:pPr>
    </w:p>
    <w:p w14:paraId="60BAB4BA">
      <w:pPr>
        <w:pStyle w:val="6"/>
        <w:pageBreakBefore w:val="0"/>
        <w:kinsoku/>
        <w:wordWrap/>
        <w:overflowPunct/>
        <w:topLinePunct w:val="0"/>
        <w:bidi w:val="0"/>
        <w:ind w:left="0" w:right="0"/>
        <w:rPr>
          <w:rFonts w:hint="default" w:ascii="Times New Roman" w:hAnsi="Times New Roman" w:cs="Times New Roman"/>
          <w:b/>
          <w:sz w:val="42"/>
          <w:lang w:eastAsia="zh-CN"/>
        </w:rPr>
      </w:pPr>
    </w:p>
    <w:p w14:paraId="75B41B29">
      <w:pPr>
        <w:pStyle w:val="6"/>
        <w:pageBreakBefore w:val="0"/>
        <w:kinsoku/>
        <w:wordWrap/>
        <w:overflowPunct/>
        <w:topLinePunct w:val="0"/>
        <w:bidi w:val="0"/>
        <w:ind w:left="0" w:right="0"/>
        <w:rPr>
          <w:rFonts w:hint="default" w:ascii="Times New Roman" w:hAnsi="Times New Roman" w:cs="Times New Roman"/>
          <w:b/>
          <w:sz w:val="42"/>
          <w:lang w:eastAsia="zh-CN"/>
        </w:rPr>
      </w:pPr>
    </w:p>
    <w:p w14:paraId="1982DAB3">
      <w:pPr>
        <w:pageBreakBefore w:val="0"/>
        <w:kinsoku/>
        <w:wordWrap/>
        <w:overflowPunct/>
        <w:topLinePunct w:val="0"/>
        <w:bidi w:val="0"/>
        <w:spacing w:line="360" w:lineRule="auto"/>
        <w:ind w:left="0" w:right="0"/>
        <w:jc w:val="center"/>
        <w:rPr>
          <w:rFonts w:hint="default" w:ascii="Times New Roman" w:hAnsi="Times New Roman" w:eastAsia="黑体" w:cs="Times New Roman"/>
          <w:b/>
          <w:sz w:val="36"/>
          <w:szCs w:val="36"/>
          <w:lang w:eastAsia="zh-CN"/>
        </w:rPr>
      </w:pPr>
      <w:r>
        <w:rPr>
          <w:rFonts w:hint="default" w:ascii="Times New Roman" w:hAnsi="Times New Roman" w:eastAsia="黑体" w:cs="Times New Roman"/>
          <w:b/>
          <w:sz w:val="36"/>
          <w:szCs w:val="36"/>
          <w:lang w:eastAsia="zh-CN"/>
        </w:rPr>
        <w:t>标准起草组</w:t>
      </w:r>
    </w:p>
    <w:p w14:paraId="4C0CC098">
      <w:pPr>
        <w:pageBreakBefore w:val="0"/>
        <w:kinsoku/>
        <w:wordWrap/>
        <w:overflowPunct/>
        <w:topLinePunct w:val="0"/>
        <w:bidi w:val="0"/>
        <w:spacing w:line="360" w:lineRule="auto"/>
        <w:ind w:left="0" w:right="0"/>
        <w:jc w:val="center"/>
        <w:rPr>
          <w:rFonts w:hint="default" w:ascii="Times New Roman" w:hAnsi="Times New Roman" w:eastAsia="黑体" w:cs="Times New Roman"/>
          <w:b/>
          <w:sz w:val="36"/>
          <w:szCs w:val="36"/>
          <w:lang w:eastAsia="zh-CN"/>
        </w:rPr>
      </w:pPr>
      <w:r>
        <w:rPr>
          <w:rFonts w:hint="default" w:ascii="Times New Roman" w:hAnsi="Times New Roman" w:eastAsia="黑体" w:cs="Times New Roman"/>
          <w:b/>
          <w:sz w:val="36"/>
          <w:szCs w:val="36"/>
          <w:lang w:eastAsia="zh-CN"/>
        </w:rPr>
        <w:t>202</w:t>
      </w:r>
      <w:r>
        <w:rPr>
          <w:rFonts w:hint="default" w:ascii="Times New Roman" w:hAnsi="Times New Roman" w:eastAsia="黑体" w:cs="Times New Roman"/>
          <w:b/>
          <w:sz w:val="36"/>
          <w:szCs w:val="36"/>
          <w:lang w:val="en-US" w:eastAsia="zh-CN"/>
        </w:rPr>
        <w:t>5</w:t>
      </w:r>
      <w:r>
        <w:rPr>
          <w:rFonts w:hint="default" w:ascii="Times New Roman" w:hAnsi="Times New Roman" w:eastAsia="黑体" w:cs="Times New Roman"/>
          <w:b/>
          <w:sz w:val="36"/>
          <w:szCs w:val="36"/>
          <w:lang w:eastAsia="zh-CN"/>
        </w:rPr>
        <w:t>年</w:t>
      </w:r>
      <w:r>
        <w:rPr>
          <w:rFonts w:hint="default" w:ascii="Times New Roman" w:hAnsi="Times New Roman" w:eastAsia="黑体" w:cs="Times New Roman"/>
          <w:b/>
          <w:sz w:val="36"/>
          <w:szCs w:val="36"/>
          <w:lang w:val="en-US" w:eastAsia="zh-CN"/>
        </w:rPr>
        <w:t>6</w:t>
      </w:r>
      <w:r>
        <w:rPr>
          <w:rFonts w:hint="default" w:ascii="Times New Roman" w:hAnsi="Times New Roman" w:eastAsia="黑体" w:cs="Times New Roman"/>
          <w:b/>
          <w:sz w:val="36"/>
          <w:szCs w:val="36"/>
          <w:lang w:eastAsia="zh-CN"/>
        </w:rPr>
        <w:t>月</w:t>
      </w:r>
    </w:p>
    <w:p w14:paraId="20457092">
      <w:pPr>
        <w:pageBreakBefore w:val="0"/>
        <w:kinsoku/>
        <w:wordWrap/>
        <w:overflowPunct/>
        <w:topLinePunct w:val="0"/>
        <w:bidi w:val="0"/>
        <w:spacing w:line="376" w:lineRule="auto"/>
        <w:ind w:left="0" w:right="0"/>
        <w:jc w:val="center"/>
        <w:rPr>
          <w:rFonts w:hint="default" w:ascii="Times New Roman" w:hAnsi="Times New Roman" w:cs="Times New Roman"/>
          <w:sz w:val="31"/>
          <w:lang w:eastAsia="zh-CN"/>
        </w:rPr>
        <w:sectPr>
          <w:type w:val="continuous"/>
          <w:pgSz w:w="11910" w:h="16840"/>
          <w:pgMar w:top="851" w:right="1418" w:bottom="1134" w:left="1418" w:header="720" w:footer="720" w:gutter="0"/>
          <w:cols w:space="720" w:num="1"/>
          <w:docGrid w:linePitch="299" w:charSpace="0"/>
        </w:sectPr>
      </w:pPr>
    </w:p>
    <w:p w14:paraId="22FC535A">
      <w:pPr>
        <w:pageBreakBefore w:val="0"/>
        <w:kinsoku/>
        <w:wordWrap/>
        <w:overflowPunct/>
        <w:topLinePunct w:val="0"/>
        <w:bidi w:val="0"/>
        <w:spacing w:before="46"/>
        <w:ind w:left="0" w:right="0"/>
        <w:jc w:val="center"/>
        <w:rPr>
          <w:rFonts w:hint="default" w:ascii="Times New Roman" w:hAnsi="Times New Roman" w:eastAsia="黑体" w:cs="Times New Roman"/>
          <w:b/>
          <w:sz w:val="32"/>
          <w:szCs w:val="32"/>
          <w:lang w:eastAsia="zh-CN"/>
        </w:rPr>
      </w:pPr>
      <w:r>
        <w:rPr>
          <w:rFonts w:hint="default" w:ascii="Times New Roman" w:hAnsi="Times New Roman" w:eastAsia="黑体" w:cs="Times New Roman"/>
          <w:b/>
          <w:w w:val="105"/>
          <w:sz w:val="32"/>
          <w:szCs w:val="32"/>
          <w:lang w:eastAsia="zh-CN"/>
        </w:rPr>
        <w:t>目     录</w:t>
      </w:r>
    </w:p>
    <w:p w14:paraId="45167405">
      <w:pPr>
        <w:pStyle w:val="6"/>
        <w:pageBreakBefore w:val="0"/>
        <w:kinsoku/>
        <w:wordWrap/>
        <w:overflowPunct/>
        <w:topLinePunct w:val="0"/>
        <w:bidi w:val="0"/>
        <w:ind w:left="0" w:right="0"/>
        <w:rPr>
          <w:rFonts w:hint="default" w:ascii="Times New Roman" w:hAnsi="Times New Roman" w:cs="Times New Roman"/>
          <w:b/>
          <w:sz w:val="32"/>
          <w:lang w:eastAsia="zh-CN"/>
        </w:rPr>
      </w:pPr>
    </w:p>
    <w:p w14:paraId="096DB2DF">
      <w:pPr>
        <w:pStyle w:val="6"/>
        <w:pageBreakBefore w:val="0"/>
        <w:kinsoku/>
        <w:wordWrap/>
        <w:overflowPunct/>
        <w:topLinePunct w:val="0"/>
        <w:bidi w:val="0"/>
        <w:ind w:left="0" w:right="0"/>
        <w:rPr>
          <w:rFonts w:hint="default" w:ascii="Times New Roman" w:hAnsi="Times New Roman" w:cs="Times New Roman"/>
          <w:b/>
          <w:sz w:val="32"/>
          <w:lang w:eastAsia="zh-CN"/>
        </w:rPr>
      </w:pPr>
    </w:p>
    <w:sdt>
      <w:sdtPr>
        <w:rPr>
          <w:rFonts w:hint="default" w:ascii="Times New Roman" w:hAnsi="Times New Roman" w:cs="Times New Roman"/>
          <w:sz w:val="22"/>
          <w:szCs w:val="22"/>
        </w:rPr>
        <w:id w:val="271984541"/>
        <w:docPartObj>
          <w:docPartGallery w:val="Table of Contents"/>
          <w:docPartUnique/>
        </w:docPartObj>
      </w:sdtPr>
      <w:sdtEndPr>
        <w:rPr>
          <w:rFonts w:hint="default" w:ascii="Times New Roman" w:hAnsi="Times New Roman" w:cs="Times New Roman" w:eastAsiaTheme="minorEastAsia"/>
          <w:sz w:val="21"/>
          <w:szCs w:val="21"/>
        </w:rPr>
      </w:sdtEndPr>
      <w:sdtContent>
        <w:p w14:paraId="40BB2F8D">
          <w:pPr>
            <w:pStyle w:val="9"/>
            <w:pageBreakBefore w:val="0"/>
            <w:tabs>
              <w:tab w:val="right" w:leader="dot" w:pos="9520"/>
            </w:tabs>
            <w:kinsoku/>
            <w:wordWrap/>
            <w:overflowPunct/>
            <w:topLinePunct w:val="0"/>
            <w:bidi w:val="0"/>
            <w:ind w:left="0" w:right="0"/>
            <w:rPr>
              <w:rFonts w:hint="default" w:ascii="Times New Roman" w:hAnsi="Times New Roman" w:cs="Times New Roman" w:eastAsiaTheme="minorEastAsia"/>
              <w:kern w:val="2"/>
              <w:sz w:val="21"/>
              <w:szCs w:val="21"/>
              <w:lang w:eastAsia="zh-CN"/>
            </w:rPr>
          </w:pPr>
          <w:r>
            <w:rPr>
              <w:rFonts w:hint="default" w:ascii="Times New Roman" w:hAnsi="Times New Roman" w:cs="Times New Roman" w:eastAsiaTheme="minorEastAsia"/>
              <w:sz w:val="21"/>
              <w:szCs w:val="21"/>
            </w:rPr>
            <w:fldChar w:fldCharType="begin"/>
          </w:r>
          <w:r>
            <w:rPr>
              <w:rFonts w:hint="default" w:ascii="Times New Roman" w:hAnsi="Times New Roman" w:cs="Times New Roman" w:eastAsiaTheme="minorEastAsia"/>
              <w:sz w:val="21"/>
              <w:szCs w:val="21"/>
            </w:rPr>
            <w:instrText xml:space="preserve">TOC \o "1-1" \h \z \u </w:instrText>
          </w:r>
          <w:r>
            <w:rPr>
              <w:rFonts w:hint="default" w:ascii="Times New Roman" w:hAnsi="Times New Roman" w:cs="Times New Roman" w:eastAsiaTheme="minorEastAsia"/>
              <w:sz w:val="21"/>
              <w:szCs w:val="21"/>
            </w:rPr>
            <w:fldChar w:fldCharType="separate"/>
          </w:r>
          <w:r>
            <w:rPr>
              <w:rFonts w:hint="default" w:ascii="Times New Roman" w:hAnsi="Times New Roman" w:cs="Times New Roman"/>
            </w:rPr>
            <w:fldChar w:fldCharType="begin"/>
          </w:r>
          <w:r>
            <w:rPr>
              <w:rFonts w:hint="default" w:ascii="Times New Roman" w:hAnsi="Times New Roman" w:cs="Times New Roman"/>
            </w:rPr>
            <w:instrText xml:space="preserve"> HYPERLINK \l "_Toc132723743" </w:instrText>
          </w:r>
          <w:r>
            <w:rPr>
              <w:rFonts w:hint="default" w:ascii="Times New Roman" w:hAnsi="Times New Roman" w:cs="Times New Roman"/>
            </w:rPr>
            <w:fldChar w:fldCharType="separate"/>
          </w:r>
          <w:r>
            <w:rPr>
              <w:rStyle w:val="17"/>
              <w:rFonts w:hint="default" w:ascii="Times New Roman" w:hAnsi="Times New Roman" w:cs="Times New Roman" w:eastAsiaTheme="minorEastAsia"/>
              <w:spacing w:val="-2"/>
              <w:sz w:val="21"/>
              <w:szCs w:val="21"/>
              <w:lang w:eastAsia="zh-CN"/>
            </w:rPr>
            <w:t>一、工作简况</w:t>
          </w:r>
          <w:r>
            <w:rPr>
              <w:rFonts w:hint="default" w:ascii="Times New Roman" w:hAnsi="Times New Roman" w:cs="Times New Roman" w:eastAsiaTheme="minorEastAsia"/>
              <w:sz w:val="21"/>
              <w:szCs w:val="21"/>
            </w:rPr>
            <w:tab/>
          </w:r>
          <w:r>
            <w:rPr>
              <w:rFonts w:hint="default" w:ascii="Times New Roman" w:hAnsi="Times New Roman" w:cs="Times New Roman" w:eastAsiaTheme="minorEastAsia"/>
              <w:sz w:val="21"/>
              <w:szCs w:val="21"/>
            </w:rPr>
            <w:fldChar w:fldCharType="begin"/>
          </w:r>
          <w:r>
            <w:rPr>
              <w:rFonts w:hint="default" w:ascii="Times New Roman" w:hAnsi="Times New Roman" w:cs="Times New Roman" w:eastAsiaTheme="minorEastAsia"/>
              <w:sz w:val="21"/>
              <w:szCs w:val="21"/>
            </w:rPr>
            <w:instrText xml:space="preserve"> PAGEREF _Toc132723743 \h </w:instrText>
          </w:r>
          <w:r>
            <w:rPr>
              <w:rFonts w:hint="default" w:ascii="Times New Roman" w:hAnsi="Times New Roman" w:cs="Times New Roman" w:eastAsiaTheme="minorEastAsia"/>
              <w:sz w:val="21"/>
              <w:szCs w:val="21"/>
            </w:rPr>
            <w:fldChar w:fldCharType="separate"/>
          </w:r>
          <w:r>
            <w:rPr>
              <w:rFonts w:hint="default" w:ascii="Times New Roman" w:hAnsi="Times New Roman" w:cs="Times New Roman" w:eastAsiaTheme="minorEastAsia"/>
              <w:sz w:val="21"/>
              <w:szCs w:val="21"/>
            </w:rPr>
            <w:t>3</w:t>
          </w:r>
          <w:r>
            <w:rPr>
              <w:rFonts w:hint="default" w:ascii="Times New Roman" w:hAnsi="Times New Roman" w:cs="Times New Roman" w:eastAsiaTheme="minorEastAsia"/>
              <w:sz w:val="21"/>
              <w:szCs w:val="21"/>
            </w:rPr>
            <w:fldChar w:fldCharType="end"/>
          </w:r>
          <w:r>
            <w:rPr>
              <w:rFonts w:hint="default" w:ascii="Times New Roman" w:hAnsi="Times New Roman" w:cs="Times New Roman" w:eastAsiaTheme="minorEastAsia"/>
              <w:sz w:val="21"/>
              <w:szCs w:val="21"/>
            </w:rPr>
            <w:fldChar w:fldCharType="end"/>
          </w:r>
        </w:p>
        <w:p w14:paraId="681C013F">
          <w:pPr>
            <w:pStyle w:val="9"/>
            <w:pageBreakBefore w:val="0"/>
            <w:tabs>
              <w:tab w:val="right" w:leader="dot" w:pos="9520"/>
            </w:tabs>
            <w:kinsoku/>
            <w:wordWrap/>
            <w:overflowPunct/>
            <w:topLinePunct w:val="0"/>
            <w:bidi w:val="0"/>
            <w:ind w:left="0" w:right="0"/>
            <w:rPr>
              <w:rFonts w:hint="default" w:ascii="Times New Roman" w:hAnsi="Times New Roman" w:cs="Times New Roman" w:eastAsiaTheme="minorEastAsia"/>
              <w:kern w:val="2"/>
              <w:sz w:val="21"/>
              <w:szCs w:val="21"/>
              <w:lang w:eastAsia="zh-C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"_Toc132723744" </w:instrText>
          </w:r>
          <w:r>
            <w:rPr>
              <w:rFonts w:hint="default" w:ascii="Times New Roman" w:hAnsi="Times New Roman" w:cs="Times New Roman"/>
            </w:rPr>
            <w:fldChar w:fldCharType="separate"/>
          </w:r>
          <w:r>
            <w:rPr>
              <w:rStyle w:val="17"/>
              <w:rFonts w:hint="default" w:ascii="Times New Roman" w:hAnsi="Times New Roman" w:cs="Times New Roman" w:eastAsiaTheme="minorEastAsia"/>
              <w:spacing w:val="-2"/>
              <w:sz w:val="21"/>
              <w:szCs w:val="21"/>
              <w:lang w:eastAsia="zh-CN"/>
            </w:rPr>
            <w:t>二、标准编制原则和确定标准主要内容的论据</w:t>
          </w:r>
          <w:r>
            <w:rPr>
              <w:rFonts w:hint="default" w:ascii="Times New Roman" w:hAnsi="Times New Roman" w:cs="Times New Roman" w:eastAsiaTheme="minorEastAsia"/>
              <w:sz w:val="21"/>
              <w:szCs w:val="21"/>
            </w:rPr>
            <w:tab/>
          </w:r>
          <w:r>
            <w:rPr>
              <w:rFonts w:hint="default" w:ascii="Times New Roman" w:hAnsi="Times New Roman" w:cs="Times New Roman" w:eastAsiaTheme="minorEastAsia"/>
              <w:sz w:val="21"/>
              <w:szCs w:val="21"/>
            </w:rPr>
            <w:fldChar w:fldCharType="begin"/>
          </w:r>
          <w:r>
            <w:rPr>
              <w:rFonts w:hint="default" w:ascii="Times New Roman" w:hAnsi="Times New Roman" w:cs="Times New Roman" w:eastAsiaTheme="minorEastAsia"/>
              <w:sz w:val="21"/>
              <w:szCs w:val="21"/>
            </w:rPr>
            <w:instrText xml:space="preserve"> PAGEREF _Toc132723744 \h </w:instrText>
          </w:r>
          <w:r>
            <w:rPr>
              <w:rFonts w:hint="default" w:ascii="Times New Roman" w:hAnsi="Times New Roman" w:cs="Times New Roman" w:eastAsiaTheme="minorEastAsia"/>
              <w:sz w:val="21"/>
              <w:szCs w:val="21"/>
            </w:rPr>
            <w:fldChar w:fldCharType="separate"/>
          </w:r>
          <w:r>
            <w:rPr>
              <w:rFonts w:hint="default" w:ascii="Times New Roman" w:hAnsi="Times New Roman" w:cs="Times New Roman" w:eastAsiaTheme="minorEastAsia"/>
              <w:sz w:val="21"/>
              <w:szCs w:val="21"/>
            </w:rPr>
            <w:t>5</w:t>
          </w:r>
          <w:r>
            <w:rPr>
              <w:rFonts w:hint="default" w:ascii="Times New Roman" w:hAnsi="Times New Roman" w:cs="Times New Roman" w:eastAsiaTheme="minorEastAsia"/>
              <w:sz w:val="21"/>
              <w:szCs w:val="21"/>
            </w:rPr>
            <w:fldChar w:fldCharType="end"/>
          </w:r>
          <w:r>
            <w:rPr>
              <w:rFonts w:hint="default" w:ascii="Times New Roman" w:hAnsi="Times New Roman" w:cs="Times New Roman" w:eastAsiaTheme="minorEastAsia"/>
              <w:sz w:val="21"/>
              <w:szCs w:val="21"/>
            </w:rPr>
            <w:fldChar w:fldCharType="end"/>
          </w:r>
        </w:p>
        <w:p w14:paraId="1568C39A">
          <w:pPr>
            <w:pStyle w:val="9"/>
            <w:pageBreakBefore w:val="0"/>
            <w:tabs>
              <w:tab w:val="right" w:leader="dot" w:pos="9520"/>
            </w:tabs>
            <w:kinsoku/>
            <w:wordWrap/>
            <w:overflowPunct/>
            <w:topLinePunct w:val="0"/>
            <w:bidi w:val="0"/>
            <w:ind w:left="0" w:right="0"/>
            <w:rPr>
              <w:rFonts w:hint="default" w:ascii="Times New Roman" w:hAnsi="Times New Roman" w:cs="Times New Roman" w:eastAsiaTheme="minorEastAsia"/>
              <w:kern w:val="2"/>
              <w:sz w:val="21"/>
              <w:szCs w:val="21"/>
              <w:lang w:eastAsia="zh-C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"_Toc132723745" </w:instrText>
          </w:r>
          <w:r>
            <w:rPr>
              <w:rFonts w:hint="default" w:ascii="Times New Roman" w:hAnsi="Times New Roman" w:cs="Times New Roman"/>
            </w:rPr>
            <w:fldChar w:fldCharType="separate"/>
          </w:r>
          <w:r>
            <w:rPr>
              <w:rStyle w:val="17"/>
              <w:rFonts w:hint="default" w:ascii="Times New Roman" w:hAnsi="Times New Roman" w:cs="Times New Roman" w:eastAsiaTheme="minorEastAsia"/>
              <w:spacing w:val="-2"/>
              <w:sz w:val="21"/>
              <w:szCs w:val="21"/>
              <w:lang w:eastAsia="zh-CN"/>
            </w:rPr>
            <w:t>三、综述报告、产品调研报告、主要试验</w:t>
          </w:r>
          <w:bookmarkStart w:id="54" w:name="_GoBack"/>
          <w:bookmarkEnd w:id="54"/>
          <w:r>
            <w:rPr>
              <w:rStyle w:val="17"/>
              <w:rFonts w:hint="default" w:ascii="Times New Roman" w:hAnsi="Times New Roman" w:cs="Times New Roman" w:eastAsiaTheme="minorEastAsia"/>
              <w:spacing w:val="-2"/>
              <w:sz w:val="21"/>
              <w:szCs w:val="21"/>
              <w:lang w:eastAsia="zh-CN"/>
            </w:rPr>
            <w:t>（或验证）的分析</w:t>
          </w:r>
          <w:r>
            <w:rPr>
              <w:rFonts w:hint="default" w:ascii="Times New Roman" w:hAnsi="Times New Roman" w:cs="Times New Roman" w:eastAsiaTheme="minorEastAsia"/>
              <w:sz w:val="21"/>
              <w:szCs w:val="21"/>
            </w:rPr>
            <w:tab/>
          </w:r>
          <w:r>
            <w:rPr>
              <w:rFonts w:hint="default" w:ascii="Times New Roman" w:hAnsi="Times New Roman" w:cs="Times New Roman" w:eastAsiaTheme="minorEastAsia"/>
              <w:sz w:val="21"/>
              <w:szCs w:val="21"/>
            </w:rPr>
            <w:fldChar w:fldCharType="begin"/>
          </w:r>
          <w:r>
            <w:rPr>
              <w:rFonts w:hint="default" w:ascii="Times New Roman" w:hAnsi="Times New Roman" w:cs="Times New Roman" w:eastAsiaTheme="minorEastAsia"/>
              <w:sz w:val="21"/>
              <w:szCs w:val="21"/>
            </w:rPr>
            <w:instrText xml:space="preserve"> PAGEREF _Toc132723745 \h </w:instrText>
          </w:r>
          <w:r>
            <w:rPr>
              <w:rFonts w:hint="default" w:ascii="Times New Roman" w:hAnsi="Times New Roman" w:cs="Times New Roman" w:eastAsiaTheme="minorEastAsia"/>
              <w:sz w:val="21"/>
              <w:szCs w:val="21"/>
            </w:rPr>
            <w:fldChar w:fldCharType="separate"/>
          </w:r>
          <w:r>
            <w:rPr>
              <w:rFonts w:hint="default" w:ascii="Times New Roman" w:hAnsi="Times New Roman" w:cs="Times New Roman" w:eastAsiaTheme="minorEastAsia"/>
              <w:sz w:val="21"/>
              <w:szCs w:val="21"/>
            </w:rPr>
            <w:t>15</w:t>
          </w:r>
          <w:r>
            <w:rPr>
              <w:rFonts w:hint="default" w:ascii="Times New Roman" w:hAnsi="Times New Roman" w:cs="Times New Roman" w:eastAsiaTheme="minorEastAsia"/>
              <w:sz w:val="21"/>
              <w:szCs w:val="21"/>
            </w:rPr>
            <w:fldChar w:fldCharType="end"/>
          </w:r>
          <w:r>
            <w:rPr>
              <w:rFonts w:hint="default" w:ascii="Times New Roman" w:hAnsi="Times New Roman" w:cs="Times New Roman" w:eastAsiaTheme="minorEastAsia"/>
              <w:sz w:val="21"/>
              <w:szCs w:val="21"/>
            </w:rPr>
            <w:fldChar w:fldCharType="end"/>
          </w:r>
        </w:p>
        <w:p w14:paraId="6F24AC21">
          <w:pPr>
            <w:pStyle w:val="9"/>
            <w:pageBreakBefore w:val="0"/>
            <w:tabs>
              <w:tab w:val="right" w:leader="dot" w:pos="9520"/>
            </w:tabs>
            <w:kinsoku/>
            <w:wordWrap/>
            <w:overflowPunct/>
            <w:topLinePunct w:val="0"/>
            <w:bidi w:val="0"/>
            <w:ind w:left="0" w:right="0"/>
            <w:rPr>
              <w:rFonts w:hint="default" w:ascii="Times New Roman" w:hAnsi="Times New Roman" w:cs="Times New Roman" w:eastAsiaTheme="minorEastAsia"/>
              <w:kern w:val="2"/>
              <w:sz w:val="21"/>
              <w:szCs w:val="21"/>
              <w:lang w:eastAsia="zh-C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"_Toc132723746" </w:instrText>
          </w:r>
          <w:r>
            <w:rPr>
              <w:rFonts w:hint="default" w:ascii="Times New Roman" w:hAnsi="Times New Roman" w:cs="Times New Roman"/>
            </w:rPr>
            <w:fldChar w:fldCharType="separate"/>
          </w:r>
          <w:r>
            <w:rPr>
              <w:rStyle w:val="17"/>
              <w:rFonts w:hint="default" w:ascii="Times New Roman" w:hAnsi="Times New Roman" w:cs="Times New Roman" w:eastAsiaTheme="minorEastAsia"/>
              <w:spacing w:val="-2"/>
              <w:sz w:val="21"/>
              <w:szCs w:val="21"/>
              <w:lang w:eastAsia="zh-CN"/>
            </w:rPr>
            <w:t>四、国内外相关法律、法规和标准情况的说明</w:t>
          </w:r>
          <w:r>
            <w:rPr>
              <w:rFonts w:hint="default" w:ascii="Times New Roman" w:hAnsi="Times New Roman" w:cs="Times New Roman" w:eastAsiaTheme="minorEastAsia"/>
              <w:sz w:val="21"/>
              <w:szCs w:val="21"/>
            </w:rPr>
            <w:tab/>
          </w:r>
          <w:r>
            <w:rPr>
              <w:rFonts w:hint="default" w:ascii="Times New Roman" w:hAnsi="Times New Roman" w:cs="Times New Roman" w:eastAsiaTheme="minorEastAsia"/>
              <w:sz w:val="21"/>
              <w:szCs w:val="21"/>
            </w:rPr>
            <w:fldChar w:fldCharType="begin"/>
          </w:r>
          <w:r>
            <w:rPr>
              <w:rFonts w:hint="default" w:ascii="Times New Roman" w:hAnsi="Times New Roman" w:cs="Times New Roman" w:eastAsiaTheme="minorEastAsia"/>
              <w:sz w:val="21"/>
              <w:szCs w:val="21"/>
            </w:rPr>
            <w:instrText xml:space="preserve"> PAGEREF _Toc132723746 \h </w:instrText>
          </w:r>
          <w:r>
            <w:rPr>
              <w:rFonts w:hint="default" w:ascii="Times New Roman" w:hAnsi="Times New Roman" w:cs="Times New Roman" w:eastAsiaTheme="minorEastAsia"/>
              <w:sz w:val="21"/>
              <w:szCs w:val="21"/>
            </w:rPr>
            <w:fldChar w:fldCharType="separate"/>
          </w:r>
          <w:r>
            <w:rPr>
              <w:rFonts w:hint="default" w:ascii="Times New Roman" w:hAnsi="Times New Roman" w:cs="Times New Roman" w:eastAsiaTheme="minorEastAsia"/>
              <w:sz w:val="21"/>
              <w:szCs w:val="21"/>
            </w:rPr>
            <w:t>47</w:t>
          </w:r>
          <w:r>
            <w:rPr>
              <w:rFonts w:hint="default" w:ascii="Times New Roman" w:hAnsi="Times New Roman" w:cs="Times New Roman" w:eastAsiaTheme="minorEastAsia"/>
              <w:sz w:val="21"/>
              <w:szCs w:val="21"/>
            </w:rPr>
            <w:fldChar w:fldCharType="end"/>
          </w:r>
          <w:r>
            <w:rPr>
              <w:rFonts w:hint="default" w:ascii="Times New Roman" w:hAnsi="Times New Roman" w:cs="Times New Roman" w:eastAsiaTheme="minorEastAsia"/>
              <w:sz w:val="21"/>
              <w:szCs w:val="21"/>
            </w:rPr>
            <w:fldChar w:fldCharType="end"/>
          </w:r>
        </w:p>
        <w:p w14:paraId="6CEC6F3D">
          <w:pPr>
            <w:pStyle w:val="9"/>
            <w:pageBreakBefore w:val="0"/>
            <w:tabs>
              <w:tab w:val="right" w:leader="dot" w:pos="9520"/>
            </w:tabs>
            <w:kinsoku/>
            <w:wordWrap/>
            <w:overflowPunct/>
            <w:topLinePunct w:val="0"/>
            <w:bidi w:val="0"/>
            <w:ind w:left="0" w:right="0"/>
            <w:rPr>
              <w:rFonts w:hint="default" w:ascii="Times New Roman" w:hAnsi="Times New Roman" w:cs="Times New Roman" w:eastAsiaTheme="minorEastAsia"/>
              <w:kern w:val="2"/>
              <w:sz w:val="21"/>
              <w:szCs w:val="21"/>
              <w:lang w:eastAsia="zh-C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"_Toc132723747" </w:instrText>
          </w:r>
          <w:r>
            <w:rPr>
              <w:rFonts w:hint="default" w:ascii="Times New Roman" w:hAnsi="Times New Roman" w:cs="Times New Roman"/>
            </w:rPr>
            <w:fldChar w:fldCharType="separate"/>
          </w:r>
          <w:r>
            <w:rPr>
              <w:rStyle w:val="17"/>
              <w:rFonts w:hint="default" w:ascii="Times New Roman" w:hAnsi="Times New Roman" w:cs="Times New Roman" w:eastAsiaTheme="minorEastAsia"/>
              <w:spacing w:val="-2"/>
              <w:sz w:val="21"/>
              <w:szCs w:val="21"/>
              <w:lang w:eastAsia="zh-CN"/>
            </w:rPr>
            <w:t>五、与我国有关的现行法律、法规和强制性标准的关系</w:t>
          </w:r>
          <w:r>
            <w:rPr>
              <w:rFonts w:hint="default" w:ascii="Times New Roman" w:hAnsi="Times New Roman" w:cs="Times New Roman" w:eastAsiaTheme="minorEastAsia"/>
              <w:sz w:val="21"/>
              <w:szCs w:val="21"/>
            </w:rPr>
            <w:tab/>
          </w:r>
          <w:r>
            <w:rPr>
              <w:rFonts w:hint="default" w:ascii="Times New Roman" w:hAnsi="Times New Roman" w:cs="Times New Roman" w:eastAsiaTheme="minorEastAsia"/>
              <w:sz w:val="21"/>
              <w:szCs w:val="21"/>
            </w:rPr>
            <w:fldChar w:fldCharType="begin"/>
          </w:r>
          <w:r>
            <w:rPr>
              <w:rFonts w:hint="default" w:ascii="Times New Roman" w:hAnsi="Times New Roman" w:cs="Times New Roman" w:eastAsiaTheme="minorEastAsia"/>
              <w:sz w:val="21"/>
              <w:szCs w:val="21"/>
            </w:rPr>
            <w:instrText xml:space="preserve"> PAGEREF _Toc132723747 \h </w:instrText>
          </w:r>
          <w:r>
            <w:rPr>
              <w:rFonts w:hint="default" w:ascii="Times New Roman" w:hAnsi="Times New Roman" w:cs="Times New Roman" w:eastAsiaTheme="minorEastAsia"/>
              <w:sz w:val="21"/>
              <w:szCs w:val="21"/>
            </w:rPr>
            <w:fldChar w:fldCharType="separate"/>
          </w:r>
          <w:r>
            <w:rPr>
              <w:rFonts w:hint="default" w:ascii="Times New Roman" w:hAnsi="Times New Roman" w:cs="Times New Roman" w:eastAsiaTheme="minorEastAsia"/>
              <w:sz w:val="21"/>
              <w:szCs w:val="21"/>
            </w:rPr>
            <w:t>48</w:t>
          </w:r>
          <w:r>
            <w:rPr>
              <w:rFonts w:hint="default" w:ascii="Times New Roman" w:hAnsi="Times New Roman" w:cs="Times New Roman" w:eastAsiaTheme="minorEastAsia"/>
              <w:sz w:val="21"/>
              <w:szCs w:val="21"/>
            </w:rPr>
            <w:fldChar w:fldCharType="end"/>
          </w:r>
          <w:r>
            <w:rPr>
              <w:rFonts w:hint="default" w:ascii="Times New Roman" w:hAnsi="Times New Roman" w:cs="Times New Roman" w:eastAsiaTheme="minorEastAsia"/>
              <w:sz w:val="21"/>
              <w:szCs w:val="21"/>
            </w:rPr>
            <w:fldChar w:fldCharType="end"/>
          </w:r>
        </w:p>
        <w:p w14:paraId="45745DBD">
          <w:pPr>
            <w:pStyle w:val="9"/>
            <w:pageBreakBefore w:val="0"/>
            <w:tabs>
              <w:tab w:val="right" w:leader="dot" w:pos="9520"/>
            </w:tabs>
            <w:kinsoku/>
            <w:wordWrap/>
            <w:overflowPunct/>
            <w:topLinePunct w:val="0"/>
            <w:bidi w:val="0"/>
            <w:ind w:left="0" w:right="0"/>
            <w:rPr>
              <w:rFonts w:hint="default" w:ascii="Times New Roman" w:hAnsi="Times New Roman" w:cs="Times New Roman" w:eastAsiaTheme="minorEastAsia"/>
              <w:kern w:val="2"/>
              <w:sz w:val="21"/>
              <w:szCs w:val="21"/>
              <w:lang w:eastAsia="zh-C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"_Toc132723748" </w:instrText>
          </w:r>
          <w:r>
            <w:rPr>
              <w:rFonts w:hint="default" w:ascii="Times New Roman" w:hAnsi="Times New Roman" w:cs="Times New Roman"/>
            </w:rPr>
            <w:fldChar w:fldCharType="separate"/>
          </w:r>
          <w:r>
            <w:rPr>
              <w:rStyle w:val="17"/>
              <w:rFonts w:hint="default" w:ascii="Times New Roman" w:hAnsi="Times New Roman" w:cs="Times New Roman" w:eastAsiaTheme="minorEastAsia"/>
              <w:spacing w:val="-2"/>
              <w:sz w:val="21"/>
              <w:szCs w:val="21"/>
              <w:lang w:eastAsia="zh-CN"/>
            </w:rPr>
            <w:t>六、重大分歧意见的处理经过和依据</w:t>
          </w:r>
          <w:r>
            <w:rPr>
              <w:rFonts w:hint="default" w:ascii="Times New Roman" w:hAnsi="Times New Roman" w:cs="Times New Roman" w:eastAsiaTheme="minorEastAsia"/>
              <w:sz w:val="21"/>
              <w:szCs w:val="21"/>
            </w:rPr>
            <w:tab/>
          </w:r>
          <w:r>
            <w:rPr>
              <w:rFonts w:hint="default" w:ascii="Times New Roman" w:hAnsi="Times New Roman" w:cs="Times New Roman" w:eastAsiaTheme="minorEastAsia"/>
              <w:sz w:val="21"/>
              <w:szCs w:val="21"/>
            </w:rPr>
            <w:fldChar w:fldCharType="begin"/>
          </w:r>
          <w:r>
            <w:rPr>
              <w:rFonts w:hint="default" w:ascii="Times New Roman" w:hAnsi="Times New Roman" w:cs="Times New Roman" w:eastAsiaTheme="minorEastAsia"/>
              <w:sz w:val="21"/>
              <w:szCs w:val="21"/>
            </w:rPr>
            <w:instrText xml:space="preserve"> PAGEREF _Toc132723748 \h </w:instrText>
          </w:r>
          <w:r>
            <w:rPr>
              <w:rFonts w:hint="default" w:ascii="Times New Roman" w:hAnsi="Times New Roman" w:cs="Times New Roman" w:eastAsiaTheme="minorEastAsia"/>
              <w:sz w:val="21"/>
              <w:szCs w:val="21"/>
            </w:rPr>
            <w:fldChar w:fldCharType="separate"/>
          </w:r>
          <w:r>
            <w:rPr>
              <w:rFonts w:hint="default" w:ascii="Times New Roman" w:hAnsi="Times New Roman" w:cs="Times New Roman" w:eastAsiaTheme="minorEastAsia"/>
              <w:sz w:val="21"/>
              <w:szCs w:val="21"/>
            </w:rPr>
            <w:t>48</w:t>
          </w:r>
          <w:r>
            <w:rPr>
              <w:rFonts w:hint="default" w:ascii="Times New Roman" w:hAnsi="Times New Roman" w:cs="Times New Roman" w:eastAsiaTheme="minorEastAsia"/>
              <w:sz w:val="21"/>
              <w:szCs w:val="21"/>
            </w:rPr>
            <w:fldChar w:fldCharType="end"/>
          </w:r>
          <w:r>
            <w:rPr>
              <w:rFonts w:hint="default" w:ascii="Times New Roman" w:hAnsi="Times New Roman" w:cs="Times New Roman" w:eastAsiaTheme="minorEastAsia"/>
              <w:sz w:val="21"/>
              <w:szCs w:val="21"/>
            </w:rPr>
            <w:fldChar w:fldCharType="end"/>
          </w:r>
        </w:p>
        <w:p w14:paraId="1C3CE8C4">
          <w:pPr>
            <w:pStyle w:val="9"/>
            <w:pageBreakBefore w:val="0"/>
            <w:tabs>
              <w:tab w:val="right" w:leader="dot" w:pos="9520"/>
            </w:tabs>
            <w:kinsoku/>
            <w:wordWrap/>
            <w:overflowPunct/>
            <w:topLinePunct w:val="0"/>
            <w:bidi w:val="0"/>
            <w:ind w:left="0" w:right="0"/>
            <w:rPr>
              <w:rFonts w:hint="default" w:ascii="Times New Roman" w:hAnsi="Times New Roman" w:cs="Times New Roman" w:eastAsiaTheme="minorEastAsia"/>
              <w:kern w:val="2"/>
              <w:sz w:val="21"/>
              <w:szCs w:val="21"/>
              <w:lang w:eastAsia="zh-C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"_Toc132723749" </w:instrText>
          </w:r>
          <w:r>
            <w:rPr>
              <w:rFonts w:hint="default" w:ascii="Times New Roman" w:hAnsi="Times New Roman" w:cs="Times New Roman"/>
            </w:rPr>
            <w:fldChar w:fldCharType="separate"/>
          </w:r>
          <w:r>
            <w:rPr>
              <w:rStyle w:val="17"/>
              <w:rFonts w:hint="default" w:ascii="Times New Roman" w:hAnsi="Times New Roman" w:cs="Times New Roman" w:eastAsiaTheme="minorEastAsia"/>
              <w:spacing w:val="-2"/>
              <w:sz w:val="21"/>
              <w:szCs w:val="21"/>
              <w:lang w:eastAsia="zh-CN"/>
            </w:rPr>
            <w:t>七、贯彻标准的要求和措施建议（包括组织措施、技术措施、过渡办法等内容）</w:t>
          </w:r>
          <w:r>
            <w:rPr>
              <w:rFonts w:hint="default" w:ascii="Times New Roman" w:hAnsi="Times New Roman" w:cs="Times New Roman" w:eastAsiaTheme="minorEastAsia"/>
              <w:sz w:val="21"/>
              <w:szCs w:val="21"/>
            </w:rPr>
            <w:tab/>
          </w:r>
          <w:r>
            <w:rPr>
              <w:rFonts w:hint="default" w:ascii="Times New Roman" w:hAnsi="Times New Roman" w:cs="Times New Roman" w:eastAsiaTheme="minorEastAsia"/>
              <w:sz w:val="21"/>
              <w:szCs w:val="21"/>
            </w:rPr>
            <w:fldChar w:fldCharType="begin"/>
          </w:r>
          <w:r>
            <w:rPr>
              <w:rFonts w:hint="default" w:ascii="Times New Roman" w:hAnsi="Times New Roman" w:cs="Times New Roman" w:eastAsiaTheme="minorEastAsia"/>
              <w:sz w:val="21"/>
              <w:szCs w:val="21"/>
            </w:rPr>
            <w:instrText xml:space="preserve"> PAGEREF _Toc132723749 \h </w:instrText>
          </w:r>
          <w:r>
            <w:rPr>
              <w:rFonts w:hint="default" w:ascii="Times New Roman" w:hAnsi="Times New Roman" w:cs="Times New Roman" w:eastAsiaTheme="minorEastAsia"/>
              <w:sz w:val="21"/>
              <w:szCs w:val="21"/>
            </w:rPr>
            <w:fldChar w:fldCharType="separate"/>
          </w:r>
          <w:r>
            <w:rPr>
              <w:rFonts w:hint="default" w:ascii="Times New Roman" w:hAnsi="Times New Roman" w:cs="Times New Roman" w:eastAsiaTheme="minorEastAsia"/>
              <w:sz w:val="21"/>
              <w:szCs w:val="21"/>
            </w:rPr>
            <w:t>48</w:t>
          </w:r>
          <w:r>
            <w:rPr>
              <w:rFonts w:hint="default" w:ascii="Times New Roman" w:hAnsi="Times New Roman" w:cs="Times New Roman" w:eastAsiaTheme="minorEastAsia"/>
              <w:sz w:val="21"/>
              <w:szCs w:val="21"/>
            </w:rPr>
            <w:fldChar w:fldCharType="end"/>
          </w:r>
          <w:r>
            <w:rPr>
              <w:rFonts w:hint="default" w:ascii="Times New Roman" w:hAnsi="Times New Roman" w:cs="Times New Roman" w:eastAsiaTheme="minorEastAsia"/>
              <w:sz w:val="21"/>
              <w:szCs w:val="21"/>
            </w:rPr>
            <w:fldChar w:fldCharType="end"/>
          </w:r>
        </w:p>
        <w:p w14:paraId="67BA5728">
          <w:pPr>
            <w:pStyle w:val="9"/>
            <w:pageBreakBefore w:val="0"/>
            <w:tabs>
              <w:tab w:val="right" w:leader="dot" w:pos="9520"/>
            </w:tabs>
            <w:kinsoku/>
            <w:wordWrap/>
            <w:overflowPunct/>
            <w:topLinePunct w:val="0"/>
            <w:bidi w:val="0"/>
            <w:ind w:left="0" w:right="0"/>
            <w:rPr>
              <w:rFonts w:hint="default" w:ascii="Times New Roman" w:hAnsi="Times New Roman" w:cs="Times New Roman" w:eastAsiaTheme="minorEastAsia"/>
              <w:kern w:val="2"/>
              <w:sz w:val="21"/>
              <w:szCs w:val="21"/>
              <w:lang w:eastAsia="zh-C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"_Toc132723750" </w:instrText>
          </w:r>
          <w:r>
            <w:rPr>
              <w:rFonts w:hint="default" w:ascii="Times New Roman" w:hAnsi="Times New Roman" w:cs="Times New Roman"/>
            </w:rPr>
            <w:fldChar w:fldCharType="separate"/>
          </w:r>
          <w:r>
            <w:rPr>
              <w:rStyle w:val="17"/>
              <w:rFonts w:hint="default" w:ascii="Times New Roman" w:hAnsi="Times New Roman" w:cs="Times New Roman" w:eastAsiaTheme="minorEastAsia"/>
              <w:spacing w:val="-2"/>
              <w:sz w:val="21"/>
              <w:szCs w:val="21"/>
              <w:lang w:eastAsia="zh-CN"/>
            </w:rPr>
            <w:t>八、废止现行有关标准的建议</w:t>
          </w:r>
          <w:r>
            <w:rPr>
              <w:rFonts w:hint="default" w:ascii="Times New Roman" w:hAnsi="Times New Roman" w:cs="Times New Roman" w:eastAsiaTheme="minorEastAsia"/>
              <w:sz w:val="21"/>
              <w:szCs w:val="21"/>
            </w:rPr>
            <w:tab/>
          </w:r>
          <w:r>
            <w:rPr>
              <w:rFonts w:hint="default" w:ascii="Times New Roman" w:hAnsi="Times New Roman" w:cs="Times New Roman" w:eastAsiaTheme="minorEastAsia"/>
              <w:sz w:val="21"/>
              <w:szCs w:val="21"/>
            </w:rPr>
            <w:fldChar w:fldCharType="begin"/>
          </w:r>
          <w:r>
            <w:rPr>
              <w:rFonts w:hint="default" w:ascii="Times New Roman" w:hAnsi="Times New Roman" w:cs="Times New Roman" w:eastAsiaTheme="minorEastAsia"/>
              <w:sz w:val="21"/>
              <w:szCs w:val="21"/>
            </w:rPr>
            <w:instrText xml:space="preserve"> PAGEREF _Toc132723750 \h </w:instrText>
          </w:r>
          <w:r>
            <w:rPr>
              <w:rFonts w:hint="default" w:ascii="Times New Roman" w:hAnsi="Times New Roman" w:cs="Times New Roman" w:eastAsiaTheme="minorEastAsia"/>
              <w:sz w:val="21"/>
              <w:szCs w:val="21"/>
            </w:rPr>
            <w:fldChar w:fldCharType="separate"/>
          </w:r>
          <w:r>
            <w:rPr>
              <w:rFonts w:hint="default" w:ascii="Times New Roman" w:hAnsi="Times New Roman" w:cs="Times New Roman" w:eastAsiaTheme="minorEastAsia"/>
              <w:sz w:val="21"/>
              <w:szCs w:val="21"/>
            </w:rPr>
            <w:t>48</w:t>
          </w:r>
          <w:r>
            <w:rPr>
              <w:rFonts w:hint="default" w:ascii="Times New Roman" w:hAnsi="Times New Roman" w:cs="Times New Roman" w:eastAsiaTheme="minorEastAsia"/>
              <w:sz w:val="21"/>
              <w:szCs w:val="21"/>
            </w:rPr>
            <w:fldChar w:fldCharType="end"/>
          </w:r>
          <w:r>
            <w:rPr>
              <w:rFonts w:hint="default" w:ascii="Times New Roman" w:hAnsi="Times New Roman" w:cs="Times New Roman" w:eastAsiaTheme="minorEastAsia"/>
              <w:sz w:val="21"/>
              <w:szCs w:val="21"/>
            </w:rPr>
            <w:fldChar w:fldCharType="end"/>
          </w:r>
        </w:p>
        <w:p w14:paraId="72AE7CF5">
          <w:pPr>
            <w:pStyle w:val="9"/>
            <w:pageBreakBefore w:val="0"/>
            <w:tabs>
              <w:tab w:val="right" w:leader="dot" w:pos="9520"/>
            </w:tabs>
            <w:kinsoku/>
            <w:wordWrap/>
            <w:overflowPunct/>
            <w:topLinePunct w:val="0"/>
            <w:bidi w:val="0"/>
            <w:ind w:left="0" w:right="0"/>
            <w:rPr>
              <w:rFonts w:hint="default" w:ascii="Times New Roman" w:hAnsi="Times New Roman" w:cs="Times New Roman" w:eastAsiaTheme="minorEastAsia"/>
              <w:kern w:val="2"/>
              <w:sz w:val="21"/>
              <w:szCs w:val="22"/>
              <w:lang w:eastAsia="zh-C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"_Toc132723751" </w:instrText>
          </w:r>
          <w:r>
            <w:rPr>
              <w:rFonts w:hint="default" w:ascii="Times New Roman" w:hAnsi="Times New Roman" w:cs="Times New Roman"/>
            </w:rPr>
            <w:fldChar w:fldCharType="separate"/>
          </w:r>
          <w:r>
            <w:rPr>
              <w:rStyle w:val="17"/>
              <w:rFonts w:hint="default" w:ascii="Times New Roman" w:hAnsi="Times New Roman" w:cs="Times New Roman" w:eastAsiaTheme="minorEastAsia"/>
              <w:spacing w:val="-2"/>
              <w:sz w:val="21"/>
              <w:szCs w:val="21"/>
              <w:lang w:eastAsia="zh-CN"/>
            </w:rPr>
            <w:t>九、其他应予说明的事项</w:t>
          </w:r>
          <w:r>
            <w:rPr>
              <w:rFonts w:hint="default" w:ascii="Times New Roman" w:hAnsi="Times New Roman" w:cs="Times New Roman" w:eastAsiaTheme="minorEastAsia"/>
              <w:sz w:val="21"/>
              <w:szCs w:val="21"/>
            </w:rPr>
            <w:tab/>
          </w:r>
          <w:r>
            <w:rPr>
              <w:rFonts w:hint="default" w:ascii="Times New Roman" w:hAnsi="Times New Roman" w:cs="Times New Roman" w:eastAsiaTheme="minorEastAsia"/>
              <w:sz w:val="21"/>
              <w:szCs w:val="21"/>
            </w:rPr>
            <w:fldChar w:fldCharType="begin"/>
          </w:r>
          <w:r>
            <w:rPr>
              <w:rFonts w:hint="default" w:ascii="Times New Roman" w:hAnsi="Times New Roman" w:cs="Times New Roman" w:eastAsiaTheme="minorEastAsia"/>
              <w:sz w:val="21"/>
              <w:szCs w:val="21"/>
            </w:rPr>
            <w:instrText xml:space="preserve"> PAGEREF _Toc132723751 \h </w:instrText>
          </w:r>
          <w:r>
            <w:rPr>
              <w:rFonts w:hint="default" w:ascii="Times New Roman" w:hAnsi="Times New Roman" w:cs="Times New Roman" w:eastAsiaTheme="minorEastAsia"/>
              <w:sz w:val="21"/>
              <w:szCs w:val="21"/>
            </w:rPr>
            <w:fldChar w:fldCharType="separate"/>
          </w:r>
          <w:r>
            <w:rPr>
              <w:rFonts w:hint="default" w:ascii="Times New Roman" w:hAnsi="Times New Roman" w:cs="Times New Roman" w:eastAsiaTheme="minorEastAsia"/>
              <w:sz w:val="21"/>
              <w:szCs w:val="21"/>
            </w:rPr>
            <w:t>48</w:t>
          </w:r>
          <w:r>
            <w:rPr>
              <w:rFonts w:hint="default" w:ascii="Times New Roman" w:hAnsi="Times New Roman" w:cs="Times New Roman" w:eastAsiaTheme="minorEastAsia"/>
              <w:sz w:val="21"/>
              <w:szCs w:val="21"/>
            </w:rPr>
            <w:fldChar w:fldCharType="end"/>
          </w:r>
          <w:r>
            <w:rPr>
              <w:rFonts w:hint="default" w:ascii="Times New Roman" w:hAnsi="Times New Roman" w:cs="Times New Roman" w:eastAsiaTheme="minorEastAsia"/>
              <w:sz w:val="21"/>
              <w:szCs w:val="21"/>
            </w:rPr>
            <w:fldChar w:fldCharType="end"/>
          </w:r>
        </w:p>
        <w:p w14:paraId="4D73222D">
          <w:pPr>
            <w:pageBreakBefore w:val="0"/>
            <w:kinsoku/>
            <w:wordWrap/>
            <w:overflowPunct/>
            <w:topLinePunct w:val="0"/>
            <w:bidi w:val="0"/>
            <w:ind w:left="0" w:right="0"/>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fldChar w:fldCharType="end"/>
          </w:r>
        </w:p>
      </w:sdtContent>
    </w:sdt>
    <w:p w14:paraId="54F2F64F">
      <w:pPr>
        <w:pageBreakBefore w:val="0"/>
        <w:kinsoku/>
        <w:wordWrap/>
        <w:overflowPunct/>
        <w:topLinePunct w:val="0"/>
        <w:bidi w:val="0"/>
        <w:ind w:left="0" w:right="0"/>
        <w:rPr>
          <w:rFonts w:hint="default" w:ascii="Times New Roman" w:hAnsi="Times New Roman" w:cs="Times New Roman"/>
        </w:rPr>
        <w:sectPr>
          <w:footerReference r:id="rId3" w:type="default"/>
          <w:pgSz w:w="11910" w:h="16840"/>
          <w:pgMar w:top="1500" w:right="1180" w:bottom="1200" w:left="1200" w:header="0" w:footer="1003" w:gutter="0"/>
          <w:cols w:space="720" w:num="1"/>
        </w:sectPr>
      </w:pPr>
    </w:p>
    <w:p w14:paraId="07E00600">
      <w:pPr>
        <w:pStyle w:val="2"/>
        <w:pageBreakBefore w:val="0"/>
        <w:kinsoku/>
        <w:wordWrap/>
        <w:overflowPunct/>
        <w:topLinePunct w:val="0"/>
        <w:bidi w:val="0"/>
        <w:spacing w:before="240" w:after="156" w:afterLines="50"/>
        <w:ind w:left="0" w:right="0"/>
        <w:rPr>
          <w:rFonts w:hint="default" w:ascii="Times New Roman" w:hAnsi="Times New Roman" w:eastAsia="黑体" w:cs="Times New Roman"/>
          <w:sz w:val="28"/>
          <w:szCs w:val="28"/>
          <w:lang w:eastAsia="zh-CN"/>
        </w:rPr>
      </w:pPr>
      <w:bookmarkStart w:id="0" w:name="_Toc132723743"/>
      <w:r>
        <w:rPr>
          <w:rFonts w:hint="default" w:ascii="Times New Roman" w:hAnsi="Times New Roman" w:eastAsia="黑体" w:cs="Times New Roman"/>
          <w:spacing w:val="-2"/>
          <w:sz w:val="28"/>
          <w:szCs w:val="28"/>
          <w:lang w:eastAsia="zh-CN"/>
        </w:rPr>
        <w:t>一、工作简况</w:t>
      </w:r>
      <w:bookmarkEnd w:id="0"/>
    </w:p>
    <w:p w14:paraId="3852E48C">
      <w:pPr>
        <w:pageBreakBefore w:val="0"/>
        <w:kinsoku/>
        <w:wordWrap/>
        <w:overflowPunct/>
        <w:topLinePunct w:val="0"/>
        <w:bidi w:val="0"/>
        <w:spacing w:before="240" w:after="240"/>
        <w:ind w:left="0" w:right="0"/>
        <w:rPr>
          <w:rFonts w:hint="default" w:ascii="Times New Roman" w:hAnsi="Times New Roman" w:cs="Times New Roman"/>
          <w:b/>
          <w:sz w:val="24"/>
          <w:szCs w:val="24"/>
          <w:lang w:eastAsia="zh-CN"/>
        </w:rPr>
      </w:pPr>
      <w:r>
        <w:rPr>
          <w:rFonts w:hint="default" w:ascii="Times New Roman" w:hAnsi="Times New Roman" w:cs="Times New Roman"/>
          <w:b/>
          <w:sz w:val="24"/>
          <w:szCs w:val="24"/>
          <w:lang w:eastAsia="zh-CN"/>
        </w:rPr>
        <w:t>（一）任务来源</w:t>
      </w:r>
    </w:p>
    <w:p w14:paraId="5F16B1B0">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团体标准《港口干散货运输车辆洗车平台要求》根据中国港口协会关于下达202</w:t>
      </w:r>
      <w:r>
        <w:rPr>
          <w:rFonts w:hint="default" w:ascii="Times New Roman" w:hAnsi="Times New Roman" w:cs="Times New Roman"/>
          <w:lang w:val="en-US" w:eastAsia="zh-CN"/>
        </w:rPr>
        <w:t>4</w:t>
      </w:r>
      <w:r>
        <w:rPr>
          <w:rFonts w:hint="default" w:ascii="Times New Roman" w:hAnsi="Times New Roman" w:cs="Times New Roman"/>
          <w:lang w:eastAsia="zh-CN"/>
        </w:rPr>
        <w:t>年中国港口协会团体标准化计划通知（中港协行函[202</w:t>
      </w:r>
      <w:r>
        <w:rPr>
          <w:rFonts w:hint="default" w:ascii="Times New Roman" w:hAnsi="Times New Roman" w:cs="Times New Roman"/>
          <w:lang w:val="en-US" w:eastAsia="zh-CN"/>
        </w:rPr>
        <w:t>4</w:t>
      </w:r>
      <w:r>
        <w:rPr>
          <w:rFonts w:hint="default" w:ascii="Times New Roman" w:hAnsi="Times New Roman" w:cs="Times New Roman"/>
          <w:lang w:eastAsia="zh-CN"/>
        </w:rPr>
        <w:t>]</w:t>
      </w:r>
      <w:r>
        <w:rPr>
          <w:rFonts w:hint="default" w:ascii="Times New Roman" w:hAnsi="Times New Roman" w:cs="Times New Roman"/>
          <w:lang w:val="en-US" w:eastAsia="zh-CN"/>
        </w:rPr>
        <w:t>30</w:t>
      </w:r>
      <w:r>
        <w:rPr>
          <w:rFonts w:hint="default" w:ascii="Times New Roman" w:hAnsi="Times New Roman" w:cs="Times New Roman"/>
          <w:lang w:eastAsia="zh-CN"/>
        </w:rPr>
        <w:t xml:space="preserve"> 号）的要求，计划编号 202</w:t>
      </w:r>
      <w:r>
        <w:rPr>
          <w:rFonts w:hint="default" w:ascii="Times New Roman" w:hAnsi="Times New Roman" w:cs="Times New Roman"/>
          <w:lang w:val="en-US" w:eastAsia="zh-CN"/>
        </w:rPr>
        <w:t>4</w:t>
      </w:r>
      <w:r>
        <w:rPr>
          <w:rFonts w:hint="default" w:ascii="Times New Roman" w:hAnsi="Times New Roman" w:cs="Times New Roman"/>
          <w:lang w:eastAsia="zh-CN"/>
        </w:rPr>
        <w:t>-1</w:t>
      </w:r>
      <w:r>
        <w:rPr>
          <w:rFonts w:hint="default" w:ascii="Times New Roman" w:hAnsi="Times New Roman" w:cs="Times New Roman"/>
          <w:lang w:val="en-US" w:eastAsia="zh-CN"/>
        </w:rPr>
        <w:t>7</w:t>
      </w:r>
      <w:r>
        <w:rPr>
          <w:rFonts w:hint="default" w:ascii="Times New Roman" w:hAnsi="Times New Roman" w:cs="Times New Roman"/>
          <w:lang w:eastAsia="zh-CN"/>
        </w:rPr>
        <w:t xml:space="preserve"> 的安排，天科院环境科技发展（天津）有限公司、</w:t>
      </w:r>
      <w:r>
        <w:rPr>
          <w:rFonts w:hint="default" w:ascii="Times New Roman" w:hAnsi="Times New Roman" w:cs="Times New Roman"/>
          <w:lang w:val="en-US" w:eastAsia="zh-CN"/>
        </w:rPr>
        <w:t>唐山港集团股份有限公司、山东省港口集团有限公司、太仓武港码头有限公司、厦门港务集团石湖山码头有限公司</w:t>
      </w:r>
      <w:r>
        <w:rPr>
          <w:rFonts w:hint="default" w:ascii="Times New Roman" w:hAnsi="Times New Roman" w:cs="Times New Roman"/>
          <w:lang w:eastAsia="zh-CN"/>
        </w:rPr>
        <w:t>负责起草。</w:t>
      </w:r>
    </w:p>
    <w:p w14:paraId="04AB9D2F">
      <w:pPr>
        <w:pageBreakBefore w:val="0"/>
        <w:kinsoku/>
        <w:wordWrap/>
        <w:overflowPunct/>
        <w:topLinePunct w:val="0"/>
        <w:bidi w:val="0"/>
        <w:spacing w:before="240" w:after="240"/>
        <w:ind w:left="0" w:right="0"/>
        <w:rPr>
          <w:rFonts w:hint="default" w:ascii="Times New Roman" w:hAnsi="Times New Roman" w:cs="Times New Roman"/>
          <w:b/>
          <w:sz w:val="24"/>
          <w:szCs w:val="24"/>
          <w:lang w:eastAsia="zh-CN"/>
        </w:rPr>
      </w:pPr>
      <w:r>
        <w:rPr>
          <w:rFonts w:hint="default" w:ascii="Times New Roman" w:hAnsi="Times New Roman" w:cs="Times New Roman"/>
          <w:b/>
          <w:sz w:val="24"/>
          <w:szCs w:val="24"/>
          <w:lang w:eastAsia="zh-CN"/>
        </w:rPr>
        <w:t>（二）起草单位</w:t>
      </w:r>
    </w:p>
    <w:p w14:paraId="46B9CB4C">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标准编写主要由天科院环境科技发展（天津）有限公司负责，协作单位主要为</w:t>
      </w:r>
      <w:r>
        <w:rPr>
          <w:rFonts w:hint="default" w:ascii="Times New Roman" w:hAnsi="Times New Roman" w:cs="Times New Roman"/>
          <w:lang w:val="en-US" w:eastAsia="zh-CN"/>
        </w:rPr>
        <w:t>唐山港集团股份有限公司、山东省港口集团有限公司、太仓武港码头有限公司、厦门港务集团石湖山码头有限公司</w:t>
      </w:r>
      <w:r>
        <w:rPr>
          <w:rFonts w:hint="default" w:ascii="Times New Roman" w:hAnsi="Times New Roman" w:cs="Times New Roman"/>
          <w:lang w:eastAsia="zh-CN"/>
        </w:rPr>
        <w:t>。</w:t>
      </w:r>
    </w:p>
    <w:p w14:paraId="60B8F76D">
      <w:pPr>
        <w:pageBreakBefore w:val="0"/>
        <w:kinsoku/>
        <w:wordWrap/>
        <w:overflowPunct/>
        <w:topLinePunct w:val="0"/>
        <w:bidi w:val="0"/>
        <w:spacing w:before="240" w:after="240"/>
        <w:ind w:left="0" w:right="0"/>
        <w:rPr>
          <w:rFonts w:hint="default" w:ascii="Times New Roman" w:hAnsi="Times New Roman" w:cs="Times New Roman"/>
          <w:b/>
          <w:sz w:val="24"/>
          <w:szCs w:val="24"/>
          <w:lang w:eastAsia="zh-CN"/>
        </w:rPr>
      </w:pPr>
      <w:r>
        <w:rPr>
          <w:rFonts w:hint="default" w:ascii="Times New Roman" w:hAnsi="Times New Roman" w:cs="Times New Roman"/>
          <w:b/>
          <w:sz w:val="24"/>
          <w:szCs w:val="24"/>
          <w:lang w:eastAsia="zh-CN"/>
        </w:rPr>
        <w:t>（三）主要起草人及其所做的工作</w:t>
      </w:r>
    </w:p>
    <w:p w14:paraId="04A2EEFA">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标准主要起草人：</w:t>
      </w:r>
      <w:r>
        <w:rPr>
          <w:rFonts w:hint="default" w:ascii="Times New Roman" w:hAnsi="Times New Roman" w:cs="Times New Roman"/>
          <w:kern w:val="0"/>
          <w:szCs w:val="21"/>
        </w:rPr>
        <w:t>井亮、张春意、</w:t>
      </w:r>
      <w:r>
        <w:rPr>
          <w:rFonts w:hint="default" w:ascii="Times New Roman" w:hAnsi="Times New Roman" w:cs="Times New Roman"/>
          <w:kern w:val="0"/>
          <w:szCs w:val="21"/>
          <w:lang w:val="en-US" w:eastAsia="zh-CN"/>
        </w:rPr>
        <w:t>李金钊</w:t>
      </w:r>
      <w:r>
        <w:rPr>
          <w:rFonts w:hint="default" w:ascii="Times New Roman" w:hAnsi="Times New Roman" w:cs="Times New Roman"/>
          <w:kern w:val="0"/>
          <w:szCs w:val="21"/>
        </w:rPr>
        <w:t>、</w:t>
      </w:r>
      <w:r>
        <w:rPr>
          <w:rFonts w:hint="default" w:ascii="Times New Roman" w:hAnsi="Times New Roman" w:cs="Times New Roman"/>
          <w:kern w:val="0"/>
          <w:szCs w:val="21"/>
          <w:lang w:val="en-US" w:eastAsia="zh-CN"/>
        </w:rPr>
        <w:t>赵俊</w:t>
      </w:r>
      <w:r>
        <w:rPr>
          <w:rFonts w:hint="default" w:ascii="Times New Roman" w:hAnsi="Times New Roman" w:cs="Times New Roman"/>
          <w:kern w:val="0"/>
          <w:szCs w:val="21"/>
        </w:rPr>
        <w:t>、</w:t>
      </w:r>
      <w:r>
        <w:rPr>
          <w:rFonts w:hint="default" w:ascii="Times New Roman" w:hAnsi="Times New Roman" w:cs="Times New Roman"/>
          <w:kern w:val="0"/>
          <w:szCs w:val="21"/>
          <w:lang w:val="en-US" w:eastAsia="zh-CN"/>
        </w:rPr>
        <w:t>高磊、王晓辉、强霖森、赵浩宇、赵鲁华、孙正文、池浩、陈利钿、易华、赵霞、尹崇志、陈磊、赵传国、杨晟等</w:t>
      </w:r>
      <w:r>
        <w:rPr>
          <w:rFonts w:hint="default" w:ascii="Times New Roman" w:hAnsi="Times New Roman" w:cs="Times New Roman"/>
          <w:kern w:val="0"/>
          <w:szCs w:val="21"/>
        </w:rPr>
        <w:t>。</w:t>
      </w:r>
    </w:p>
    <w:p w14:paraId="15D2F37F">
      <w:pPr>
        <w:pStyle w:val="6"/>
        <w:pageBreakBefore w:val="0"/>
        <w:kinsoku/>
        <w:wordWrap/>
        <w:overflowPunct/>
        <w:topLinePunct w:val="0"/>
        <w:bidi w:val="0"/>
        <w:spacing w:line="362" w:lineRule="auto"/>
        <w:ind w:left="0" w:right="0" w:firstLine="420"/>
        <w:jc w:val="both"/>
        <w:rPr>
          <w:rFonts w:hint="default" w:ascii="Times New Roman" w:hAnsi="Times New Roman" w:cs="Times New Roman"/>
          <w:lang w:eastAsia="zh-CN"/>
        </w:rPr>
      </w:pPr>
      <w:r>
        <w:rPr>
          <w:rFonts w:hint="default" w:ascii="Times New Roman" w:hAnsi="Times New Roman" w:cs="Times New Roman"/>
          <w:lang w:eastAsia="zh-CN"/>
        </w:rPr>
        <w:t>起草人任务分工见表 1-1。</w:t>
      </w:r>
    </w:p>
    <w:p w14:paraId="58D40442">
      <w:pPr>
        <w:pStyle w:val="6"/>
        <w:pageBreakBefore w:val="0"/>
        <w:kinsoku/>
        <w:wordWrap/>
        <w:overflowPunct/>
        <w:topLinePunct w:val="0"/>
        <w:bidi w:val="0"/>
        <w:spacing w:before="156" w:beforeLines="50" w:after="156" w:afterLines="50"/>
        <w:ind w:left="0" w:right="0"/>
        <w:jc w:val="center"/>
        <w:rPr>
          <w:rFonts w:hint="default" w:ascii="Times New Roman" w:hAnsi="Times New Roman" w:eastAsia="黑体" w:cs="Times New Roman"/>
          <w:sz w:val="21"/>
          <w:szCs w:val="21"/>
          <w:lang w:eastAsia="zh-CN"/>
        </w:rPr>
      </w:pPr>
      <w:r>
        <w:rPr>
          <w:rFonts w:hint="default" w:ascii="Times New Roman" w:hAnsi="Times New Roman" w:eastAsia="黑体" w:cs="Times New Roman"/>
          <w:sz w:val="21"/>
          <w:szCs w:val="21"/>
          <w:lang w:eastAsia="zh-CN"/>
        </w:rPr>
        <w:t>表1-1  标准主要起草人任务分工</w:t>
      </w:r>
    </w:p>
    <w:tbl>
      <w:tblPr>
        <w:tblStyle w:val="14"/>
        <w:tblW w:w="8222" w:type="dxa"/>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5"/>
        <w:gridCol w:w="1537"/>
        <w:gridCol w:w="1214"/>
        <w:gridCol w:w="709"/>
        <w:gridCol w:w="3827"/>
      </w:tblGrid>
      <w:tr w14:paraId="26006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D8D8D8" w:themeFill="background1" w:themeFillShade="D9"/>
            <w:vAlign w:val="center"/>
          </w:tcPr>
          <w:p w14:paraId="58B44FDC">
            <w:pPr>
              <w:pStyle w:val="22"/>
              <w:pageBreakBefore w:val="0"/>
              <w:kinsoku/>
              <w:wordWrap/>
              <w:overflowPunct/>
              <w:topLinePunct w:val="0"/>
              <w:bidi w:val="0"/>
              <w:ind w:left="0" w:right="0"/>
              <w:jc w:val="center"/>
              <w:rPr>
                <w:rFonts w:hint="default" w:ascii="Times New Roman" w:hAnsi="Times New Roman" w:cs="Times New Roman" w:eastAsiaTheme="minorEastAsia"/>
                <w:b/>
                <w:sz w:val="21"/>
                <w:szCs w:val="21"/>
              </w:rPr>
            </w:pPr>
            <w:r>
              <w:rPr>
                <w:rFonts w:hint="default" w:ascii="Times New Roman" w:hAnsi="Times New Roman" w:cs="Times New Roman" w:eastAsiaTheme="minorEastAsia"/>
                <w:b/>
                <w:sz w:val="21"/>
                <w:szCs w:val="21"/>
              </w:rPr>
              <w:t>姓名</w:t>
            </w:r>
          </w:p>
        </w:tc>
        <w:tc>
          <w:tcPr>
            <w:tcW w:w="1537" w:type="dxa"/>
            <w:shd w:val="clear" w:color="auto" w:fill="D8D8D8" w:themeFill="background1" w:themeFillShade="D9"/>
            <w:vAlign w:val="center"/>
          </w:tcPr>
          <w:p w14:paraId="18689CBE">
            <w:pPr>
              <w:pStyle w:val="22"/>
              <w:pageBreakBefore w:val="0"/>
              <w:kinsoku/>
              <w:wordWrap/>
              <w:overflowPunct/>
              <w:topLinePunct w:val="0"/>
              <w:bidi w:val="0"/>
              <w:ind w:left="0" w:right="0"/>
              <w:jc w:val="center"/>
              <w:rPr>
                <w:rFonts w:hint="default" w:ascii="Times New Roman" w:hAnsi="Times New Roman" w:cs="Times New Roman" w:eastAsiaTheme="minorEastAsia"/>
                <w:b/>
                <w:sz w:val="21"/>
                <w:szCs w:val="21"/>
              </w:rPr>
            </w:pPr>
            <w:r>
              <w:rPr>
                <w:rFonts w:hint="default" w:ascii="Times New Roman" w:hAnsi="Times New Roman" w:cs="Times New Roman" w:eastAsiaTheme="minorEastAsia"/>
                <w:b/>
                <w:sz w:val="21"/>
                <w:szCs w:val="21"/>
              </w:rPr>
              <w:t>单 位</w:t>
            </w:r>
          </w:p>
        </w:tc>
        <w:tc>
          <w:tcPr>
            <w:tcW w:w="1214" w:type="dxa"/>
            <w:shd w:val="clear" w:color="auto" w:fill="D8D8D8" w:themeFill="background1" w:themeFillShade="D9"/>
            <w:vAlign w:val="center"/>
          </w:tcPr>
          <w:p w14:paraId="0051D522">
            <w:pPr>
              <w:pStyle w:val="22"/>
              <w:pageBreakBefore w:val="0"/>
              <w:kinsoku/>
              <w:wordWrap/>
              <w:overflowPunct/>
              <w:topLinePunct w:val="0"/>
              <w:bidi w:val="0"/>
              <w:ind w:left="0" w:right="0"/>
              <w:jc w:val="center"/>
              <w:rPr>
                <w:rFonts w:hint="default" w:ascii="Times New Roman" w:hAnsi="Times New Roman" w:cs="Times New Roman" w:eastAsiaTheme="minorEastAsia"/>
                <w:b/>
                <w:sz w:val="21"/>
                <w:szCs w:val="21"/>
              </w:rPr>
            </w:pPr>
            <w:r>
              <w:rPr>
                <w:rFonts w:hint="default" w:ascii="Times New Roman" w:hAnsi="Times New Roman" w:cs="Times New Roman" w:eastAsiaTheme="minorEastAsia"/>
                <w:b/>
                <w:sz w:val="21"/>
                <w:szCs w:val="21"/>
              </w:rPr>
              <w:t>职务</w:t>
            </w:r>
            <w:r>
              <w:rPr>
                <w:rFonts w:hint="default" w:ascii="Times New Roman" w:hAnsi="Times New Roman" w:cs="Times New Roman" w:eastAsiaTheme="minorEastAsia"/>
                <w:b/>
                <w:sz w:val="21"/>
                <w:szCs w:val="21"/>
                <w:lang w:eastAsia="zh-CN"/>
              </w:rPr>
              <w:t>/</w:t>
            </w:r>
            <w:r>
              <w:rPr>
                <w:rFonts w:hint="default" w:ascii="Times New Roman" w:hAnsi="Times New Roman" w:cs="Times New Roman" w:eastAsiaTheme="minorEastAsia"/>
                <w:b/>
                <w:sz w:val="21"/>
                <w:szCs w:val="21"/>
              </w:rPr>
              <w:t>职</w:t>
            </w:r>
            <w:r>
              <w:rPr>
                <w:rFonts w:hint="default" w:ascii="Times New Roman" w:hAnsi="Times New Roman" w:cs="Times New Roman" w:eastAsiaTheme="minorEastAsia"/>
                <w:b/>
                <w:w w:val="101"/>
                <w:sz w:val="21"/>
                <w:szCs w:val="21"/>
              </w:rPr>
              <w:t>称</w:t>
            </w:r>
          </w:p>
        </w:tc>
        <w:tc>
          <w:tcPr>
            <w:tcW w:w="709" w:type="dxa"/>
            <w:shd w:val="clear" w:color="auto" w:fill="D8D8D8" w:themeFill="background1" w:themeFillShade="D9"/>
            <w:vAlign w:val="center"/>
          </w:tcPr>
          <w:p w14:paraId="5E6A1DFD">
            <w:pPr>
              <w:pStyle w:val="22"/>
              <w:pageBreakBefore w:val="0"/>
              <w:kinsoku/>
              <w:wordWrap/>
              <w:overflowPunct/>
              <w:topLinePunct w:val="0"/>
              <w:bidi w:val="0"/>
              <w:ind w:left="0" w:right="0"/>
              <w:jc w:val="center"/>
              <w:rPr>
                <w:rFonts w:hint="default" w:ascii="Times New Roman" w:hAnsi="Times New Roman" w:cs="Times New Roman" w:eastAsiaTheme="minorEastAsia"/>
                <w:b/>
                <w:sz w:val="21"/>
                <w:szCs w:val="21"/>
              </w:rPr>
            </w:pPr>
            <w:r>
              <w:rPr>
                <w:rFonts w:hint="default" w:ascii="Times New Roman" w:hAnsi="Times New Roman" w:cs="Times New Roman" w:eastAsiaTheme="minorEastAsia"/>
                <w:b/>
                <w:sz w:val="21"/>
                <w:szCs w:val="21"/>
              </w:rPr>
              <w:t>项目职</w:t>
            </w:r>
            <w:r>
              <w:rPr>
                <w:rFonts w:hint="default" w:ascii="Times New Roman" w:hAnsi="Times New Roman" w:cs="Times New Roman" w:eastAsiaTheme="minorEastAsia"/>
                <w:b/>
                <w:w w:val="101"/>
                <w:sz w:val="21"/>
                <w:szCs w:val="21"/>
              </w:rPr>
              <w:t>务</w:t>
            </w:r>
          </w:p>
        </w:tc>
        <w:tc>
          <w:tcPr>
            <w:tcW w:w="3827" w:type="dxa"/>
            <w:shd w:val="clear" w:color="auto" w:fill="D8D8D8" w:themeFill="background1" w:themeFillShade="D9"/>
            <w:vAlign w:val="center"/>
          </w:tcPr>
          <w:p w14:paraId="280D6C4C">
            <w:pPr>
              <w:pStyle w:val="22"/>
              <w:pageBreakBefore w:val="0"/>
              <w:tabs>
                <w:tab w:val="left" w:pos="557"/>
              </w:tabs>
              <w:kinsoku/>
              <w:wordWrap/>
              <w:overflowPunct/>
              <w:topLinePunct w:val="0"/>
              <w:bidi w:val="0"/>
              <w:ind w:left="0" w:right="0"/>
              <w:jc w:val="center"/>
              <w:rPr>
                <w:rFonts w:hint="default" w:ascii="Times New Roman" w:hAnsi="Times New Roman" w:cs="Times New Roman" w:eastAsiaTheme="minorEastAsia"/>
                <w:b/>
                <w:sz w:val="21"/>
                <w:szCs w:val="21"/>
              </w:rPr>
            </w:pPr>
            <w:r>
              <w:rPr>
                <w:rFonts w:hint="default" w:ascii="Times New Roman" w:hAnsi="Times New Roman" w:cs="Times New Roman" w:eastAsiaTheme="minorEastAsia"/>
                <w:b/>
                <w:sz w:val="21"/>
                <w:szCs w:val="21"/>
              </w:rPr>
              <w:t>分</w:t>
            </w:r>
            <w:r>
              <w:rPr>
                <w:rFonts w:hint="default" w:ascii="Times New Roman" w:hAnsi="Times New Roman" w:cs="Times New Roman" w:eastAsiaTheme="minorEastAsia"/>
                <w:b/>
                <w:sz w:val="21"/>
                <w:szCs w:val="21"/>
              </w:rPr>
              <w:tab/>
            </w:r>
            <w:r>
              <w:rPr>
                <w:rFonts w:hint="default" w:ascii="Times New Roman" w:hAnsi="Times New Roman" w:cs="Times New Roman" w:eastAsiaTheme="minorEastAsia"/>
                <w:b/>
                <w:sz w:val="21"/>
                <w:szCs w:val="21"/>
              </w:rPr>
              <w:t>工</w:t>
            </w:r>
          </w:p>
        </w:tc>
      </w:tr>
      <w:tr w14:paraId="215A8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79239AC2">
            <w:pPr>
              <w:keepNext w:val="0"/>
              <w:keepLines w:val="0"/>
              <w:pageBreakBefore w:val="0"/>
              <w:widowControl w:val="0"/>
              <w:kinsoku/>
              <w:wordWrap/>
              <w:overflowPunct/>
              <w:topLinePunct w:val="0"/>
              <w:autoSpaceDE/>
              <w:autoSpaceDN/>
              <w:bidi w:val="0"/>
              <w:adjustRightInd w:val="0"/>
              <w:snapToGrid w:val="0"/>
              <w:spacing w:after="60" w:line="240" w:lineRule="auto"/>
              <w:ind w:left="0" w:right="0" w:firstLine="0" w:firstLineChars="0"/>
              <w:jc w:val="center"/>
              <w:textAlignment w:val="center"/>
              <w:rPr>
                <w:rFonts w:hint="default" w:ascii="Times New Roman" w:hAnsi="Times New Roman" w:eastAsia="宋体" w:cs="Times New Roman"/>
              </w:rPr>
            </w:pPr>
            <w:r>
              <w:rPr>
                <w:rFonts w:hint="default" w:ascii="Times New Roman" w:hAnsi="Times New Roman" w:eastAsia="宋体" w:cs="Times New Roman"/>
                <w:lang w:eastAsia="zh-CN"/>
              </w:rPr>
              <w:t>井</w:t>
            </w:r>
            <w:r>
              <w:rPr>
                <w:rFonts w:hint="default" w:ascii="Times New Roman" w:hAnsi="Times New Roman" w:cs="Times New Roman"/>
                <w:lang w:val="en-US" w:eastAsia="zh-CN"/>
              </w:rPr>
              <w:t xml:space="preserve">    </w:t>
            </w:r>
            <w:r>
              <w:rPr>
                <w:rFonts w:hint="default" w:ascii="Times New Roman" w:hAnsi="Times New Roman" w:eastAsia="宋体" w:cs="Times New Roman"/>
                <w:lang w:eastAsia="zh-CN"/>
              </w:rPr>
              <w:t>亮</w:t>
            </w:r>
          </w:p>
        </w:tc>
        <w:tc>
          <w:tcPr>
            <w:tcW w:w="1537" w:type="dxa"/>
            <w:shd w:val="clear" w:color="auto" w:fill="FFFFFF" w:themeFill="background1"/>
            <w:vAlign w:val="center"/>
          </w:tcPr>
          <w:p w14:paraId="65F50BB8">
            <w:pPr>
              <w:keepNext w:val="0"/>
              <w:keepLines w:val="0"/>
              <w:pageBreakBefore w:val="0"/>
              <w:widowControl w:val="0"/>
              <w:kinsoku/>
              <w:wordWrap/>
              <w:overflowPunct/>
              <w:topLinePunct w:val="0"/>
              <w:autoSpaceDE/>
              <w:autoSpaceDN/>
              <w:bidi w:val="0"/>
              <w:adjustRightInd w:val="0"/>
              <w:snapToGrid w:val="0"/>
              <w:spacing w:after="60" w:line="240" w:lineRule="auto"/>
              <w:ind w:left="0" w:right="0" w:firstLine="0" w:firstLineChars="0"/>
              <w:jc w:val="center"/>
              <w:textAlignment w:val="center"/>
              <w:rPr>
                <w:rFonts w:hint="default" w:ascii="Times New Roman" w:hAnsi="Times New Roman" w:eastAsia="宋体" w:cs="Times New Roman"/>
                <w:lang w:eastAsia="zh-CN"/>
              </w:rPr>
            </w:pPr>
            <w:r>
              <w:rPr>
                <w:rFonts w:hint="default" w:ascii="Times New Roman" w:hAnsi="Times New Roman" w:eastAsia="宋体" w:cs="Times New Roman"/>
                <w:lang w:eastAsia="zh-CN"/>
              </w:rPr>
              <w:t>天科院环境科技发展（天津）有限公司</w:t>
            </w:r>
          </w:p>
        </w:tc>
        <w:tc>
          <w:tcPr>
            <w:tcW w:w="1214" w:type="dxa"/>
            <w:shd w:val="clear" w:color="auto" w:fill="FFFFFF" w:themeFill="background1"/>
            <w:vAlign w:val="center"/>
          </w:tcPr>
          <w:p w14:paraId="04CF8CCE">
            <w:pPr>
              <w:keepNext w:val="0"/>
              <w:keepLines w:val="0"/>
              <w:pageBreakBefore w:val="0"/>
              <w:widowControl w:val="0"/>
              <w:kinsoku/>
              <w:wordWrap/>
              <w:overflowPunct/>
              <w:topLinePunct w:val="0"/>
              <w:autoSpaceDE/>
              <w:autoSpaceDN/>
              <w:bidi w:val="0"/>
              <w:adjustRightInd w:val="0"/>
              <w:snapToGrid w:val="0"/>
              <w:spacing w:after="60" w:line="240" w:lineRule="auto"/>
              <w:ind w:left="0" w:right="0" w:firstLine="0" w:firstLineChars="0"/>
              <w:jc w:val="center"/>
              <w:textAlignment w:val="center"/>
              <w:rPr>
                <w:rFonts w:hint="default" w:ascii="Times New Roman" w:hAnsi="Times New Roman" w:eastAsia="宋体" w:cs="Times New Roman"/>
                <w:lang w:val="en-US" w:eastAsia="zh-CN"/>
              </w:rPr>
            </w:pPr>
            <w:r>
              <w:rPr>
                <w:rFonts w:hint="default" w:ascii="Times New Roman" w:hAnsi="Times New Roman" w:eastAsia="宋体" w:cs="Times New Roman"/>
                <w:lang w:eastAsia="zh-CN"/>
              </w:rPr>
              <w:t>高级工程师/</w:t>
            </w:r>
            <w:r>
              <w:rPr>
                <w:rFonts w:hint="default" w:ascii="Times New Roman" w:hAnsi="Times New Roman" w:eastAsia="宋体" w:cs="Times New Roman"/>
                <w:lang w:val="en-US" w:eastAsia="zh-CN"/>
              </w:rPr>
              <w:t>环保与数字化研究所长</w:t>
            </w:r>
          </w:p>
        </w:tc>
        <w:tc>
          <w:tcPr>
            <w:tcW w:w="709" w:type="dxa"/>
            <w:shd w:val="clear" w:color="auto" w:fill="FFFFFF" w:themeFill="background1"/>
            <w:vAlign w:val="center"/>
          </w:tcPr>
          <w:p w14:paraId="29597116">
            <w:pPr>
              <w:keepNext w:val="0"/>
              <w:keepLines w:val="0"/>
              <w:pageBreakBefore w:val="0"/>
              <w:widowControl w:val="0"/>
              <w:kinsoku/>
              <w:wordWrap/>
              <w:overflowPunct/>
              <w:topLinePunct w:val="0"/>
              <w:autoSpaceDE/>
              <w:autoSpaceDN/>
              <w:bidi w:val="0"/>
              <w:adjustRightInd w:val="0"/>
              <w:snapToGrid w:val="0"/>
              <w:spacing w:after="60" w:line="240" w:lineRule="auto"/>
              <w:ind w:left="0" w:right="0" w:firstLine="0" w:firstLineChars="0"/>
              <w:jc w:val="center"/>
              <w:textAlignment w:val="center"/>
              <w:rPr>
                <w:rFonts w:hint="default" w:ascii="Times New Roman" w:hAnsi="Times New Roman" w:eastAsia="宋体" w:cs="Times New Roman"/>
              </w:rPr>
            </w:pPr>
            <w:r>
              <w:rPr>
                <w:rFonts w:hint="default" w:ascii="Times New Roman" w:hAnsi="Times New Roman" w:eastAsia="宋体" w:cs="Times New Roman"/>
              </w:rPr>
              <w:t>组长</w:t>
            </w:r>
          </w:p>
        </w:tc>
        <w:tc>
          <w:tcPr>
            <w:tcW w:w="3827" w:type="dxa"/>
            <w:shd w:val="clear" w:color="auto" w:fill="FFFFFF" w:themeFill="background1"/>
            <w:vAlign w:val="center"/>
          </w:tcPr>
          <w:p w14:paraId="67541FF2">
            <w:pPr>
              <w:pStyle w:val="22"/>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标准起草总负责人，审核相关技术，组织实施</w:t>
            </w:r>
            <w:r>
              <w:rPr>
                <w:rFonts w:hint="default" w:ascii="Times New Roman" w:hAnsi="Times New Roman" w:cs="Times New Roman" w:eastAsiaTheme="minorEastAsia"/>
                <w:sz w:val="21"/>
                <w:szCs w:val="21"/>
                <w:lang w:val="en-US" w:eastAsia="zh-CN"/>
              </w:rPr>
              <w:t>港口洗车平台</w:t>
            </w:r>
            <w:r>
              <w:rPr>
                <w:rFonts w:hint="default" w:ascii="Times New Roman" w:hAnsi="Times New Roman" w:cs="Times New Roman" w:eastAsiaTheme="minorEastAsia"/>
                <w:sz w:val="21"/>
                <w:szCs w:val="21"/>
                <w:lang w:eastAsia="zh-CN"/>
              </w:rPr>
              <w:t>调研，统筹协调</w:t>
            </w:r>
            <w:r>
              <w:rPr>
                <w:rFonts w:hint="default" w:ascii="Times New Roman" w:hAnsi="Times New Roman" w:cs="Times New Roman" w:eastAsiaTheme="minorEastAsia"/>
                <w:sz w:val="21"/>
                <w:szCs w:val="21"/>
                <w:lang w:val="en-US" w:eastAsia="zh-CN"/>
              </w:rPr>
              <w:t>标准编制单位</w:t>
            </w:r>
            <w:r>
              <w:rPr>
                <w:rFonts w:hint="default" w:ascii="Times New Roman" w:hAnsi="Times New Roman" w:cs="Times New Roman" w:eastAsiaTheme="minorEastAsia"/>
                <w:sz w:val="21"/>
                <w:szCs w:val="21"/>
                <w:lang w:eastAsia="zh-CN"/>
              </w:rPr>
              <w:t>、组织讨论、汇总分析等工作，主导完成标准编制。</w:t>
            </w:r>
          </w:p>
        </w:tc>
      </w:tr>
      <w:tr w14:paraId="7399D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29127AA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eastAsia="宋体" w:cs="Times New Roman"/>
              </w:rPr>
            </w:pPr>
            <w:r>
              <w:rPr>
                <w:rFonts w:hint="default" w:ascii="Times New Roman" w:hAnsi="Times New Roman" w:eastAsia="宋体" w:cs="Times New Roman"/>
              </w:rPr>
              <w:t>张春意</w:t>
            </w:r>
          </w:p>
        </w:tc>
        <w:tc>
          <w:tcPr>
            <w:tcW w:w="1537" w:type="dxa"/>
            <w:shd w:val="clear" w:color="auto" w:fill="FFFFFF" w:themeFill="background1"/>
            <w:vAlign w:val="center"/>
          </w:tcPr>
          <w:p w14:paraId="44F8AEAA">
            <w:pPr>
              <w:keepNext w:val="0"/>
              <w:keepLines w:val="0"/>
              <w:pageBreakBefore w:val="0"/>
              <w:widowControl w:val="0"/>
              <w:kinsoku/>
              <w:wordWrap/>
              <w:overflowPunct/>
              <w:topLinePunct w:val="0"/>
              <w:autoSpaceDE/>
              <w:autoSpaceDN/>
              <w:bidi w:val="0"/>
              <w:adjustRightInd w:val="0"/>
              <w:snapToGrid w:val="0"/>
              <w:spacing w:after="60"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天科院环境科技发展(天津)有限公司</w:t>
            </w:r>
          </w:p>
        </w:tc>
        <w:tc>
          <w:tcPr>
            <w:tcW w:w="1214" w:type="dxa"/>
            <w:shd w:val="clear" w:color="auto" w:fill="FFFFFF" w:themeFill="background1"/>
            <w:vAlign w:val="center"/>
          </w:tcPr>
          <w:p w14:paraId="1351809C">
            <w:pPr>
              <w:keepNext w:val="0"/>
              <w:keepLines w:val="0"/>
              <w:pageBreakBefore w:val="0"/>
              <w:widowControl w:val="0"/>
              <w:kinsoku/>
              <w:wordWrap/>
              <w:overflowPunct/>
              <w:topLinePunct w:val="0"/>
              <w:autoSpaceDE/>
              <w:autoSpaceDN/>
              <w:bidi w:val="0"/>
              <w:adjustRightInd w:val="0"/>
              <w:snapToGrid w:val="0"/>
              <w:spacing w:after="60"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高级工程师/副总经理</w:t>
            </w:r>
          </w:p>
        </w:tc>
        <w:tc>
          <w:tcPr>
            <w:tcW w:w="709" w:type="dxa"/>
            <w:shd w:val="clear" w:color="auto" w:fill="FFFFFF" w:themeFill="background1"/>
            <w:vAlign w:val="center"/>
          </w:tcPr>
          <w:p w14:paraId="38BF93C6">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组员</w:t>
            </w:r>
          </w:p>
        </w:tc>
        <w:tc>
          <w:tcPr>
            <w:tcW w:w="3827" w:type="dxa"/>
            <w:shd w:val="clear" w:color="auto" w:fill="FFFFFF" w:themeFill="background1"/>
            <w:vAlign w:val="center"/>
          </w:tcPr>
          <w:p w14:paraId="2894E820">
            <w:pPr>
              <w:pStyle w:val="22"/>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pacing w:val="-3"/>
                <w:sz w:val="21"/>
                <w:szCs w:val="21"/>
                <w:lang w:eastAsia="zh-CN"/>
              </w:rPr>
              <w:t>组织标准起草工作，把握标准制定技术方向，组织协调标准制定所需资源。</w:t>
            </w:r>
          </w:p>
        </w:tc>
      </w:tr>
      <w:tr w14:paraId="6ED9A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707D3F5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eastAsia="宋体" w:cs="Times New Roman"/>
              </w:rPr>
            </w:pPr>
            <w:r>
              <w:rPr>
                <w:rFonts w:hint="default" w:ascii="Times New Roman" w:hAnsi="Times New Roman" w:eastAsia="宋体" w:cs="Times New Roman"/>
                <w:lang w:val="en-US" w:eastAsia="zh-CN"/>
              </w:rPr>
              <w:t>李金钊</w:t>
            </w:r>
          </w:p>
        </w:tc>
        <w:tc>
          <w:tcPr>
            <w:tcW w:w="1537" w:type="dxa"/>
            <w:shd w:val="clear" w:color="auto" w:fill="FFFFFF" w:themeFill="background1"/>
            <w:vAlign w:val="center"/>
          </w:tcPr>
          <w:p w14:paraId="0FF356F4">
            <w:pPr>
              <w:keepNext w:val="0"/>
              <w:keepLines w:val="0"/>
              <w:pageBreakBefore w:val="0"/>
              <w:widowControl w:val="0"/>
              <w:kinsoku/>
              <w:wordWrap/>
              <w:overflowPunct/>
              <w:topLinePunct w:val="0"/>
              <w:autoSpaceDE/>
              <w:autoSpaceDN/>
              <w:bidi w:val="0"/>
              <w:adjustRightInd w:val="0"/>
              <w:snapToGrid w:val="0"/>
              <w:spacing w:after="60"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天科院环境科技发展(天津)有限公司</w:t>
            </w:r>
          </w:p>
        </w:tc>
        <w:tc>
          <w:tcPr>
            <w:tcW w:w="1214" w:type="dxa"/>
            <w:shd w:val="clear" w:color="auto" w:fill="FFFFFF" w:themeFill="background1"/>
            <w:vAlign w:val="center"/>
          </w:tcPr>
          <w:p w14:paraId="055B959A">
            <w:pPr>
              <w:keepNext w:val="0"/>
              <w:keepLines w:val="0"/>
              <w:pageBreakBefore w:val="0"/>
              <w:widowControl w:val="0"/>
              <w:kinsoku/>
              <w:wordWrap/>
              <w:overflowPunct/>
              <w:topLinePunct w:val="0"/>
              <w:autoSpaceDE/>
              <w:autoSpaceDN/>
              <w:bidi w:val="0"/>
              <w:adjustRightInd w:val="0"/>
              <w:snapToGrid w:val="0"/>
              <w:spacing w:after="60" w:line="240" w:lineRule="auto"/>
              <w:ind w:left="0" w:right="0" w:firstLine="0" w:firstLineChars="0"/>
              <w:jc w:val="center"/>
              <w:textAlignment w:val="center"/>
              <w:rPr>
                <w:rFonts w:hint="default" w:ascii="Times New Roman" w:hAnsi="Times New Roman" w:cs="Times New Roman" w:eastAsiaTheme="minorEastAsia"/>
                <w:sz w:val="21"/>
                <w:szCs w:val="21"/>
              </w:rPr>
            </w:pPr>
            <w:r>
              <w:rPr>
                <w:rFonts w:hint="default" w:ascii="Times New Roman" w:hAnsi="Times New Roman" w:cs="Times New Roman"/>
              </w:rPr>
              <w:t>工程师</w:t>
            </w:r>
          </w:p>
        </w:tc>
        <w:tc>
          <w:tcPr>
            <w:tcW w:w="709" w:type="dxa"/>
            <w:shd w:val="clear" w:color="auto" w:fill="FFFFFF" w:themeFill="background1"/>
            <w:vAlign w:val="center"/>
          </w:tcPr>
          <w:p w14:paraId="2586E8F3">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组员</w:t>
            </w:r>
          </w:p>
        </w:tc>
        <w:tc>
          <w:tcPr>
            <w:tcW w:w="3827" w:type="dxa"/>
            <w:shd w:val="clear" w:color="auto" w:fill="FFFFFF" w:themeFill="background1"/>
            <w:vAlign w:val="center"/>
          </w:tcPr>
          <w:p w14:paraId="43A36800">
            <w:pPr>
              <w:pStyle w:val="22"/>
              <w:pageBreakBefore w:val="0"/>
              <w:kinsoku/>
              <w:wordWrap/>
              <w:overflowPunct/>
              <w:topLinePunct w:val="0"/>
              <w:bidi w:val="0"/>
              <w:ind w:left="0" w:right="0"/>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pacing w:val="-3"/>
                <w:sz w:val="21"/>
                <w:szCs w:val="21"/>
                <w:lang w:eastAsia="zh-CN"/>
              </w:rPr>
              <w:t>组织讨论确定编制框架，组织起草组人员讨论确定技术要素，</w:t>
            </w:r>
            <w:r>
              <w:rPr>
                <w:rFonts w:hint="default" w:ascii="Times New Roman" w:hAnsi="Times New Roman" w:cs="Times New Roman" w:eastAsiaTheme="minorEastAsia"/>
                <w:spacing w:val="-3"/>
                <w:sz w:val="21"/>
                <w:szCs w:val="21"/>
                <w:lang w:val="en-US" w:eastAsia="zh-CN"/>
              </w:rPr>
              <w:t>组织现场调研工作。</w:t>
            </w:r>
          </w:p>
        </w:tc>
      </w:tr>
      <w:tr w14:paraId="6EB53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2F7E572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eastAsia="宋体" w:cs="Times New Roman"/>
              </w:rPr>
            </w:pPr>
            <w:r>
              <w:rPr>
                <w:rFonts w:hint="default" w:ascii="Times New Roman" w:hAnsi="Times New Roman" w:eastAsia="宋体" w:cs="Times New Roman"/>
                <w:lang w:val="en-US" w:eastAsia="zh-CN"/>
              </w:rPr>
              <w:t xml:space="preserve">赵  </w:t>
            </w:r>
            <w:r>
              <w:rPr>
                <w:rFonts w:hint="default" w:ascii="Times New Roman" w:hAnsi="Times New Roman" w:cs="Times New Roman"/>
                <w:lang w:val="en-US" w:eastAsia="zh-CN"/>
              </w:rPr>
              <w:t xml:space="preserve">  </w:t>
            </w:r>
            <w:r>
              <w:rPr>
                <w:rFonts w:hint="default" w:ascii="Times New Roman" w:hAnsi="Times New Roman" w:eastAsia="宋体" w:cs="Times New Roman"/>
                <w:lang w:val="en-US" w:eastAsia="zh-CN"/>
              </w:rPr>
              <w:t>俊</w:t>
            </w:r>
          </w:p>
        </w:tc>
        <w:tc>
          <w:tcPr>
            <w:tcW w:w="1537" w:type="dxa"/>
            <w:shd w:val="clear" w:color="auto" w:fill="FFFFFF" w:themeFill="background1"/>
            <w:vAlign w:val="center"/>
          </w:tcPr>
          <w:p w14:paraId="1CE16688">
            <w:pPr>
              <w:keepNext w:val="0"/>
              <w:keepLines w:val="0"/>
              <w:pageBreakBefore w:val="0"/>
              <w:widowControl w:val="0"/>
              <w:kinsoku/>
              <w:wordWrap/>
              <w:overflowPunct/>
              <w:topLinePunct w:val="0"/>
              <w:autoSpaceDE/>
              <w:autoSpaceDN/>
              <w:bidi w:val="0"/>
              <w:adjustRightInd w:val="0"/>
              <w:snapToGrid w:val="0"/>
              <w:spacing w:after="60"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天科院环境科技发展(天津)有限公司</w:t>
            </w:r>
          </w:p>
        </w:tc>
        <w:tc>
          <w:tcPr>
            <w:tcW w:w="1214" w:type="dxa"/>
            <w:shd w:val="clear" w:color="auto" w:fill="FFFFFF" w:themeFill="background1"/>
            <w:vAlign w:val="center"/>
          </w:tcPr>
          <w:p w14:paraId="0E272535">
            <w:pPr>
              <w:keepNext w:val="0"/>
              <w:keepLines w:val="0"/>
              <w:pageBreakBefore w:val="0"/>
              <w:widowControl w:val="0"/>
              <w:kinsoku/>
              <w:wordWrap/>
              <w:overflowPunct/>
              <w:topLinePunct w:val="0"/>
              <w:autoSpaceDE/>
              <w:autoSpaceDN/>
              <w:bidi w:val="0"/>
              <w:adjustRightInd w:val="0"/>
              <w:snapToGrid w:val="0"/>
              <w:spacing w:after="60"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工程师</w:t>
            </w:r>
          </w:p>
        </w:tc>
        <w:tc>
          <w:tcPr>
            <w:tcW w:w="709" w:type="dxa"/>
            <w:shd w:val="clear" w:color="auto" w:fill="FFFFFF" w:themeFill="background1"/>
            <w:vAlign w:val="center"/>
          </w:tcPr>
          <w:p w14:paraId="0ECB25C5">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组员</w:t>
            </w:r>
          </w:p>
        </w:tc>
        <w:tc>
          <w:tcPr>
            <w:tcW w:w="3827" w:type="dxa"/>
            <w:shd w:val="clear" w:color="auto" w:fill="FFFFFF" w:themeFill="background1"/>
            <w:vAlign w:val="center"/>
          </w:tcPr>
          <w:p w14:paraId="22749CEF">
            <w:pPr>
              <w:pStyle w:val="22"/>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完成</w:t>
            </w:r>
            <w:r>
              <w:rPr>
                <w:rFonts w:hint="default" w:ascii="Times New Roman" w:hAnsi="Times New Roman" w:cs="Times New Roman" w:eastAsiaTheme="minorEastAsia"/>
                <w:sz w:val="21"/>
                <w:szCs w:val="21"/>
                <w:lang w:val="en-US" w:eastAsia="zh-CN"/>
              </w:rPr>
              <w:t>港口洗车平台资料调研、报告编写工作</w:t>
            </w:r>
            <w:r>
              <w:rPr>
                <w:rFonts w:hint="default" w:ascii="Times New Roman" w:hAnsi="Times New Roman" w:cs="Times New Roman" w:eastAsiaTheme="minorEastAsia"/>
                <w:sz w:val="21"/>
                <w:szCs w:val="21"/>
                <w:lang w:eastAsia="zh-CN"/>
              </w:rPr>
              <w:t>，负责</w:t>
            </w:r>
            <w:r>
              <w:rPr>
                <w:rFonts w:hint="default" w:ascii="Times New Roman" w:hAnsi="Times New Roman" w:cs="Times New Roman" w:eastAsiaTheme="minorEastAsia"/>
                <w:sz w:val="21"/>
                <w:szCs w:val="21"/>
                <w:lang w:val="en-US" w:eastAsia="zh-CN"/>
              </w:rPr>
              <w:t>标准草案编制</w:t>
            </w:r>
            <w:r>
              <w:rPr>
                <w:rFonts w:hint="default" w:ascii="Times New Roman" w:hAnsi="Times New Roman" w:cs="Times New Roman" w:eastAsiaTheme="minorEastAsia"/>
                <w:sz w:val="21"/>
                <w:szCs w:val="21"/>
                <w:lang w:eastAsia="zh-CN"/>
              </w:rPr>
              <w:t>、汇总分析</w:t>
            </w:r>
            <w:r>
              <w:rPr>
                <w:rFonts w:hint="default" w:ascii="Times New Roman" w:hAnsi="Times New Roman" w:cs="Times New Roman" w:eastAsiaTheme="minorEastAsia"/>
                <w:sz w:val="21"/>
                <w:szCs w:val="21"/>
                <w:lang w:val="en-US" w:eastAsia="zh-CN"/>
              </w:rPr>
              <w:t>参编单位调研数据</w:t>
            </w:r>
            <w:r>
              <w:rPr>
                <w:rFonts w:hint="default" w:ascii="Times New Roman" w:hAnsi="Times New Roman" w:cs="Times New Roman" w:eastAsiaTheme="minorEastAsia"/>
                <w:sz w:val="21"/>
                <w:szCs w:val="21"/>
                <w:lang w:eastAsia="zh-CN"/>
              </w:rPr>
              <w:t>等，</w:t>
            </w:r>
            <w:r>
              <w:rPr>
                <w:rFonts w:hint="default" w:ascii="Times New Roman" w:hAnsi="Times New Roman" w:cs="Times New Roman" w:eastAsiaTheme="minorEastAsia"/>
                <w:spacing w:val="-3"/>
                <w:sz w:val="21"/>
                <w:szCs w:val="21"/>
                <w:lang w:eastAsia="zh-CN"/>
              </w:rPr>
              <w:t>组织标准审查、修改、报批。</w:t>
            </w:r>
          </w:p>
        </w:tc>
      </w:tr>
      <w:tr w14:paraId="6F465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vAlign w:val="center"/>
          </w:tcPr>
          <w:p w14:paraId="5347D66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eastAsia="宋体" w:cs="Times New Roman"/>
                <w:lang w:eastAsia="zh-CN"/>
              </w:rPr>
            </w:pPr>
            <w:r>
              <w:rPr>
                <w:rFonts w:hint="default" w:ascii="Times New Roman" w:hAnsi="Times New Roman" w:eastAsia="宋体" w:cs="Times New Roman"/>
                <w:lang w:val="en-US" w:eastAsia="zh-CN"/>
              </w:rPr>
              <w:t xml:space="preserve">高  </w:t>
            </w:r>
            <w:r>
              <w:rPr>
                <w:rFonts w:hint="default" w:ascii="Times New Roman" w:hAnsi="Times New Roman" w:cs="Times New Roman"/>
                <w:lang w:val="en-US" w:eastAsia="zh-CN"/>
              </w:rPr>
              <w:t xml:space="preserve">  </w:t>
            </w:r>
            <w:r>
              <w:rPr>
                <w:rFonts w:hint="default" w:ascii="Times New Roman" w:hAnsi="Times New Roman" w:eastAsia="宋体" w:cs="Times New Roman"/>
                <w:lang w:val="en-US" w:eastAsia="zh-CN"/>
              </w:rPr>
              <w:t>磊</w:t>
            </w:r>
          </w:p>
        </w:tc>
        <w:tc>
          <w:tcPr>
            <w:tcW w:w="1537" w:type="dxa"/>
            <w:vAlign w:val="center"/>
          </w:tcPr>
          <w:p w14:paraId="05F9ED5E">
            <w:pPr>
              <w:keepNext w:val="0"/>
              <w:keepLines w:val="0"/>
              <w:pageBreakBefore w:val="0"/>
              <w:widowControl w:val="0"/>
              <w:kinsoku/>
              <w:wordWrap/>
              <w:overflowPunct/>
              <w:topLinePunct w:val="0"/>
              <w:autoSpaceDE/>
              <w:autoSpaceDN/>
              <w:bidi w:val="0"/>
              <w:adjustRightInd w:val="0"/>
              <w:snapToGrid w:val="0"/>
              <w:spacing w:after="60"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唐山港集团股份有限公司</w:t>
            </w:r>
          </w:p>
        </w:tc>
        <w:tc>
          <w:tcPr>
            <w:tcW w:w="1214" w:type="dxa"/>
            <w:vAlign w:val="center"/>
          </w:tcPr>
          <w:p w14:paraId="6013D37D">
            <w:pPr>
              <w:keepNext w:val="0"/>
              <w:keepLines w:val="0"/>
              <w:pageBreakBefore w:val="0"/>
              <w:widowControl w:val="0"/>
              <w:kinsoku/>
              <w:wordWrap/>
              <w:overflowPunct/>
              <w:topLinePunct w:val="0"/>
              <w:autoSpaceDE/>
              <w:autoSpaceDN/>
              <w:bidi w:val="0"/>
              <w:adjustRightInd w:val="0"/>
              <w:snapToGrid w:val="0"/>
              <w:spacing w:after="60"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高级工程师/副总经理</w:t>
            </w:r>
          </w:p>
        </w:tc>
        <w:tc>
          <w:tcPr>
            <w:tcW w:w="709" w:type="dxa"/>
            <w:vAlign w:val="center"/>
          </w:tcPr>
          <w:p w14:paraId="73A53FEB">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组员</w:t>
            </w:r>
          </w:p>
        </w:tc>
        <w:tc>
          <w:tcPr>
            <w:tcW w:w="3827" w:type="dxa"/>
            <w:vAlign w:val="center"/>
          </w:tcPr>
          <w:p w14:paraId="25920E96">
            <w:pPr>
              <w:pStyle w:val="22"/>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提供</w:t>
            </w:r>
            <w:r>
              <w:rPr>
                <w:rFonts w:hint="default" w:ascii="Times New Roman" w:hAnsi="Times New Roman" w:cs="Times New Roman" w:eastAsiaTheme="minorEastAsia"/>
                <w:sz w:val="21"/>
                <w:szCs w:val="21"/>
                <w:lang w:val="en-US" w:eastAsia="zh-CN"/>
              </w:rPr>
              <w:t>煤炭、矿石洗车平台</w:t>
            </w:r>
            <w:r>
              <w:rPr>
                <w:rFonts w:hint="default" w:ascii="Times New Roman" w:hAnsi="Times New Roman" w:cs="Times New Roman" w:eastAsiaTheme="minorEastAsia"/>
                <w:sz w:val="21"/>
                <w:szCs w:val="21"/>
                <w:lang w:eastAsia="zh-CN"/>
              </w:rPr>
              <w:t>场地</w:t>
            </w:r>
            <w:r>
              <w:rPr>
                <w:rFonts w:hint="default" w:ascii="Times New Roman" w:hAnsi="Times New Roman" w:cs="Times New Roman" w:eastAsiaTheme="minorEastAsia"/>
                <w:sz w:val="21"/>
                <w:szCs w:val="21"/>
                <w:lang w:val="en-US" w:eastAsia="zh-CN"/>
              </w:rPr>
              <w:t>等</w:t>
            </w:r>
            <w:r>
              <w:rPr>
                <w:rFonts w:hint="default" w:ascii="Times New Roman" w:hAnsi="Times New Roman" w:cs="Times New Roman" w:eastAsiaTheme="minorEastAsia"/>
                <w:sz w:val="21"/>
                <w:szCs w:val="21"/>
                <w:lang w:eastAsia="zh-CN"/>
              </w:rPr>
              <w:t>，协助完成调研与</w:t>
            </w:r>
            <w:r>
              <w:rPr>
                <w:rFonts w:hint="default" w:ascii="Times New Roman" w:hAnsi="Times New Roman" w:cs="Times New Roman" w:eastAsiaTheme="minorEastAsia"/>
                <w:sz w:val="21"/>
                <w:szCs w:val="21"/>
                <w:lang w:val="en-US" w:eastAsia="zh-CN"/>
              </w:rPr>
              <w:t>污水处理设施运行研究</w:t>
            </w:r>
            <w:r>
              <w:rPr>
                <w:rFonts w:hint="default" w:ascii="Times New Roman" w:hAnsi="Times New Roman" w:cs="Times New Roman" w:eastAsiaTheme="minorEastAsia"/>
                <w:sz w:val="21"/>
                <w:szCs w:val="21"/>
                <w:lang w:eastAsia="zh-CN"/>
              </w:rPr>
              <w:t>，对标准草案提出意见或建议。</w:t>
            </w:r>
          </w:p>
        </w:tc>
      </w:tr>
      <w:tr w14:paraId="7B766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vAlign w:val="center"/>
          </w:tcPr>
          <w:p w14:paraId="79D7A2A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eastAsia="宋体" w:cs="Times New Roman"/>
                <w:lang w:eastAsia="zh-CN"/>
              </w:rPr>
            </w:pPr>
            <w:r>
              <w:rPr>
                <w:rFonts w:hint="default" w:ascii="Times New Roman" w:hAnsi="Times New Roman" w:eastAsia="宋体" w:cs="Times New Roman"/>
                <w:lang w:val="en-US" w:eastAsia="zh-CN"/>
              </w:rPr>
              <w:t>王晓辉</w:t>
            </w:r>
          </w:p>
        </w:tc>
        <w:tc>
          <w:tcPr>
            <w:tcW w:w="1537" w:type="dxa"/>
            <w:vAlign w:val="center"/>
          </w:tcPr>
          <w:p w14:paraId="6087E211">
            <w:pPr>
              <w:keepNext w:val="0"/>
              <w:keepLines w:val="0"/>
              <w:pageBreakBefore w:val="0"/>
              <w:widowControl w:val="0"/>
              <w:kinsoku/>
              <w:wordWrap/>
              <w:overflowPunct/>
              <w:topLinePunct w:val="0"/>
              <w:autoSpaceDE/>
              <w:autoSpaceDN/>
              <w:bidi w:val="0"/>
              <w:adjustRightInd w:val="0"/>
              <w:snapToGrid w:val="0"/>
              <w:spacing w:after="60"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唐山港集团股份有限公司</w:t>
            </w:r>
          </w:p>
        </w:tc>
        <w:tc>
          <w:tcPr>
            <w:tcW w:w="1214" w:type="dxa"/>
            <w:vAlign w:val="center"/>
          </w:tcPr>
          <w:p w14:paraId="57F89AB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高级工程师/安环部部长</w:t>
            </w:r>
          </w:p>
        </w:tc>
        <w:tc>
          <w:tcPr>
            <w:tcW w:w="709" w:type="dxa"/>
            <w:vAlign w:val="center"/>
          </w:tcPr>
          <w:p w14:paraId="77533D15">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组员</w:t>
            </w:r>
          </w:p>
        </w:tc>
        <w:tc>
          <w:tcPr>
            <w:tcW w:w="3827" w:type="dxa"/>
            <w:vAlign w:val="center"/>
          </w:tcPr>
          <w:p w14:paraId="4F5B4517">
            <w:pPr>
              <w:pStyle w:val="22"/>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提供</w:t>
            </w:r>
            <w:r>
              <w:rPr>
                <w:rFonts w:hint="default" w:ascii="Times New Roman" w:hAnsi="Times New Roman" w:cs="Times New Roman" w:eastAsiaTheme="minorEastAsia"/>
                <w:sz w:val="21"/>
                <w:szCs w:val="21"/>
                <w:lang w:val="en-US" w:eastAsia="zh-CN"/>
              </w:rPr>
              <w:t>煤炭、矿石洗车平台</w:t>
            </w:r>
            <w:r>
              <w:rPr>
                <w:rFonts w:hint="default" w:ascii="Times New Roman" w:hAnsi="Times New Roman" w:cs="Times New Roman" w:eastAsiaTheme="minorEastAsia"/>
                <w:sz w:val="21"/>
                <w:szCs w:val="21"/>
                <w:lang w:eastAsia="zh-CN"/>
              </w:rPr>
              <w:t>场地</w:t>
            </w:r>
            <w:r>
              <w:rPr>
                <w:rFonts w:hint="default" w:ascii="Times New Roman" w:hAnsi="Times New Roman" w:cs="Times New Roman" w:eastAsiaTheme="minorEastAsia"/>
                <w:sz w:val="21"/>
                <w:szCs w:val="21"/>
                <w:lang w:val="en-US" w:eastAsia="zh-CN"/>
              </w:rPr>
              <w:t>等</w:t>
            </w:r>
            <w:r>
              <w:rPr>
                <w:rFonts w:hint="default" w:ascii="Times New Roman" w:hAnsi="Times New Roman" w:cs="Times New Roman" w:eastAsiaTheme="minorEastAsia"/>
                <w:sz w:val="21"/>
                <w:szCs w:val="21"/>
                <w:lang w:eastAsia="zh-CN"/>
              </w:rPr>
              <w:t>，协助完成调研与</w:t>
            </w:r>
            <w:r>
              <w:rPr>
                <w:rFonts w:hint="default" w:ascii="Times New Roman" w:hAnsi="Times New Roman" w:cs="Times New Roman" w:eastAsiaTheme="minorEastAsia"/>
                <w:sz w:val="21"/>
                <w:szCs w:val="21"/>
                <w:lang w:val="en-US" w:eastAsia="zh-CN"/>
              </w:rPr>
              <w:t>污水处理设施运行研究</w:t>
            </w:r>
            <w:r>
              <w:rPr>
                <w:rFonts w:hint="default" w:ascii="Times New Roman" w:hAnsi="Times New Roman" w:cs="Times New Roman" w:eastAsiaTheme="minorEastAsia"/>
                <w:sz w:val="21"/>
                <w:szCs w:val="21"/>
                <w:lang w:eastAsia="zh-CN"/>
              </w:rPr>
              <w:t>，对标准草案提出意见或建议。</w:t>
            </w:r>
          </w:p>
        </w:tc>
      </w:tr>
      <w:tr w14:paraId="4AED2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vAlign w:val="center"/>
          </w:tcPr>
          <w:p w14:paraId="07E4CD3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强</w:t>
            </w:r>
            <w:r>
              <w:rPr>
                <w:rFonts w:hint="default" w:ascii="Times New Roman" w:hAnsi="Times New Roman" w:cs="Times New Roman"/>
                <w:lang w:val="en-US" w:eastAsia="zh-CN"/>
              </w:rPr>
              <w:t>霖</w:t>
            </w:r>
            <w:r>
              <w:rPr>
                <w:rFonts w:hint="default" w:ascii="Times New Roman" w:hAnsi="Times New Roman" w:cs="Times New Roman"/>
              </w:rPr>
              <w:t>森</w:t>
            </w:r>
          </w:p>
        </w:tc>
        <w:tc>
          <w:tcPr>
            <w:tcW w:w="1537" w:type="dxa"/>
            <w:vAlign w:val="center"/>
          </w:tcPr>
          <w:p w14:paraId="6FA0DD4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唐山港集团股份有限公司</w:t>
            </w:r>
          </w:p>
        </w:tc>
        <w:tc>
          <w:tcPr>
            <w:tcW w:w="1214" w:type="dxa"/>
            <w:vAlign w:val="center"/>
          </w:tcPr>
          <w:p w14:paraId="09564FD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高级工程师/安环部副部长</w:t>
            </w:r>
          </w:p>
        </w:tc>
        <w:tc>
          <w:tcPr>
            <w:tcW w:w="709" w:type="dxa"/>
            <w:vAlign w:val="center"/>
          </w:tcPr>
          <w:p w14:paraId="4F4139E1">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组员</w:t>
            </w:r>
          </w:p>
        </w:tc>
        <w:tc>
          <w:tcPr>
            <w:tcW w:w="3827" w:type="dxa"/>
            <w:vAlign w:val="center"/>
          </w:tcPr>
          <w:p w14:paraId="1456399E">
            <w:pPr>
              <w:pStyle w:val="22"/>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提供</w:t>
            </w:r>
            <w:r>
              <w:rPr>
                <w:rFonts w:hint="default" w:ascii="Times New Roman" w:hAnsi="Times New Roman" w:cs="Times New Roman" w:eastAsiaTheme="minorEastAsia"/>
                <w:sz w:val="21"/>
                <w:szCs w:val="21"/>
                <w:lang w:val="en-US" w:eastAsia="zh-CN"/>
              </w:rPr>
              <w:t>煤炭、矿石洗车平台</w:t>
            </w:r>
            <w:r>
              <w:rPr>
                <w:rFonts w:hint="default" w:ascii="Times New Roman" w:hAnsi="Times New Roman" w:cs="Times New Roman" w:eastAsiaTheme="minorEastAsia"/>
                <w:sz w:val="21"/>
                <w:szCs w:val="21"/>
                <w:lang w:eastAsia="zh-CN"/>
              </w:rPr>
              <w:t>场地</w:t>
            </w:r>
            <w:r>
              <w:rPr>
                <w:rFonts w:hint="default" w:ascii="Times New Roman" w:hAnsi="Times New Roman" w:cs="Times New Roman" w:eastAsiaTheme="minorEastAsia"/>
                <w:sz w:val="21"/>
                <w:szCs w:val="21"/>
                <w:lang w:val="en-US" w:eastAsia="zh-CN"/>
              </w:rPr>
              <w:t>等</w:t>
            </w:r>
            <w:r>
              <w:rPr>
                <w:rFonts w:hint="default" w:ascii="Times New Roman" w:hAnsi="Times New Roman" w:cs="Times New Roman" w:eastAsiaTheme="minorEastAsia"/>
                <w:sz w:val="21"/>
                <w:szCs w:val="21"/>
                <w:lang w:eastAsia="zh-CN"/>
              </w:rPr>
              <w:t>，协助完成调研与</w:t>
            </w:r>
            <w:r>
              <w:rPr>
                <w:rFonts w:hint="default" w:ascii="Times New Roman" w:hAnsi="Times New Roman" w:cs="Times New Roman" w:eastAsiaTheme="minorEastAsia"/>
                <w:sz w:val="21"/>
                <w:szCs w:val="21"/>
                <w:lang w:val="en-US" w:eastAsia="zh-CN"/>
              </w:rPr>
              <w:t>污水处理设施运行研究</w:t>
            </w:r>
            <w:r>
              <w:rPr>
                <w:rFonts w:hint="default" w:ascii="Times New Roman" w:hAnsi="Times New Roman" w:cs="Times New Roman" w:eastAsiaTheme="minorEastAsia"/>
                <w:sz w:val="21"/>
                <w:szCs w:val="21"/>
                <w:lang w:eastAsia="zh-CN"/>
              </w:rPr>
              <w:t>，对标准草案提出意见或建议。</w:t>
            </w:r>
          </w:p>
        </w:tc>
      </w:tr>
      <w:tr w14:paraId="6936A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vAlign w:val="center"/>
          </w:tcPr>
          <w:p w14:paraId="0683ABF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赵浩宇</w:t>
            </w:r>
          </w:p>
        </w:tc>
        <w:tc>
          <w:tcPr>
            <w:tcW w:w="1537" w:type="dxa"/>
            <w:vAlign w:val="center"/>
          </w:tcPr>
          <w:p w14:paraId="046A096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唐山港集团股份有限公司</w:t>
            </w:r>
          </w:p>
        </w:tc>
        <w:tc>
          <w:tcPr>
            <w:tcW w:w="1214" w:type="dxa"/>
            <w:vAlign w:val="center"/>
          </w:tcPr>
          <w:p w14:paraId="72F7EEB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工程师/安环部经理</w:t>
            </w:r>
          </w:p>
        </w:tc>
        <w:tc>
          <w:tcPr>
            <w:tcW w:w="709" w:type="dxa"/>
            <w:vAlign w:val="center"/>
          </w:tcPr>
          <w:p w14:paraId="2C8CC535">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组员</w:t>
            </w:r>
          </w:p>
        </w:tc>
        <w:tc>
          <w:tcPr>
            <w:tcW w:w="3827" w:type="dxa"/>
            <w:vAlign w:val="center"/>
          </w:tcPr>
          <w:p w14:paraId="2F76520E">
            <w:pPr>
              <w:pStyle w:val="22"/>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提供</w:t>
            </w:r>
            <w:r>
              <w:rPr>
                <w:rFonts w:hint="default" w:ascii="Times New Roman" w:hAnsi="Times New Roman" w:cs="Times New Roman" w:eastAsiaTheme="minorEastAsia"/>
                <w:sz w:val="21"/>
                <w:szCs w:val="21"/>
                <w:lang w:val="en-US" w:eastAsia="zh-CN"/>
              </w:rPr>
              <w:t>煤炭、矿石洗车平台</w:t>
            </w:r>
            <w:r>
              <w:rPr>
                <w:rFonts w:hint="default" w:ascii="Times New Roman" w:hAnsi="Times New Roman" w:cs="Times New Roman" w:eastAsiaTheme="minorEastAsia"/>
                <w:sz w:val="21"/>
                <w:szCs w:val="21"/>
                <w:lang w:eastAsia="zh-CN"/>
              </w:rPr>
              <w:t>场地</w:t>
            </w:r>
            <w:r>
              <w:rPr>
                <w:rFonts w:hint="default" w:ascii="Times New Roman" w:hAnsi="Times New Roman" w:cs="Times New Roman" w:eastAsiaTheme="minorEastAsia"/>
                <w:sz w:val="21"/>
                <w:szCs w:val="21"/>
                <w:lang w:val="en-US" w:eastAsia="zh-CN"/>
              </w:rPr>
              <w:t>等</w:t>
            </w:r>
            <w:r>
              <w:rPr>
                <w:rFonts w:hint="default" w:ascii="Times New Roman" w:hAnsi="Times New Roman" w:cs="Times New Roman" w:eastAsiaTheme="minorEastAsia"/>
                <w:sz w:val="21"/>
                <w:szCs w:val="21"/>
                <w:lang w:eastAsia="zh-CN"/>
              </w:rPr>
              <w:t>，协助完成调研与</w:t>
            </w:r>
            <w:r>
              <w:rPr>
                <w:rFonts w:hint="default" w:ascii="Times New Roman" w:hAnsi="Times New Roman" w:cs="Times New Roman" w:eastAsiaTheme="minorEastAsia"/>
                <w:sz w:val="21"/>
                <w:szCs w:val="21"/>
                <w:lang w:val="en-US" w:eastAsia="zh-CN"/>
              </w:rPr>
              <w:t>污水处理设施运行研究</w:t>
            </w:r>
            <w:r>
              <w:rPr>
                <w:rFonts w:hint="default" w:ascii="Times New Roman" w:hAnsi="Times New Roman" w:cs="Times New Roman" w:eastAsiaTheme="minorEastAsia"/>
                <w:sz w:val="21"/>
                <w:szCs w:val="21"/>
                <w:lang w:eastAsia="zh-CN"/>
              </w:rPr>
              <w:t>，对标准草案提出意见或建议。</w:t>
            </w:r>
          </w:p>
        </w:tc>
      </w:tr>
      <w:tr w14:paraId="65754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vAlign w:val="center"/>
          </w:tcPr>
          <w:p w14:paraId="70CD265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赵鲁华</w:t>
            </w:r>
          </w:p>
        </w:tc>
        <w:tc>
          <w:tcPr>
            <w:tcW w:w="1537" w:type="dxa"/>
            <w:vAlign w:val="center"/>
          </w:tcPr>
          <w:p w14:paraId="0945CCE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山东省港口集团有限公司</w:t>
            </w:r>
          </w:p>
        </w:tc>
        <w:tc>
          <w:tcPr>
            <w:tcW w:w="1214" w:type="dxa"/>
            <w:shd w:val="clear" w:color="auto" w:fill="auto"/>
            <w:vAlign w:val="center"/>
          </w:tcPr>
          <w:p w14:paraId="55D26AF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高级工程师/安环部副部长</w:t>
            </w:r>
          </w:p>
        </w:tc>
        <w:tc>
          <w:tcPr>
            <w:tcW w:w="709" w:type="dxa"/>
            <w:vAlign w:val="center"/>
          </w:tcPr>
          <w:p w14:paraId="045F9181">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组员</w:t>
            </w:r>
          </w:p>
        </w:tc>
        <w:tc>
          <w:tcPr>
            <w:tcW w:w="3827" w:type="dxa"/>
            <w:vAlign w:val="center"/>
          </w:tcPr>
          <w:p w14:paraId="615DC5AC">
            <w:pPr>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提供洗车平台、运输车辆、货种，协助完成调研与洗车平台洗车</w:t>
            </w:r>
            <w:r>
              <w:rPr>
                <w:rFonts w:hint="default" w:ascii="Times New Roman" w:hAnsi="Times New Roman" w:cs="Times New Roman" w:eastAsiaTheme="minorEastAsia"/>
                <w:sz w:val="21"/>
                <w:szCs w:val="21"/>
                <w:lang w:val="en-US" w:eastAsia="zh-CN"/>
              </w:rPr>
              <w:t>影响因素分析</w:t>
            </w:r>
            <w:r>
              <w:rPr>
                <w:rFonts w:hint="default" w:ascii="Times New Roman" w:hAnsi="Times New Roman" w:cs="Times New Roman" w:eastAsiaTheme="minorEastAsia"/>
                <w:sz w:val="21"/>
                <w:szCs w:val="21"/>
                <w:lang w:eastAsia="zh-CN"/>
              </w:rPr>
              <w:t>，对标准草案提出意见或建议。</w:t>
            </w:r>
          </w:p>
        </w:tc>
      </w:tr>
      <w:tr w14:paraId="476F2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vAlign w:val="center"/>
          </w:tcPr>
          <w:p w14:paraId="5E28555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rPr>
            </w:pPr>
            <w:r>
              <w:rPr>
                <w:rFonts w:hint="default" w:ascii="Times New Roman" w:hAnsi="Times New Roman" w:cs="Times New Roman"/>
              </w:rPr>
              <w:t>孙正文</w:t>
            </w:r>
          </w:p>
        </w:tc>
        <w:tc>
          <w:tcPr>
            <w:tcW w:w="1537" w:type="dxa"/>
            <w:vAlign w:val="center"/>
          </w:tcPr>
          <w:p w14:paraId="4C5F0A8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山东省港口集团有限公司</w:t>
            </w:r>
          </w:p>
        </w:tc>
        <w:tc>
          <w:tcPr>
            <w:tcW w:w="1214" w:type="dxa"/>
            <w:shd w:val="clear" w:color="auto" w:fill="auto"/>
            <w:vAlign w:val="center"/>
          </w:tcPr>
          <w:p w14:paraId="7522C22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高级工程师/安环部经理</w:t>
            </w:r>
          </w:p>
        </w:tc>
        <w:tc>
          <w:tcPr>
            <w:tcW w:w="709" w:type="dxa"/>
            <w:vAlign w:val="center"/>
          </w:tcPr>
          <w:p w14:paraId="517FB427">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组员</w:t>
            </w:r>
          </w:p>
        </w:tc>
        <w:tc>
          <w:tcPr>
            <w:tcW w:w="3827" w:type="dxa"/>
            <w:vAlign w:val="center"/>
          </w:tcPr>
          <w:p w14:paraId="2B2F0F6A">
            <w:pPr>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提供洗车平台、运输车辆、货种，协助完成调研与洗车平台洗车</w:t>
            </w:r>
            <w:r>
              <w:rPr>
                <w:rFonts w:hint="default" w:ascii="Times New Roman" w:hAnsi="Times New Roman" w:cs="Times New Roman" w:eastAsiaTheme="minorEastAsia"/>
                <w:sz w:val="21"/>
                <w:szCs w:val="21"/>
                <w:lang w:val="en-US" w:eastAsia="zh-CN"/>
              </w:rPr>
              <w:t>影响因素分析</w:t>
            </w:r>
            <w:r>
              <w:rPr>
                <w:rFonts w:hint="default" w:ascii="Times New Roman" w:hAnsi="Times New Roman" w:cs="Times New Roman" w:eastAsiaTheme="minorEastAsia"/>
                <w:sz w:val="21"/>
                <w:szCs w:val="21"/>
                <w:lang w:eastAsia="zh-CN"/>
              </w:rPr>
              <w:t>，对标准草案提出意见或建议。</w:t>
            </w:r>
          </w:p>
        </w:tc>
      </w:tr>
      <w:tr w14:paraId="7239E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vAlign w:val="center"/>
          </w:tcPr>
          <w:p w14:paraId="0E55E81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rPr>
            </w:pPr>
            <w:r>
              <w:rPr>
                <w:rFonts w:hint="default" w:ascii="Times New Roman" w:hAnsi="Times New Roman" w:cs="Times New Roman"/>
              </w:rPr>
              <w:t xml:space="preserve">池 </w:t>
            </w:r>
            <w:r>
              <w:rPr>
                <w:rFonts w:hint="default" w:ascii="Times New Roman" w:hAnsi="Times New Roman" w:cs="Times New Roman"/>
                <w:lang w:val="en-US" w:eastAsia="zh-CN"/>
              </w:rPr>
              <w:t xml:space="preserve"> </w:t>
            </w:r>
            <w:r>
              <w:rPr>
                <w:rFonts w:hint="default" w:ascii="Times New Roman" w:hAnsi="Times New Roman" w:cs="Times New Roman"/>
                <w:lang w:val="en-US" w:eastAsia="zh-CN"/>
              </w:rPr>
              <w:t xml:space="preserve">  </w:t>
            </w:r>
            <w:r>
              <w:rPr>
                <w:rFonts w:hint="default" w:ascii="Times New Roman" w:hAnsi="Times New Roman" w:cs="Times New Roman"/>
              </w:rPr>
              <w:t>浩</w:t>
            </w:r>
          </w:p>
        </w:tc>
        <w:tc>
          <w:tcPr>
            <w:tcW w:w="1537" w:type="dxa"/>
            <w:vAlign w:val="center"/>
          </w:tcPr>
          <w:p w14:paraId="10B4A7C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山东省港口集团有限公司</w:t>
            </w:r>
          </w:p>
        </w:tc>
        <w:tc>
          <w:tcPr>
            <w:tcW w:w="1214" w:type="dxa"/>
            <w:shd w:val="clear" w:color="auto" w:fill="auto"/>
            <w:vAlign w:val="center"/>
          </w:tcPr>
          <w:p w14:paraId="7D960BD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eastAsia="宋体" w:cs="Times New Roman"/>
                <w:lang w:val="en-US" w:eastAsia="zh-CN"/>
              </w:rPr>
              <w:t>工程师/安环部经理</w:t>
            </w:r>
          </w:p>
        </w:tc>
        <w:tc>
          <w:tcPr>
            <w:tcW w:w="709" w:type="dxa"/>
            <w:vAlign w:val="center"/>
          </w:tcPr>
          <w:p w14:paraId="0051CD18">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组员</w:t>
            </w:r>
          </w:p>
        </w:tc>
        <w:tc>
          <w:tcPr>
            <w:tcW w:w="3827" w:type="dxa"/>
            <w:vAlign w:val="center"/>
          </w:tcPr>
          <w:p w14:paraId="5D35C0FF">
            <w:pPr>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提供洗车平台、运输车辆、货种，协助完成调研与洗车平台洗车</w:t>
            </w:r>
            <w:r>
              <w:rPr>
                <w:rFonts w:hint="default" w:ascii="Times New Roman" w:hAnsi="Times New Roman" w:cs="Times New Roman" w:eastAsiaTheme="minorEastAsia"/>
                <w:sz w:val="21"/>
                <w:szCs w:val="21"/>
                <w:lang w:val="en-US" w:eastAsia="zh-CN"/>
              </w:rPr>
              <w:t>影响因素分析</w:t>
            </w:r>
            <w:r>
              <w:rPr>
                <w:rFonts w:hint="default" w:ascii="Times New Roman" w:hAnsi="Times New Roman" w:cs="Times New Roman" w:eastAsiaTheme="minorEastAsia"/>
                <w:sz w:val="21"/>
                <w:szCs w:val="21"/>
                <w:lang w:eastAsia="zh-CN"/>
              </w:rPr>
              <w:t>，对标准草案提出意见或建议。</w:t>
            </w:r>
          </w:p>
        </w:tc>
      </w:tr>
      <w:tr w14:paraId="1A18F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1" w:hRule="atLeast"/>
        </w:trPr>
        <w:tc>
          <w:tcPr>
            <w:tcW w:w="935" w:type="dxa"/>
            <w:vAlign w:val="center"/>
          </w:tcPr>
          <w:p w14:paraId="32892FA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rPr>
            </w:pPr>
            <w:r>
              <w:rPr>
                <w:rFonts w:hint="default" w:ascii="Times New Roman" w:hAnsi="Times New Roman" w:cs="Times New Roman"/>
              </w:rPr>
              <w:t>陈利钿</w:t>
            </w:r>
          </w:p>
        </w:tc>
        <w:tc>
          <w:tcPr>
            <w:tcW w:w="1537" w:type="dxa"/>
            <w:vAlign w:val="center"/>
          </w:tcPr>
          <w:p w14:paraId="53F5817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太仓武港码头有限公司</w:t>
            </w:r>
          </w:p>
        </w:tc>
        <w:tc>
          <w:tcPr>
            <w:tcW w:w="1214" w:type="dxa"/>
            <w:shd w:val="clear" w:color="auto" w:fill="auto"/>
            <w:vAlign w:val="center"/>
          </w:tcPr>
          <w:p w14:paraId="0C7498B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高级工程师/党委副书记、纪委书记</w:t>
            </w:r>
          </w:p>
        </w:tc>
        <w:tc>
          <w:tcPr>
            <w:tcW w:w="709" w:type="dxa"/>
            <w:vAlign w:val="center"/>
          </w:tcPr>
          <w:p w14:paraId="70142A5A">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组员</w:t>
            </w:r>
          </w:p>
        </w:tc>
        <w:tc>
          <w:tcPr>
            <w:tcW w:w="3827" w:type="dxa"/>
            <w:vAlign w:val="center"/>
          </w:tcPr>
          <w:p w14:paraId="50A9B887">
            <w:pPr>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提供洗车平台场地、运输车辆</w:t>
            </w:r>
            <w:r>
              <w:rPr>
                <w:rFonts w:hint="default" w:ascii="Times New Roman" w:hAnsi="Times New Roman" w:cs="Times New Roman" w:eastAsiaTheme="minorEastAsia"/>
                <w:sz w:val="21"/>
                <w:szCs w:val="21"/>
                <w:lang w:val="en-US" w:eastAsia="zh-CN"/>
              </w:rPr>
              <w:t>等相关建设信息</w:t>
            </w:r>
            <w:r>
              <w:rPr>
                <w:rFonts w:hint="default" w:ascii="Times New Roman" w:hAnsi="Times New Roman" w:cs="Times New Roman" w:eastAsiaTheme="minorEastAsia"/>
                <w:sz w:val="21"/>
                <w:szCs w:val="21"/>
                <w:lang w:eastAsia="zh-CN"/>
              </w:rPr>
              <w:t>，协助完成调研与</w:t>
            </w:r>
            <w:r>
              <w:rPr>
                <w:rFonts w:hint="default" w:ascii="Times New Roman" w:hAnsi="Times New Roman" w:cs="Times New Roman" w:eastAsiaTheme="minorEastAsia"/>
                <w:sz w:val="21"/>
                <w:szCs w:val="21"/>
                <w:lang w:val="en-US" w:eastAsia="zh-CN"/>
              </w:rPr>
              <w:t>构筑物建设要求研究</w:t>
            </w:r>
            <w:r>
              <w:rPr>
                <w:rFonts w:hint="default" w:ascii="Times New Roman" w:hAnsi="Times New Roman" w:cs="Times New Roman" w:eastAsiaTheme="minorEastAsia"/>
                <w:sz w:val="21"/>
                <w:szCs w:val="21"/>
                <w:lang w:eastAsia="zh-CN"/>
              </w:rPr>
              <w:t>，对标准草案提出意见或建议。</w:t>
            </w:r>
          </w:p>
        </w:tc>
      </w:tr>
      <w:tr w14:paraId="2CBDC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vAlign w:val="center"/>
          </w:tcPr>
          <w:p w14:paraId="4B49D47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rPr>
            </w:pPr>
            <w:r>
              <w:rPr>
                <w:rFonts w:hint="default" w:ascii="Times New Roman" w:hAnsi="Times New Roman" w:eastAsia="宋体" w:cs="Times New Roman"/>
                <w:lang w:val="en-US" w:eastAsia="zh-CN"/>
              </w:rPr>
              <w:t xml:space="preserve">易 </w:t>
            </w:r>
            <w:r>
              <w:rPr>
                <w:rFonts w:hint="default" w:ascii="Times New Roman" w:hAnsi="Times New Roman" w:cs="Times New Roman"/>
                <w:lang w:val="en-US" w:eastAsia="zh-CN"/>
              </w:rPr>
              <w:t xml:space="preserve">  </w:t>
            </w:r>
            <w:r>
              <w:rPr>
                <w:rFonts w:hint="default" w:ascii="Times New Roman" w:hAnsi="Times New Roman" w:eastAsia="宋体" w:cs="Times New Roman"/>
                <w:lang w:val="en-US" w:eastAsia="zh-CN"/>
              </w:rPr>
              <w:t xml:space="preserve"> 华</w:t>
            </w:r>
          </w:p>
        </w:tc>
        <w:tc>
          <w:tcPr>
            <w:tcW w:w="1537" w:type="dxa"/>
            <w:vAlign w:val="center"/>
          </w:tcPr>
          <w:p w14:paraId="6A69D8A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太仓武港码头有限公司</w:t>
            </w:r>
          </w:p>
        </w:tc>
        <w:tc>
          <w:tcPr>
            <w:tcW w:w="1214" w:type="dxa"/>
            <w:shd w:val="clear" w:color="auto" w:fill="auto"/>
            <w:vAlign w:val="center"/>
          </w:tcPr>
          <w:p w14:paraId="79A8D08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rPr>
            </w:pPr>
            <w:r>
              <w:rPr>
                <w:rFonts w:hint="default" w:ascii="Times New Roman" w:hAnsi="Times New Roman" w:cs="Times New Roman"/>
              </w:rPr>
              <w:t>高级工程师/技术设备部经理</w:t>
            </w:r>
          </w:p>
        </w:tc>
        <w:tc>
          <w:tcPr>
            <w:tcW w:w="709" w:type="dxa"/>
            <w:vAlign w:val="center"/>
          </w:tcPr>
          <w:p w14:paraId="5C540FA0">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组员</w:t>
            </w:r>
          </w:p>
        </w:tc>
        <w:tc>
          <w:tcPr>
            <w:tcW w:w="3827" w:type="dxa"/>
            <w:vAlign w:val="center"/>
          </w:tcPr>
          <w:p w14:paraId="1FE84578">
            <w:pPr>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提供洗车平台场地、运输车辆</w:t>
            </w:r>
            <w:r>
              <w:rPr>
                <w:rFonts w:hint="default" w:ascii="Times New Roman" w:hAnsi="Times New Roman" w:cs="Times New Roman" w:eastAsiaTheme="minorEastAsia"/>
                <w:sz w:val="21"/>
                <w:szCs w:val="21"/>
                <w:lang w:val="en-US" w:eastAsia="zh-CN"/>
              </w:rPr>
              <w:t>等相关建设信息</w:t>
            </w:r>
            <w:r>
              <w:rPr>
                <w:rFonts w:hint="default" w:ascii="Times New Roman" w:hAnsi="Times New Roman" w:cs="Times New Roman" w:eastAsiaTheme="minorEastAsia"/>
                <w:sz w:val="21"/>
                <w:szCs w:val="21"/>
                <w:lang w:eastAsia="zh-CN"/>
              </w:rPr>
              <w:t>，协助完成调研与</w:t>
            </w:r>
            <w:r>
              <w:rPr>
                <w:rFonts w:hint="default" w:ascii="Times New Roman" w:hAnsi="Times New Roman" w:cs="Times New Roman" w:eastAsiaTheme="minorEastAsia"/>
                <w:sz w:val="21"/>
                <w:szCs w:val="21"/>
                <w:lang w:val="en-US" w:eastAsia="zh-CN"/>
              </w:rPr>
              <w:t>构筑物建设要求研究</w:t>
            </w:r>
            <w:r>
              <w:rPr>
                <w:rFonts w:hint="default" w:ascii="Times New Roman" w:hAnsi="Times New Roman" w:cs="Times New Roman" w:eastAsiaTheme="minorEastAsia"/>
                <w:sz w:val="21"/>
                <w:szCs w:val="21"/>
                <w:lang w:eastAsia="zh-CN"/>
              </w:rPr>
              <w:t>，对标准草案提出意见或建议。</w:t>
            </w:r>
          </w:p>
        </w:tc>
      </w:tr>
      <w:tr w14:paraId="36386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vAlign w:val="center"/>
          </w:tcPr>
          <w:p w14:paraId="3B29E2E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 xml:space="preserve">赵 </w:t>
            </w:r>
            <w:r>
              <w:rPr>
                <w:rFonts w:hint="default" w:ascii="Times New Roman" w:hAnsi="Times New Roman" w:cs="Times New Roman"/>
                <w:lang w:val="en-US" w:eastAsia="zh-CN"/>
              </w:rPr>
              <w:t xml:space="preserve">  </w:t>
            </w:r>
            <w:r>
              <w:rPr>
                <w:rFonts w:hint="default" w:ascii="Times New Roman" w:hAnsi="Times New Roman" w:cs="Times New Roman"/>
                <w:lang w:val="en-US" w:eastAsia="zh-CN"/>
              </w:rPr>
              <w:t xml:space="preserve"> </w:t>
            </w:r>
            <w:r>
              <w:rPr>
                <w:rFonts w:hint="default" w:ascii="Times New Roman" w:hAnsi="Times New Roman" w:cs="Times New Roman"/>
              </w:rPr>
              <w:t>霞</w:t>
            </w:r>
          </w:p>
        </w:tc>
        <w:tc>
          <w:tcPr>
            <w:tcW w:w="1537" w:type="dxa"/>
            <w:vAlign w:val="center"/>
          </w:tcPr>
          <w:p w14:paraId="50F3B94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太仓武港码头有限公司</w:t>
            </w:r>
          </w:p>
        </w:tc>
        <w:tc>
          <w:tcPr>
            <w:tcW w:w="1214" w:type="dxa"/>
            <w:tcBorders>
              <w:top w:val="single" w:color="auto" w:sz="4" w:space="0"/>
            </w:tcBorders>
            <w:vAlign w:val="center"/>
          </w:tcPr>
          <w:p w14:paraId="3117931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高级工程师/安全环保部经理</w:t>
            </w:r>
          </w:p>
        </w:tc>
        <w:tc>
          <w:tcPr>
            <w:tcW w:w="709" w:type="dxa"/>
            <w:vAlign w:val="center"/>
          </w:tcPr>
          <w:p w14:paraId="707298F8">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lang w:eastAsia="zh-CN"/>
              </w:rPr>
              <w:t>组员</w:t>
            </w:r>
          </w:p>
        </w:tc>
        <w:tc>
          <w:tcPr>
            <w:tcW w:w="3827" w:type="dxa"/>
            <w:vAlign w:val="center"/>
          </w:tcPr>
          <w:p w14:paraId="77634419">
            <w:pPr>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提供洗车平台场地、运输车辆</w:t>
            </w:r>
            <w:r>
              <w:rPr>
                <w:rFonts w:hint="default" w:ascii="Times New Roman" w:hAnsi="Times New Roman" w:cs="Times New Roman" w:eastAsiaTheme="minorEastAsia"/>
                <w:sz w:val="21"/>
                <w:szCs w:val="21"/>
                <w:lang w:val="en-US" w:eastAsia="zh-CN"/>
              </w:rPr>
              <w:t>等相关建设信息</w:t>
            </w:r>
            <w:r>
              <w:rPr>
                <w:rFonts w:hint="default" w:ascii="Times New Roman" w:hAnsi="Times New Roman" w:cs="Times New Roman" w:eastAsiaTheme="minorEastAsia"/>
                <w:sz w:val="21"/>
                <w:szCs w:val="21"/>
                <w:lang w:eastAsia="zh-CN"/>
              </w:rPr>
              <w:t>，协助完成调研与</w:t>
            </w:r>
            <w:r>
              <w:rPr>
                <w:rFonts w:hint="default" w:ascii="Times New Roman" w:hAnsi="Times New Roman" w:cs="Times New Roman" w:eastAsiaTheme="minorEastAsia"/>
                <w:sz w:val="21"/>
                <w:szCs w:val="21"/>
                <w:lang w:val="en-US" w:eastAsia="zh-CN"/>
              </w:rPr>
              <w:t>构筑物建设要求研究</w:t>
            </w:r>
            <w:r>
              <w:rPr>
                <w:rFonts w:hint="default" w:ascii="Times New Roman" w:hAnsi="Times New Roman" w:cs="Times New Roman" w:eastAsiaTheme="minorEastAsia"/>
                <w:sz w:val="21"/>
                <w:szCs w:val="21"/>
                <w:lang w:eastAsia="zh-CN"/>
              </w:rPr>
              <w:t>，对标准草案提出意见或建议。</w:t>
            </w:r>
          </w:p>
        </w:tc>
      </w:tr>
      <w:tr w14:paraId="2D32D8A3">
        <w:tblPrEx>
          <w:tblCellMar>
            <w:top w:w="0" w:type="dxa"/>
            <w:left w:w="108" w:type="dxa"/>
            <w:bottom w:w="0" w:type="dxa"/>
            <w:right w:w="108" w:type="dxa"/>
          </w:tblCellMar>
        </w:tblPrEx>
        <w:tc>
          <w:tcPr>
            <w:tcW w:w="935" w:type="dxa"/>
            <w:vAlign w:val="center"/>
          </w:tcPr>
          <w:p w14:paraId="76BFD09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尹崇志</w:t>
            </w:r>
          </w:p>
        </w:tc>
        <w:tc>
          <w:tcPr>
            <w:tcW w:w="1537" w:type="dxa"/>
            <w:vAlign w:val="center"/>
          </w:tcPr>
          <w:p w14:paraId="37B3535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青岛港董家口矿石码头有限公司</w:t>
            </w:r>
          </w:p>
        </w:tc>
        <w:tc>
          <w:tcPr>
            <w:tcW w:w="1214" w:type="dxa"/>
            <w:vAlign w:val="center"/>
          </w:tcPr>
          <w:p w14:paraId="7590A92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lang w:val="en-US" w:eastAsia="zh-CN"/>
              </w:rPr>
              <w:t>高级</w:t>
            </w:r>
            <w:r>
              <w:rPr>
                <w:rFonts w:hint="default" w:ascii="Times New Roman" w:hAnsi="Times New Roman" w:cs="Times New Roman"/>
              </w:rPr>
              <w:t>工程师/副总经理</w:t>
            </w:r>
          </w:p>
        </w:tc>
        <w:tc>
          <w:tcPr>
            <w:tcW w:w="709" w:type="dxa"/>
            <w:vAlign w:val="center"/>
          </w:tcPr>
          <w:p w14:paraId="49B770F3">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lang w:eastAsia="zh-CN"/>
              </w:rPr>
              <w:t>组员</w:t>
            </w:r>
          </w:p>
        </w:tc>
        <w:tc>
          <w:tcPr>
            <w:tcW w:w="3827" w:type="dxa"/>
            <w:vAlign w:val="center"/>
          </w:tcPr>
          <w:p w14:paraId="1D75044E">
            <w:pPr>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提供洗车平台、运输车辆、货种，协助完成调研与洗车平台洗车</w:t>
            </w:r>
            <w:r>
              <w:rPr>
                <w:rFonts w:hint="default" w:ascii="Times New Roman" w:hAnsi="Times New Roman" w:cs="Times New Roman" w:eastAsiaTheme="minorEastAsia"/>
                <w:sz w:val="21"/>
                <w:szCs w:val="21"/>
                <w:lang w:val="en-US" w:eastAsia="zh-CN"/>
              </w:rPr>
              <w:t>影响因素分析</w:t>
            </w:r>
            <w:r>
              <w:rPr>
                <w:rFonts w:hint="default" w:ascii="Times New Roman" w:hAnsi="Times New Roman" w:cs="Times New Roman" w:eastAsiaTheme="minorEastAsia"/>
                <w:sz w:val="21"/>
                <w:szCs w:val="21"/>
                <w:lang w:eastAsia="zh-CN"/>
              </w:rPr>
              <w:t>，对标准草案提出意见或建议。</w:t>
            </w:r>
          </w:p>
        </w:tc>
      </w:tr>
      <w:tr w14:paraId="532AB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vAlign w:val="center"/>
          </w:tcPr>
          <w:p w14:paraId="076159F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rPr>
            </w:pPr>
            <w:r>
              <w:rPr>
                <w:rFonts w:hint="default" w:ascii="Times New Roman" w:hAnsi="Times New Roman" w:eastAsia="宋体" w:cs="Times New Roman"/>
                <w:lang w:val="en-US" w:eastAsia="zh-CN"/>
              </w:rPr>
              <w:t xml:space="preserve">陈  </w:t>
            </w:r>
            <w:r>
              <w:rPr>
                <w:rFonts w:hint="default" w:ascii="Times New Roman" w:hAnsi="Times New Roman" w:cs="Times New Roman"/>
                <w:lang w:val="en-US" w:eastAsia="zh-CN"/>
              </w:rPr>
              <w:t xml:space="preserve">  </w:t>
            </w:r>
            <w:r>
              <w:rPr>
                <w:rFonts w:hint="default" w:ascii="Times New Roman" w:hAnsi="Times New Roman" w:eastAsia="宋体" w:cs="Times New Roman"/>
                <w:lang w:val="en-US" w:eastAsia="zh-CN"/>
              </w:rPr>
              <w:t>磊</w:t>
            </w:r>
          </w:p>
        </w:tc>
        <w:tc>
          <w:tcPr>
            <w:tcW w:w="1537" w:type="dxa"/>
            <w:vAlign w:val="center"/>
          </w:tcPr>
          <w:p w14:paraId="3CC6525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青岛港董家口矿石码头有限公司</w:t>
            </w:r>
          </w:p>
        </w:tc>
        <w:tc>
          <w:tcPr>
            <w:tcW w:w="1214" w:type="dxa"/>
            <w:shd w:val="clear" w:color="auto" w:fill="auto"/>
            <w:vAlign w:val="center"/>
          </w:tcPr>
          <w:p w14:paraId="1F52CBF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rPr>
            </w:pPr>
            <w:r>
              <w:rPr>
                <w:rFonts w:hint="default" w:ascii="Times New Roman" w:hAnsi="Times New Roman" w:cs="Times New Roman"/>
              </w:rPr>
              <w:t>高级工程师/环保主管</w:t>
            </w:r>
          </w:p>
        </w:tc>
        <w:tc>
          <w:tcPr>
            <w:tcW w:w="709" w:type="dxa"/>
            <w:vAlign w:val="center"/>
          </w:tcPr>
          <w:p w14:paraId="4667D18B">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组员</w:t>
            </w:r>
          </w:p>
        </w:tc>
        <w:tc>
          <w:tcPr>
            <w:tcW w:w="3827" w:type="dxa"/>
            <w:vAlign w:val="center"/>
          </w:tcPr>
          <w:p w14:paraId="17DEA348">
            <w:pPr>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提供洗车平台、运输车辆、货种，协助完成调研与洗车平台洗车</w:t>
            </w:r>
            <w:r>
              <w:rPr>
                <w:rFonts w:hint="default" w:ascii="Times New Roman" w:hAnsi="Times New Roman" w:cs="Times New Roman" w:eastAsiaTheme="minorEastAsia"/>
                <w:sz w:val="21"/>
                <w:szCs w:val="21"/>
                <w:lang w:val="en-US" w:eastAsia="zh-CN"/>
              </w:rPr>
              <w:t>影响因素分析</w:t>
            </w:r>
            <w:r>
              <w:rPr>
                <w:rFonts w:hint="default" w:ascii="Times New Roman" w:hAnsi="Times New Roman" w:cs="Times New Roman" w:eastAsiaTheme="minorEastAsia"/>
                <w:sz w:val="21"/>
                <w:szCs w:val="21"/>
                <w:lang w:eastAsia="zh-CN"/>
              </w:rPr>
              <w:t>，对标准草案提出意见或建议。</w:t>
            </w:r>
          </w:p>
        </w:tc>
      </w:tr>
      <w:tr w14:paraId="29D59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vAlign w:val="center"/>
          </w:tcPr>
          <w:p w14:paraId="58830CB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赵传国</w:t>
            </w:r>
          </w:p>
        </w:tc>
        <w:tc>
          <w:tcPr>
            <w:tcW w:w="1537" w:type="dxa"/>
            <w:vAlign w:val="center"/>
          </w:tcPr>
          <w:p w14:paraId="7999346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cs="Times New Roman"/>
              </w:rPr>
              <w:t>青岛港董家口矿石码头有限公司</w:t>
            </w:r>
          </w:p>
        </w:tc>
        <w:tc>
          <w:tcPr>
            <w:tcW w:w="1214" w:type="dxa"/>
            <w:shd w:val="clear" w:color="auto" w:fill="auto"/>
            <w:vAlign w:val="center"/>
          </w:tcPr>
          <w:p w14:paraId="6E3822B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rPr>
            </w:pPr>
            <w:r>
              <w:rPr>
                <w:rFonts w:hint="default" w:ascii="Times New Roman" w:hAnsi="Times New Roman" w:cs="Times New Roman"/>
              </w:rPr>
              <w:t>高级工程师/工程主管</w:t>
            </w:r>
          </w:p>
        </w:tc>
        <w:tc>
          <w:tcPr>
            <w:tcW w:w="709" w:type="dxa"/>
            <w:vAlign w:val="center"/>
          </w:tcPr>
          <w:p w14:paraId="4A434DFA">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组员</w:t>
            </w:r>
          </w:p>
        </w:tc>
        <w:tc>
          <w:tcPr>
            <w:tcW w:w="3827" w:type="dxa"/>
            <w:vAlign w:val="center"/>
          </w:tcPr>
          <w:p w14:paraId="3E3568D1">
            <w:pPr>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提供洗车平台、运输车辆、货种，协助完成调研与洗车平台洗车</w:t>
            </w:r>
            <w:r>
              <w:rPr>
                <w:rFonts w:hint="default" w:ascii="Times New Roman" w:hAnsi="Times New Roman" w:cs="Times New Roman" w:eastAsiaTheme="minorEastAsia"/>
                <w:sz w:val="21"/>
                <w:szCs w:val="21"/>
                <w:lang w:val="en-US" w:eastAsia="zh-CN"/>
              </w:rPr>
              <w:t>影响因素分析</w:t>
            </w:r>
            <w:r>
              <w:rPr>
                <w:rFonts w:hint="default" w:ascii="Times New Roman" w:hAnsi="Times New Roman" w:cs="Times New Roman" w:eastAsiaTheme="minorEastAsia"/>
                <w:sz w:val="21"/>
                <w:szCs w:val="21"/>
                <w:lang w:eastAsia="zh-CN"/>
              </w:rPr>
              <w:t>，对标准草案提出意见或建议。</w:t>
            </w:r>
          </w:p>
        </w:tc>
      </w:tr>
      <w:tr w14:paraId="084B8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vAlign w:val="center"/>
          </w:tcPr>
          <w:p w14:paraId="6DB3C2A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eastAsia="宋体" w:cs="Times New Roman"/>
                <w:lang w:val="en-US" w:eastAsia="zh-CN"/>
              </w:rPr>
              <w:t xml:space="preserve">杨  </w:t>
            </w:r>
            <w:r>
              <w:rPr>
                <w:rFonts w:hint="default" w:ascii="Times New Roman" w:hAnsi="Times New Roman" w:cs="Times New Roman"/>
                <w:lang w:val="en-US" w:eastAsia="zh-CN"/>
              </w:rPr>
              <w:t xml:space="preserve">  </w:t>
            </w:r>
            <w:r>
              <w:rPr>
                <w:rFonts w:hint="default" w:ascii="Times New Roman" w:hAnsi="Times New Roman" w:eastAsia="宋体" w:cs="Times New Roman"/>
                <w:lang w:val="en-US" w:eastAsia="zh-CN"/>
              </w:rPr>
              <w:t>晟</w:t>
            </w:r>
          </w:p>
        </w:tc>
        <w:tc>
          <w:tcPr>
            <w:tcW w:w="1537" w:type="dxa"/>
            <w:vAlign w:val="center"/>
          </w:tcPr>
          <w:p w14:paraId="1ADC347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lang w:eastAsia="zh-CN"/>
              </w:rPr>
            </w:pPr>
            <w:r>
              <w:rPr>
                <w:rFonts w:hint="default" w:ascii="Times New Roman" w:hAnsi="Times New Roman" w:eastAsia="宋体" w:cs="Times New Roman"/>
                <w:lang w:val="en-US" w:eastAsia="zh-CN"/>
              </w:rPr>
              <w:t>厦门港务集团石湖山码头有限公司</w:t>
            </w:r>
          </w:p>
        </w:tc>
        <w:tc>
          <w:tcPr>
            <w:tcW w:w="1214" w:type="dxa"/>
            <w:shd w:val="clear" w:color="auto" w:fill="auto"/>
            <w:vAlign w:val="center"/>
          </w:tcPr>
          <w:p w14:paraId="7A924A8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default" w:ascii="Times New Roman" w:hAnsi="Times New Roman" w:cs="Times New Roman" w:eastAsiaTheme="minorEastAsia"/>
                <w:sz w:val="21"/>
                <w:szCs w:val="21"/>
              </w:rPr>
            </w:pPr>
            <w:r>
              <w:rPr>
                <w:rFonts w:hint="default" w:ascii="Times New Roman" w:hAnsi="Times New Roman" w:eastAsia="宋体" w:cs="Times New Roman"/>
                <w:lang w:val="en-US" w:eastAsia="zh-CN"/>
              </w:rPr>
              <w:t>高级工程师/环保主管</w:t>
            </w:r>
          </w:p>
        </w:tc>
        <w:tc>
          <w:tcPr>
            <w:tcW w:w="709" w:type="dxa"/>
            <w:vAlign w:val="center"/>
          </w:tcPr>
          <w:p w14:paraId="48A3373C">
            <w:pPr>
              <w:pStyle w:val="22"/>
              <w:pageBreakBefore w:val="0"/>
              <w:kinsoku/>
              <w:wordWrap/>
              <w:overflowPunct/>
              <w:topLinePunct w:val="0"/>
              <w:bidi w:val="0"/>
              <w:ind w:left="0" w:right="0"/>
              <w:jc w:val="center"/>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组员</w:t>
            </w:r>
          </w:p>
        </w:tc>
        <w:tc>
          <w:tcPr>
            <w:tcW w:w="3827" w:type="dxa"/>
            <w:vAlign w:val="center"/>
          </w:tcPr>
          <w:p w14:paraId="68ADD582">
            <w:pPr>
              <w:pageBreakBefore w:val="0"/>
              <w:kinsoku/>
              <w:wordWrap/>
              <w:overflowPunct/>
              <w:topLinePunct w:val="0"/>
              <w:bidi w:val="0"/>
              <w:ind w:left="0" w:right="0"/>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val="en-US" w:eastAsia="zh-CN"/>
              </w:rPr>
              <w:t>提供洗车平台场地、运输车辆等，协助完成洗车效果影响因素研究，对标准草案提出意见或建议。</w:t>
            </w:r>
          </w:p>
        </w:tc>
      </w:tr>
    </w:tbl>
    <w:p w14:paraId="289CD9CF">
      <w:pPr>
        <w:pageBreakBefore w:val="0"/>
        <w:kinsoku/>
        <w:wordWrap/>
        <w:overflowPunct/>
        <w:topLinePunct w:val="0"/>
        <w:bidi w:val="0"/>
        <w:spacing w:before="240" w:after="240"/>
        <w:ind w:left="0" w:right="0"/>
        <w:rPr>
          <w:rFonts w:hint="default" w:ascii="Times New Roman" w:hAnsi="Times New Roman" w:cs="Times New Roman"/>
          <w:b/>
          <w:sz w:val="24"/>
          <w:szCs w:val="24"/>
          <w:lang w:eastAsia="zh-CN"/>
        </w:rPr>
      </w:pPr>
      <w:r>
        <w:rPr>
          <w:rFonts w:hint="default" w:ascii="Times New Roman" w:hAnsi="Times New Roman" w:cs="Times New Roman"/>
          <w:b/>
          <w:sz w:val="24"/>
          <w:szCs w:val="24"/>
          <w:lang w:eastAsia="zh-CN"/>
        </w:rPr>
        <w:t>（四）主要工作过程</w:t>
      </w:r>
    </w:p>
    <w:p w14:paraId="245CA9C6">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202</w:t>
      </w:r>
      <w:r>
        <w:rPr>
          <w:rFonts w:hint="default" w:ascii="Times New Roman" w:hAnsi="Times New Roman" w:cs="Times New Roman"/>
          <w:lang w:val="en-US" w:eastAsia="zh-CN"/>
        </w:rPr>
        <w:t>4</w:t>
      </w:r>
      <w:r>
        <w:rPr>
          <w:rFonts w:hint="default" w:ascii="Times New Roman" w:hAnsi="Times New Roman" w:cs="Times New Roman"/>
          <w:spacing w:val="-12"/>
          <w:lang w:eastAsia="zh-CN"/>
        </w:rPr>
        <w:t>年根</w:t>
      </w:r>
      <w:r>
        <w:rPr>
          <w:rFonts w:hint="default" w:ascii="Times New Roman" w:hAnsi="Times New Roman" w:cs="Times New Roman"/>
          <w:lang w:eastAsia="zh-CN"/>
        </w:rPr>
        <w:t>据中国港口协会关于下达202</w:t>
      </w:r>
      <w:r>
        <w:rPr>
          <w:rFonts w:hint="default" w:ascii="Times New Roman" w:hAnsi="Times New Roman" w:cs="Times New Roman"/>
          <w:lang w:val="en-US" w:eastAsia="zh-CN"/>
        </w:rPr>
        <w:t>4</w:t>
      </w:r>
      <w:r>
        <w:rPr>
          <w:rFonts w:hint="default" w:ascii="Times New Roman" w:hAnsi="Times New Roman" w:cs="Times New Roman"/>
          <w:lang w:eastAsia="zh-CN"/>
        </w:rPr>
        <w:t>年中国港口协会团体标准化计划通知（中港协行函[202</w:t>
      </w:r>
      <w:r>
        <w:rPr>
          <w:rFonts w:hint="default" w:ascii="Times New Roman" w:hAnsi="Times New Roman" w:cs="Times New Roman"/>
          <w:lang w:val="en-US" w:eastAsia="zh-CN"/>
        </w:rPr>
        <w:t>4</w:t>
      </w:r>
      <w:r>
        <w:rPr>
          <w:rFonts w:hint="default" w:ascii="Times New Roman" w:hAnsi="Times New Roman" w:cs="Times New Roman"/>
          <w:lang w:eastAsia="zh-CN"/>
        </w:rPr>
        <w:t>]</w:t>
      </w:r>
      <w:r>
        <w:rPr>
          <w:rFonts w:hint="default" w:ascii="Times New Roman" w:hAnsi="Times New Roman" w:cs="Times New Roman"/>
          <w:lang w:val="en-US" w:eastAsia="zh-CN"/>
        </w:rPr>
        <w:t>30</w:t>
      </w:r>
      <w:r>
        <w:rPr>
          <w:rFonts w:hint="default" w:ascii="Times New Roman" w:hAnsi="Times New Roman" w:cs="Times New Roman"/>
          <w:lang w:eastAsia="zh-CN"/>
        </w:rPr>
        <w:t xml:space="preserve"> 号）的要求，项目承担单位根据计划要求，成立编制组，明确了标准编写任务分工和时间进度安排，组织开展标准制定工作：</w:t>
      </w:r>
    </w:p>
    <w:p w14:paraId="1329060A">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1、202</w:t>
      </w:r>
      <w:r>
        <w:rPr>
          <w:rFonts w:hint="default" w:ascii="Times New Roman" w:hAnsi="Times New Roman" w:cs="Times New Roman"/>
          <w:lang w:val="en-US" w:eastAsia="zh-CN"/>
        </w:rPr>
        <w:t>5</w:t>
      </w:r>
      <w:r>
        <w:rPr>
          <w:rFonts w:hint="default" w:ascii="Times New Roman" w:hAnsi="Times New Roman" w:cs="Times New Roman"/>
          <w:lang w:eastAsia="zh-CN"/>
        </w:rPr>
        <w:t>年1月～202</w:t>
      </w:r>
      <w:r>
        <w:rPr>
          <w:rFonts w:hint="default" w:ascii="Times New Roman" w:hAnsi="Times New Roman" w:cs="Times New Roman"/>
          <w:lang w:val="en-US" w:eastAsia="zh-CN"/>
        </w:rPr>
        <w:t>5</w:t>
      </w:r>
      <w:r>
        <w:rPr>
          <w:rFonts w:hint="default" w:ascii="Times New Roman" w:hAnsi="Times New Roman" w:cs="Times New Roman"/>
          <w:lang w:eastAsia="zh-CN"/>
        </w:rPr>
        <w:t>年</w:t>
      </w:r>
      <w:r>
        <w:rPr>
          <w:rFonts w:hint="default" w:ascii="Times New Roman" w:hAnsi="Times New Roman" w:cs="Times New Roman"/>
          <w:lang w:val="en-US" w:eastAsia="zh-CN"/>
        </w:rPr>
        <w:t>3</w:t>
      </w:r>
      <w:r>
        <w:rPr>
          <w:rFonts w:hint="default" w:ascii="Times New Roman" w:hAnsi="Times New Roman" w:cs="Times New Roman"/>
          <w:lang w:eastAsia="zh-CN"/>
        </w:rPr>
        <w:t>月，</w:t>
      </w:r>
      <w:r>
        <w:rPr>
          <w:rFonts w:hint="default" w:ascii="Times New Roman" w:hAnsi="Times New Roman" w:cs="Times New Roman"/>
          <w:lang w:val="en-US" w:eastAsia="zh-CN"/>
        </w:rPr>
        <w:t>开展全国港口干散货运输车辆洗车平台建设情况调研工作，分析其运行管理存在的问题，结合相关资料研究洗车平台设计与施工具体规范性要求，形成初步研究基础，期间对标准草案不断进行完善，并完成工作大纲审查。</w:t>
      </w:r>
    </w:p>
    <w:p w14:paraId="0EF637E1">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2、202</w:t>
      </w:r>
      <w:r>
        <w:rPr>
          <w:rFonts w:hint="default" w:ascii="Times New Roman" w:hAnsi="Times New Roman" w:cs="Times New Roman"/>
          <w:lang w:val="en-US" w:eastAsia="zh-CN"/>
        </w:rPr>
        <w:t>5</w:t>
      </w:r>
      <w:r>
        <w:rPr>
          <w:rFonts w:hint="default" w:ascii="Times New Roman" w:hAnsi="Times New Roman" w:cs="Times New Roman"/>
          <w:lang w:eastAsia="zh-CN"/>
        </w:rPr>
        <w:t>年</w:t>
      </w:r>
      <w:r>
        <w:rPr>
          <w:rFonts w:hint="default" w:ascii="Times New Roman" w:hAnsi="Times New Roman" w:cs="Times New Roman"/>
          <w:lang w:val="en-US" w:eastAsia="zh-CN"/>
        </w:rPr>
        <w:t>4</w:t>
      </w:r>
      <w:r>
        <w:rPr>
          <w:rFonts w:hint="default" w:ascii="Times New Roman" w:hAnsi="Times New Roman" w:cs="Times New Roman"/>
          <w:lang w:eastAsia="zh-CN"/>
        </w:rPr>
        <w:t>月～202</w:t>
      </w:r>
      <w:r>
        <w:rPr>
          <w:rFonts w:hint="default" w:ascii="Times New Roman" w:hAnsi="Times New Roman" w:cs="Times New Roman"/>
          <w:lang w:val="en-US" w:eastAsia="zh-CN"/>
        </w:rPr>
        <w:t>5</w:t>
      </w:r>
      <w:r>
        <w:rPr>
          <w:rFonts w:hint="default" w:ascii="Times New Roman" w:hAnsi="Times New Roman" w:cs="Times New Roman"/>
          <w:lang w:eastAsia="zh-CN"/>
        </w:rPr>
        <w:t>年</w:t>
      </w:r>
      <w:r>
        <w:rPr>
          <w:rFonts w:hint="default" w:ascii="Times New Roman" w:hAnsi="Times New Roman" w:cs="Times New Roman"/>
          <w:lang w:val="en-US" w:eastAsia="zh-CN"/>
        </w:rPr>
        <w:t>9</w:t>
      </w:r>
      <w:r>
        <w:rPr>
          <w:rFonts w:hint="default" w:ascii="Times New Roman" w:hAnsi="Times New Roman" w:cs="Times New Roman"/>
          <w:lang w:eastAsia="zh-CN"/>
        </w:rPr>
        <w:t>月，</w:t>
      </w:r>
      <w:r>
        <w:rPr>
          <w:rFonts w:hint="default" w:ascii="Times New Roman" w:hAnsi="Times New Roman" w:cs="Times New Roman"/>
          <w:lang w:val="en-US" w:eastAsia="zh-CN"/>
        </w:rPr>
        <w:t>形成团体标准初稿，完成初审。</w:t>
      </w:r>
    </w:p>
    <w:p w14:paraId="54B10984">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3、202</w:t>
      </w:r>
      <w:r>
        <w:rPr>
          <w:rFonts w:hint="default" w:ascii="Times New Roman" w:hAnsi="Times New Roman" w:cs="Times New Roman"/>
          <w:lang w:val="en-US" w:eastAsia="zh-CN"/>
        </w:rPr>
        <w:t>5</w:t>
      </w:r>
      <w:r>
        <w:rPr>
          <w:rFonts w:hint="default" w:ascii="Times New Roman" w:hAnsi="Times New Roman" w:cs="Times New Roman"/>
          <w:lang w:eastAsia="zh-CN"/>
        </w:rPr>
        <w:t>年</w:t>
      </w:r>
      <w:r>
        <w:rPr>
          <w:rFonts w:hint="default" w:ascii="Times New Roman" w:hAnsi="Times New Roman" w:cs="Times New Roman"/>
          <w:lang w:val="en-US" w:eastAsia="zh-CN"/>
        </w:rPr>
        <w:t>10</w:t>
      </w:r>
      <w:r>
        <w:rPr>
          <w:rFonts w:hint="default" w:ascii="Times New Roman" w:hAnsi="Times New Roman" w:cs="Times New Roman"/>
          <w:lang w:eastAsia="zh-CN"/>
        </w:rPr>
        <w:t>月～202</w:t>
      </w:r>
      <w:r>
        <w:rPr>
          <w:rFonts w:hint="default" w:ascii="Times New Roman" w:hAnsi="Times New Roman" w:cs="Times New Roman"/>
          <w:lang w:val="en-US" w:eastAsia="zh-CN"/>
        </w:rPr>
        <w:t>5</w:t>
      </w:r>
      <w:r>
        <w:rPr>
          <w:rFonts w:hint="default" w:ascii="Times New Roman" w:hAnsi="Times New Roman" w:cs="Times New Roman"/>
          <w:lang w:eastAsia="zh-CN"/>
        </w:rPr>
        <w:t>年</w:t>
      </w:r>
      <w:r>
        <w:rPr>
          <w:rFonts w:hint="default" w:ascii="Times New Roman" w:hAnsi="Times New Roman" w:cs="Times New Roman"/>
          <w:lang w:val="en-US" w:eastAsia="zh-CN"/>
        </w:rPr>
        <w:t>11</w:t>
      </w:r>
      <w:r>
        <w:rPr>
          <w:rFonts w:hint="default" w:ascii="Times New Roman" w:hAnsi="Times New Roman" w:cs="Times New Roman"/>
          <w:lang w:eastAsia="zh-CN"/>
        </w:rPr>
        <w:t>月，</w:t>
      </w:r>
      <w:r>
        <w:rPr>
          <w:rFonts w:hint="default" w:ascii="Times New Roman" w:hAnsi="Times New Roman" w:cs="Times New Roman"/>
          <w:lang w:val="en-US" w:eastAsia="zh-CN"/>
        </w:rPr>
        <w:t>向典型干散货</w:t>
      </w:r>
      <w:r>
        <w:rPr>
          <w:rFonts w:hint="default" w:ascii="Times New Roman" w:hAnsi="Times New Roman" w:cs="Times New Roman"/>
          <w:lang w:val="en-US" w:eastAsia="zh-CN"/>
        </w:rPr>
        <w:t>港口</w:t>
      </w:r>
      <w:r>
        <w:rPr>
          <w:rFonts w:hint="default" w:ascii="Times New Roman" w:hAnsi="Times New Roman" w:cs="Times New Roman"/>
          <w:lang w:val="en-US" w:eastAsia="zh-CN"/>
        </w:rPr>
        <w:t>定向咨询与征求意见，对关键问题进行梳理分析、修改完善，进一步提升本标准的普适性，完善标准，完成标准草案与编制说明的编制工作。</w:t>
      </w:r>
    </w:p>
    <w:p w14:paraId="06A00F50">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4、202</w:t>
      </w:r>
      <w:r>
        <w:rPr>
          <w:rFonts w:hint="default" w:ascii="Times New Roman" w:hAnsi="Times New Roman" w:cs="Times New Roman"/>
          <w:lang w:val="en-US" w:eastAsia="zh-CN"/>
        </w:rPr>
        <w:t>5</w:t>
      </w:r>
      <w:r>
        <w:rPr>
          <w:rFonts w:hint="default" w:ascii="Times New Roman" w:hAnsi="Times New Roman" w:cs="Times New Roman"/>
          <w:lang w:eastAsia="zh-CN"/>
        </w:rPr>
        <w:t>年</w:t>
      </w:r>
      <w:r>
        <w:rPr>
          <w:rFonts w:hint="default" w:ascii="Times New Roman" w:hAnsi="Times New Roman" w:cs="Times New Roman"/>
          <w:lang w:val="en-US" w:eastAsia="zh-CN"/>
        </w:rPr>
        <w:t>12</w:t>
      </w:r>
      <w:r>
        <w:rPr>
          <w:rFonts w:hint="default" w:ascii="Times New Roman" w:hAnsi="Times New Roman" w:cs="Times New Roman"/>
          <w:lang w:eastAsia="zh-CN"/>
        </w:rPr>
        <w:t>月，</w:t>
      </w:r>
      <w:r>
        <w:rPr>
          <w:rFonts w:hint="default" w:ascii="Times New Roman" w:hAnsi="Times New Roman" w:cs="Times New Roman"/>
          <w:lang w:val="en-US" w:eastAsia="zh-CN"/>
        </w:rPr>
        <w:t>完成标准报审</w:t>
      </w:r>
      <w:r>
        <w:rPr>
          <w:rFonts w:hint="default" w:ascii="Times New Roman" w:hAnsi="Times New Roman" w:cs="Times New Roman"/>
          <w:lang w:eastAsia="zh-CN"/>
        </w:rPr>
        <w:t>。</w:t>
      </w:r>
    </w:p>
    <w:p w14:paraId="45782C14">
      <w:pPr>
        <w:pStyle w:val="2"/>
        <w:pageBreakBefore w:val="0"/>
        <w:kinsoku/>
        <w:wordWrap/>
        <w:overflowPunct/>
        <w:topLinePunct w:val="0"/>
        <w:bidi w:val="0"/>
        <w:spacing w:before="240" w:after="156" w:afterLines="50"/>
        <w:ind w:left="0" w:right="0"/>
        <w:rPr>
          <w:rFonts w:hint="default" w:ascii="Times New Roman" w:hAnsi="Times New Roman" w:eastAsia="黑体" w:cs="Times New Roman"/>
          <w:spacing w:val="-2"/>
          <w:sz w:val="28"/>
          <w:szCs w:val="28"/>
          <w:lang w:eastAsia="zh-CN"/>
        </w:rPr>
      </w:pPr>
      <w:bookmarkStart w:id="1" w:name="_Toc132723744"/>
      <w:r>
        <w:rPr>
          <w:rFonts w:hint="default" w:ascii="Times New Roman" w:hAnsi="Times New Roman" w:eastAsia="黑体" w:cs="Times New Roman"/>
          <w:spacing w:val="-2"/>
          <w:sz w:val="28"/>
          <w:szCs w:val="28"/>
          <w:lang w:eastAsia="zh-CN"/>
        </w:rPr>
        <w:t>二、标准编制原则和确定标准主要内容的论据</w:t>
      </w:r>
      <w:bookmarkEnd w:id="1"/>
    </w:p>
    <w:p w14:paraId="2E3FE810">
      <w:pPr>
        <w:pageBreakBefore w:val="0"/>
        <w:kinsoku/>
        <w:wordWrap/>
        <w:overflowPunct/>
        <w:topLinePunct w:val="0"/>
        <w:bidi w:val="0"/>
        <w:spacing w:before="240" w:after="240"/>
        <w:ind w:left="0" w:right="0"/>
        <w:rPr>
          <w:rFonts w:hint="default" w:ascii="Times New Roman" w:hAnsi="Times New Roman" w:cs="Times New Roman"/>
          <w:b/>
          <w:sz w:val="24"/>
          <w:szCs w:val="24"/>
          <w:lang w:eastAsia="zh-CN"/>
        </w:rPr>
      </w:pPr>
      <w:r>
        <w:rPr>
          <w:rFonts w:hint="default" w:ascii="Times New Roman" w:hAnsi="Times New Roman" w:cs="Times New Roman"/>
          <w:b/>
          <w:sz w:val="24"/>
          <w:szCs w:val="24"/>
          <w:lang w:eastAsia="zh-CN"/>
        </w:rPr>
        <w:t>（一）标准编制原则</w:t>
      </w:r>
    </w:p>
    <w:p w14:paraId="64B67DC2">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spacing w:val="-10"/>
          <w:lang w:eastAsia="zh-CN"/>
        </w:rPr>
        <w:t>本</w:t>
      </w:r>
      <w:r>
        <w:rPr>
          <w:rFonts w:hint="default" w:ascii="Times New Roman" w:hAnsi="Times New Roman" w:cs="Times New Roman"/>
          <w:lang w:eastAsia="zh-CN"/>
        </w:rPr>
        <w:t>文件按照 GB/T 1.1-2020《标准化工作导则 第 1 部分：标准化文件的结构和起草规则》的规定起草。</w:t>
      </w:r>
    </w:p>
    <w:p w14:paraId="48037469">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适用性原则：标准制定的相关内容应便于使用，一方面应适于直接使用，另一方面也应考虑便于被其它文件引用。</w:t>
      </w:r>
    </w:p>
    <w:p w14:paraId="4795C06D">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协调性原则：应考虑标准之间的整体协调，在制定标准时应注意和已经发布的标准进行协调，遵守基础标准和采取引用的方式是保证标准协调的有效途径。注重与现行的国际标准、国家标准、行业标准和团体标准相衔接，本文件中规定的术语必须与相应的国际标准和国家标准的规定相一致，不能存在矛盾。文件内容必须与国际标准、国家标准兼容，不能出现冲突。</w:t>
      </w:r>
    </w:p>
    <w:p w14:paraId="5703FF18">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规范性原则：起草标准时遵守与标准制定有关的基础标准和相关法律法规。</w:t>
      </w:r>
    </w:p>
    <w:p w14:paraId="4F5E3254">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先进性原则：</w:t>
      </w:r>
      <w:bookmarkStart w:id="2" w:name="_Hlk126613618"/>
      <w:r>
        <w:rPr>
          <w:rFonts w:hint="default" w:ascii="Times New Roman" w:hAnsi="Times New Roman" w:cs="Times New Roman"/>
          <w:lang w:eastAsia="zh-CN"/>
        </w:rPr>
        <w:t>本文件规定的相关内容目的在于</w:t>
      </w:r>
      <w:r>
        <w:rPr>
          <w:rFonts w:hint="default" w:ascii="Times New Roman" w:hAnsi="Times New Roman" w:cs="Times New Roman"/>
          <w:lang w:val="en-US" w:eastAsia="zh-CN"/>
        </w:rPr>
        <w:t>厘清适用于国内</w:t>
      </w:r>
      <w:r>
        <w:rPr>
          <w:rFonts w:hint="default" w:ascii="Times New Roman" w:hAnsi="Times New Roman" w:cs="Times New Roman"/>
          <w:lang w:eastAsia="zh-CN"/>
        </w:rPr>
        <w:t>港口干散货运输车辆洗车平台</w:t>
      </w:r>
      <w:r>
        <w:rPr>
          <w:rFonts w:hint="default" w:ascii="Times New Roman" w:hAnsi="Times New Roman" w:cs="Times New Roman"/>
          <w:lang w:val="en-US" w:eastAsia="zh-CN"/>
        </w:rPr>
        <w:t>新建、改建和扩建</w:t>
      </w:r>
      <w:r>
        <w:rPr>
          <w:rFonts w:hint="default" w:ascii="Times New Roman" w:hAnsi="Times New Roman" w:cs="Times New Roman"/>
          <w:lang w:val="en-US" w:eastAsia="zh-CN"/>
        </w:rPr>
        <w:t>的相关要求</w:t>
      </w:r>
      <w:r>
        <w:rPr>
          <w:rFonts w:hint="default" w:ascii="Times New Roman" w:hAnsi="Times New Roman" w:cs="Times New Roman"/>
          <w:lang w:eastAsia="zh-CN"/>
        </w:rPr>
        <w:t>，确定</w:t>
      </w:r>
      <w:r>
        <w:rPr>
          <w:rFonts w:hint="default" w:ascii="Times New Roman" w:hAnsi="Times New Roman" w:eastAsia="宋体" w:cs="Times New Roman"/>
          <w:lang w:eastAsia="zh-CN"/>
        </w:rPr>
        <w:t>选址与布置、施工</w:t>
      </w:r>
      <w:r>
        <w:rPr>
          <w:rFonts w:hint="default" w:ascii="Times New Roman" w:hAnsi="Times New Roman" w:eastAsia="宋体" w:cs="Times New Roman"/>
          <w:lang w:val="en-US" w:eastAsia="zh-CN"/>
        </w:rPr>
        <w:t>与</w:t>
      </w:r>
      <w:r>
        <w:rPr>
          <w:rFonts w:hint="default" w:ascii="Times New Roman" w:hAnsi="Times New Roman" w:eastAsia="宋体" w:cs="Times New Roman"/>
          <w:lang w:eastAsia="zh-CN"/>
        </w:rPr>
        <w:t>安装、设施、冲洗系统、污水</w:t>
      </w:r>
      <w:r>
        <w:rPr>
          <w:rFonts w:hint="default" w:ascii="Times New Roman" w:hAnsi="Times New Roman" w:eastAsia="宋体" w:cs="Times New Roman"/>
          <w:lang w:val="en-US" w:eastAsia="zh-CN"/>
        </w:rPr>
        <w:t>收集</w:t>
      </w:r>
      <w:r>
        <w:rPr>
          <w:rFonts w:hint="default" w:ascii="Times New Roman" w:hAnsi="Times New Roman" w:eastAsia="宋体" w:cs="Times New Roman"/>
          <w:lang w:eastAsia="zh-CN"/>
        </w:rPr>
        <w:t>处</w:t>
      </w:r>
      <w:r>
        <w:rPr>
          <w:rFonts w:hint="default" w:ascii="Times New Roman" w:hAnsi="Times New Roman" w:eastAsia="宋体" w:cs="Times New Roman"/>
          <w:lang w:val="en-US" w:eastAsia="zh-CN"/>
        </w:rPr>
        <w:t>理</w:t>
      </w:r>
      <w:r>
        <w:rPr>
          <w:rFonts w:hint="default" w:ascii="Times New Roman" w:hAnsi="Times New Roman" w:eastAsia="宋体" w:cs="Times New Roman"/>
          <w:lang w:eastAsia="zh-CN"/>
        </w:rPr>
        <w:t>与利用相关</w:t>
      </w:r>
      <w:r>
        <w:rPr>
          <w:rFonts w:hint="default" w:ascii="Times New Roman" w:hAnsi="Times New Roman" w:eastAsia="宋体" w:cs="Times New Roman"/>
          <w:lang w:val="en-US" w:eastAsia="zh-CN"/>
        </w:rPr>
        <w:t>技术</w:t>
      </w:r>
      <w:r>
        <w:rPr>
          <w:rFonts w:hint="default" w:ascii="Times New Roman" w:hAnsi="Times New Roman" w:eastAsia="宋体" w:cs="Times New Roman"/>
          <w:lang w:eastAsia="zh-CN"/>
        </w:rPr>
        <w:t>要求</w:t>
      </w:r>
      <w:r>
        <w:rPr>
          <w:rFonts w:hint="default" w:ascii="Times New Roman" w:hAnsi="Times New Roman" w:cs="Times New Roman"/>
          <w:lang w:eastAsia="zh-CN"/>
        </w:rPr>
        <w:t>，为煤炭、矿石等干散货</w:t>
      </w:r>
      <w:r>
        <w:rPr>
          <w:rFonts w:hint="default" w:ascii="Times New Roman" w:hAnsi="Times New Roman" w:cs="Times New Roman"/>
          <w:lang w:val="en-US" w:eastAsia="zh-CN"/>
        </w:rPr>
        <w:t>港口</w:t>
      </w:r>
      <w:r>
        <w:rPr>
          <w:rFonts w:hint="default" w:ascii="Times New Roman" w:hAnsi="Times New Roman" w:cs="Times New Roman"/>
          <w:lang w:eastAsia="zh-CN"/>
        </w:rPr>
        <w:t>企业运输车辆洗车平台</w:t>
      </w:r>
      <w:r>
        <w:rPr>
          <w:rFonts w:hint="default" w:ascii="Times New Roman" w:hAnsi="Times New Roman" w:cs="Times New Roman"/>
          <w:lang w:val="en-US" w:eastAsia="zh-CN"/>
        </w:rPr>
        <w:t>设计、建设</w:t>
      </w:r>
      <w:r>
        <w:rPr>
          <w:rFonts w:hint="default" w:ascii="Times New Roman" w:hAnsi="Times New Roman" w:cs="Times New Roman"/>
          <w:lang w:eastAsia="zh-CN"/>
        </w:rPr>
        <w:t>提供规范指导，推动</w:t>
      </w:r>
      <w:r>
        <w:rPr>
          <w:rFonts w:hint="default" w:ascii="Times New Roman" w:hAnsi="Times New Roman" w:cs="Times New Roman"/>
          <w:lang w:val="en-US" w:eastAsia="zh-CN"/>
        </w:rPr>
        <w:t>洗车平台</w:t>
      </w:r>
      <w:r>
        <w:rPr>
          <w:rFonts w:hint="default" w:ascii="Times New Roman" w:hAnsi="Times New Roman" w:cs="Times New Roman"/>
          <w:lang w:eastAsia="zh-CN"/>
        </w:rPr>
        <w:t>技术在行业内</w:t>
      </w:r>
      <w:r>
        <w:rPr>
          <w:rFonts w:hint="default" w:ascii="Times New Roman" w:hAnsi="Times New Roman" w:cs="Times New Roman"/>
          <w:lang w:val="en-US" w:eastAsia="zh-CN"/>
        </w:rPr>
        <w:t>高质量发展</w:t>
      </w:r>
      <w:r>
        <w:rPr>
          <w:rFonts w:hint="default" w:ascii="Times New Roman" w:hAnsi="Times New Roman" w:cs="Times New Roman"/>
          <w:lang w:eastAsia="zh-CN"/>
        </w:rPr>
        <w:t>。</w:t>
      </w:r>
    </w:p>
    <w:bookmarkEnd w:id="2"/>
    <w:p w14:paraId="6BBDAEF5">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根据以上原则，并结合</w:t>
      </w:r>
      <w:r>
        <w:rPr>
          <w:rFonts w:hint="default" w:ascii="Times New Roman" w:hAnsi="Times New Roman" w:cs="Times New Roman"/>
          <w:lang w:val="en-US" w:eastAsia="zh-CN"/>
        </w:rPr>
        <w:t>港口</w:t>
      </w:r>
      <w:r>
        <w:rPr>
          <w:rFonts w:hint="default" w:ascii="Times New Roman" w:hAnsi="Times New Roman" w:cs="Times New Roman"/>
          <w:lang w:eastAsia="zh-CN"/>
        </w:rPr>
        <w:t>干散货</w:t>
      </w:r>
      <w:r>
        <w:rPr>
          <w:rFonts w:hint="default" w:ascii="Times New Roman" w:hAnsi="Times New Roman" w:cs="Times New Roman"/>
          <w:lang w:val="en-US" w:eastAsia="zh-CN"/>
        </w:rPr>
        <w:t>运输车辆洗车平台主要功能特征</w:t>
      </w:r>
      <w:r>
        <w:rPr>
          <w:rFonts w:hint="default" w:ascii="Times New Roman" w:hAnsi="Times New Roman" w:cs="Times New Roman"/>
          <w:lang w:eastAsia="zh-CN"/>
        </w:rPr>
        <w:t>，本文件制订的内容，主要侧重于</w:t>
      </w:r>
      <w:r>
        <w:rPr>
          <w:rFonts w:hint="default" w:ascii="Times New Roman" w:hAnsi="Times New Roman" w:cs="Times New Roman"/>
          <w:lang w:val="en-US" w:eastAsia="zh-CN"/>
        </w:rPr>
        <w:t>港口</w:t>
      </w:r>
      <w:r>
        <w:rPr>
          <w:rFonts w:hint="default" w:ascii="Times New Roman" w:hAnsi="Times New Roman" w:cs="Times New Roman"/>
          <w:lang w:eastAsia="zh-CN"/>
        </w:rPr>
        <w:t>干散货</w:t>
      </w:r>
      <w:r>
        <w:rPr>
          <w:rFonts w:hint="default" w:ascii="Times New Roman" w:hAnsi="Times New Roman" w:cs="Times New Roman"/>
          <w:lang w:val="en-US" w:eastAsia="zh-CN"/>
        </w:rPr>
        <w:t>运输车辆洗车平台</w:t>
      </w:r>
      <w:r>
        <w:rPr>
          <w:rFonts w:hint="default" w:ascii="Times New Roman" w:hAnsi="Times New Roman" w:cs="Times New Roman"/>
          <w:lang w:eastAsia="zh-CN"/>
        </w:rPr>
        <w:t>的</w:t>
      </w:r>
      <w:r>
        <w:rPr>
          <w:rFonts w:hint="default" w:ascii="Times New Roman" w:hAnsi="Times New Roman" w:eastAsia="宋体" w:cs="Times New Roman"/>
          <w:lang w:eastAsia="zh-CN"/>
        </w:rPr>
        <w:t>选址与布置、施工</w:t>
      </w:r>
      <w:r>
        <w:rPr>
          <w:rFonts w:hint="default" w:ascii="Times New Roman" w:hAnsi="Times New Roman" w:eastAsia="宋体" w:cs="Times New Roman"/>
          <w:lang w:val="en-US" w:eastAsia="zh-CN"/>
        </w:rPr>
        <w:t>与</w:t>
      </w:r>
      <w:r>
        <w:rPr>
          <w:rFonts w:hint="default" w:ascii="Times New Roman" w:hAnsi="Times New Roman" w:eastAsia="宋体" w:cs="Times New Roman"/>
          <w:lang w:eastAsia="zh-CN"/>
        </w:rPr>
        <w:t>安装、设施、冲洗系统、污水</w:t>
      </w:r>
      <w:r>
        <w:rPr>
          <w:rFonts w:hint="default" w:ascii="Times New Roman" w:hAnsi="Times New Roman" w:eastAsia="宋体" w:cs="Times New Roman"/>
          <w:lang w:val="en-US" w:eastAsia="zh-CN"/>
        </w:rPr>
        <w:t>收集</w:t>
      </w:r>
      <w:r>
        <w:rPr>
          <w:rFonts w:hint="default" w:ascii="Times New Roman" w:hAnsi="Times New Roman" w:eastAsia="宋体" w:cs="Times New Roman"/>
          <w:lang w:eastAsia="zh-CN"/>
        </w:rPr>
        <w:t>处</w:t>
      </w:r>
      <w:r>
        <w:rPr>
          <w:rFonts w:hint="default" w:ascii="Times New Roman" w:hAnsi="Times New Roman" w:eastAsia="宋体" w:cs="Times New Roman"/>
          <w:lang w:val="en-US" w:eastAsia="zh-CN"/>
        </w:rPr>
        <w:t>理</w:t>
      </w:r>
      <w:r>
        <w:rPr>
          <w:rFonts w:hint="default" w:ascii="Times New Roman" w:hAnsi="Times New Roman" w:eastAsia="宋体" w:cs="Times New Roman"/>
          <w:lang w:eastAsia="zh-CN"/>
        </w:rPr>
        <w:t>与利用相关</w:t>
      </w:r>
      <w:r>
        <w:rPr>
          <w:rFonts w:hint="default" w:ascii="Times New Roman" w:hAnsi="Times New Roman" w:eastAsia="宋体" w:cs="Times New Roman"/>
          <w:lang w:val="en-US" w:eastAsia="zh-CN"/>
        </w:rPr>
        <w:t>技术</w:t>
      </w:r>
      <w:r>
        <w:rPr>
          <w:rFonts w:hint="default" w:ascii="Times New Roman" w:hAnsi="Times New Roman" w:eastAsia="宋体" w:cs="Times New Roman"/>
          <w:lang w:eastAsia="zh-CN"/>
        </w:rPr>
        <w:t>要求</w:t>
      </w:r>
      <w:r>
        <w:rPr>
          <w:rFonts w:hint="default" w:ascii="Times New Roman" w:hAnsi="Times New Roman" w:cs="Times New Roman"/>
          <w:lang w:eastAsia="zh-CN"/>
        </w:rPr>
        <w:t>，适用于</w:t>
      </w:r>
      <w:r>
        <w:rPr>
          <w:rFonts w:hint="default" w:ascii="Times New Roman" w:hAnsi="Times New Roman" w:cs="Times New Roman"/>
          <w:lang w:val="en-US" w:eastAsia="zh-CN"/>
        </w:rPr>
        <w:t>港口</w:t>
      </w:r>
      <w:r>
        <w:rPr>
          <w:rFonts w:hint="default" w:ascii="Times New Roman" w:hAnsi="Times New Roman" w:cs="Times New Roman"/>
          <w:lang w:eastAsia="zh-CN"/>
        </w:rPr>
        <w:t>干散货</w:t>
      </w:r>
      <w:r>
        <w:rPr>
          <w:rFonts w:hint="default" w:ascii="Times New Roman" w:hAnsi="Times New Roman" w:cs="Times New Roman"/>
          <w:lang w:val="en-US" w:eastAsia="zh-CN"/>
        </w:rPr>
        <w:t>运输车辆洗车平台</w:t>
      </w:r>
      <w:r>
        <w:rPr>
          <w:rFonts w:hint="default" w:ascii="Times New Roman" w:hAnsi="Times New Roman" w:cs="Times New Roman"/>
          <w:lang w:val="en-US" w:eastAsia="zh-CN"/>
        </w:rPr>
        <w:t>新建、改建和扩建</w:t>
      </w:r>
      <w:r>
        <w:rPr>
          <w:rFonts w:hint="default" w:ascii="Times New Roman" w:hAnsi="Times New Roman" w:cs="Times New Roman"/>
          <w:lang w:val="en-US" w:eastAsia="zh-CN"/>
        </w:rPr>
        <w:t>过程</w:t>
      </w:r>
      <w:r>
        <w:rPr>
          <w:rFonts w:hint="default" w:ascii="Times New Roman" w:hAnsi="Times New Roman" w:cs="Times New Roman"/>
          <w:lang w:eastAsia="zh-CN"/>
        </w:rPr>
        <w:t>。</w:t>
      </w:r>
    </w:p>
    <w:p w14:paraId="66EDE32A">
      <w:pPr>
        <w:pageBreakBefore w:val="0"/>
        <w:kinsoku/>
        <w:wordWrap/>
        <w:overflowPunct/>
        <w:topLinePunct w:val="0"/>
        <w:bidi w:val="0"/>
        <w:spacing w:before="240" w:after="240"/>
        <w:ind w:left="0" w:right="0"/>
        <w:rPr>
          <w:rFonts w:hint="default" w:ascii="Times New Roman" w:hAnsi="Times New Roman" w:cs="Times New Roman"/>
          <w:b/>
          <w:sz w:val="24"/>
          <w:szCs w:val="24"/>
          <w:lang w:eastAsia="zh-CN"/>
        </w:rPr>
      </w:pPr>
      <w:r>
        <w:rPr>
          <w:rFonts w:hint="default" w:ascii="Times New Roman" w:hAnsi="Times New Roman" w:cs="Times New Roman"/>
          <w:b/>
          <w:sz w:val="24"/>
          <w:szCs w:val="24"/>
          <w:lang w:eastAsia="zh-CN"/>
        </w:rPr>
        <w:t>（二）确定标准主要内容的论据</w:t>
      </w:r>
    </w:p>
    <w:p w14:paraId="4F30AD54">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本文件规定了</w:t>
      </w:r>
      <w:bookmarkStart w:id="3" w:name="_Hlk126875798"/>
      <w:r>
        <w:rPr>
          <w:rFonts w:hint="default" w:ascii="Times New Roman" w:hAnsi="Times New Roman" w:cs="Times New Roman"/>
          <w:lang w:val="en-US" w:eastAsia="zh-CN"/>
        </w:rPr>
        <w:t>港口</w:t>
      </w:r>
      <w:r>
        <w:rPr>
          <w:rFonts w:hint="default" w:ascii="Times New Roman" w:hAnsi="Times New Roman" w:cs="Times New Roman"/>
          <w:lang w:eastAsia="zh-CN"/>
        </w:rPr>
        <w:t>干散货</w:t>
      </w:r>
      <w:r>
        <w:rPr>
          <w:rFonts w:hint="default" w:ascii="Times New Roman" w:hAnsi="Times New Roman" w:cs="Times New Roman"/>
          <w:lang w:val="en-US" w:eastAsia="zh-CN"/>
        </w:rPr>
        <w:t>运输车辆洗车平台</w:t>
      </w:r>
      <w:r>
        <w:rPr>
          <w:rFonts w:hint="default" w:ascii="Times New Roman" w:hAnsi="Times New Roman" w:cs="Times New Roman"/>
          <w:lang w:eastAsia="zh-CN"/>
        </w:rPr>
        <w:t>的</w:t>
      </w:r>
      <w:r>
        <w:rPr>
          <w:rFonts w:hint="default" w:ascii="Times New Roman" w:hAnsi="Times New Roman" w:eastAsia="宋体" w:cs="Times New Roman"/>
          <w:lang w:val="en-US" w:eastAsia="zh-CN"/>
        </w:rPr>
        <w:t>一般要求、</w:t>
      </w:r>
      <w:r>
        <w:rPr>
          <w:rFonts w:hint="default" w:ascii="Times New Roman" w:hAnsi="Times New Roman" w:eastAsia="宋体" w:cs="Times New Roman"/>
          <w:lang w:eastAsia="zh-CN"/>
        </w:rPr>
        <w:t>选址与布置、施工</w:t>
      </w:r>
      <w:r>
        <w:rPr>
          <w:rFonts w:hint="default" w:ascii="Times New Roman" w:hAnsi="Times New Roman" w:eastAsia="宋体" w:cs="Times New Roman"/>
          <w:lang w:val="en-US" w:eastAsia="zh-CN"/>
        </w:rPr>
        <w:t>与</w:t>
      </w:r>
      <w:r>
        <w:rPr>
          <w:rFonts w:hint="default" w:ascii="Times New Roman" w:hAnsi="Times New Roman" w:eastAsia="宋体" w:cs="Times New Roman"/>
          <w:lang w:eastAsia="zh-CN"/>
        </w:rPr>
        <w:t>安装、设施、冲洗系统、污水</w:t>
      </w:r>
      <w:r>
        <w:rPr>
          <w:rFonts w:hint="default" w:ascii="Times New Roman" w:hAnsi="Times New Roman" w:eastAsia="宋体" w:cs="Times New Roman"/>
          <w:lang w:val="en-US" w:eastAsia="zh-CN"/>
        </w:rPr>
        <w:t>收集</w:t>
      </w:r>
      <w:r>
        <w:rPr>
          <w:rFonts w:hint="default" w:ascii="Times New Roman" w:hAnsi="Times New Roman" w:eastAsia="宋体" w:cs="Times New Roman"/>
          <w:lang w:eastAsia="zh-CN"/>
        </w:rPr>
        <w:t>处</w:t>
      </w:r>
      <w:r>
        <w:rPr>
          <w:rFonts w:hint="default" w:ascii="Times New Roman" w:hAnsi="Times New Roman" w:eastAsia="宋体" w:cs="Times New Roman"/>
          <w:lang w:val="en-US" w:eastAsia="zh-CN"/>
        </w:rPr>
        <w:t>理</w:t>
      </w:r>
      <w:r>
        <w:rPr>
          <w:rFonts w:hint="default" w:ascii="Times New Roman" w:hAnsi="Times New Roman" w:eastAsia="宋体" w:cs="Times New Roman"/>
          <w:lang w:eastAsia="zh-CN"/>
        </w:rPr>
        <w:t>与利用相关</w:t>
      </w:r>
      <w:r>
        <w:rPr>
          <w:rFonts w:hint="default" w:ascii="Times New Roman" w:hAnsi="Times New Roman" w:eastAsia="宋体" w:cs="Times New Roman"/>
          <w:lang w:val="en-US" w:eastAsia="zh-CN"/>
        </w:rPr>
        <w:t>技术</w:t>
      </w:r>
      <w:r>
        <w:rPr>
          <w:rFonts w:hint="default" w:ascii="Times New Roman" w:hAnsi="Times New Roman" w:eastAsia="宋体" w:cs="Times New Roman"/>
          <w:lang w:eastAsia="zh-CN"/>
        </w:rPr>
        <w:t>要求</w:t>
      </w:r>
    </w:p>
    <w:bookmarkEnd w:id="3"/>
    <w:p w14:paraId="19765F03">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本文件适用于</w:t>
      </w:r>
      <w:r>
        <w:rPr>
          <w:rFonts w:hint="default" w:ascii="Times New Roman" w:hAnsi="Times New Roman" w:eastAsia="宋体" w:cs="Times New Roman"/>
          <w:lang w:eastAsia="zh-CN"/>
        </w:rPr>
        <w:t>港口干散货运输车辆洗车平台的新建、改建和</w:t>
      </w:r>
      <w:r>
        <w:rPr>
          <w:rFonts w:hint="default" w:ascii="Times New Roman" w:hAnsi="Times New Roman" w:eastAsia="宋体" w:cs="Times New Roman"/>
          <w:lang w:val="en-US" w:eastAsia="zh-CN"/>
        </w:rPr>
        <w:t>扩建</w:t>
      </w:r>
      <w:r>
        <w:rPr>
          <w:rFonts w:hint="default" w:ascii="Times New Roman" w:hAnsi="Times New Roman" w:eastAsia="宋体" w:cs="Times New Roman"/>
          <w:lang w:eastAsia="zh-CN"/>
        </w:rPr>
        <w:t>。</w:t>
      </w:r>
    </w:p>
    <w:p w14:paraId="6D27B45A">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 xml:space="preserve">本文件主要内容：第一章 范围；第二章 规范性引用文件；第三章 术语和定义；第四章 一般要求；第五章 </w:t>
      </w:r>
      <w:r>
        <w:rPr>
          <w:rFonts w:hint="default" w:ascii="Times New Roman" w:hAnsi="Times New Roman" w:cs="Times New Roman"/>
          <w:lang w:val="en-US" w:eastAsia="zh-CN"/>
        </w:rPr>
        <w:t>选址与布置</w:t>
      </w:r>
      <w:r>
        <w:rPr>
          <w:rFonts w:hint="default" w:ascii="Times New Roman" w:hAnsi="Times New Roman" w:cs="Times New Roman"/>
          <w:lang w:eastAsia="zh-CN"/>
        </w:rPr>
        <w:t xml:space="preserve">；第六章 </w:t>
      </w:r>
      <w:r>
        <w:rPr>
          <w:rFonts w:hint="default" w:ascii="Times New Roman" w:hAnsi="Times New Roman" w:cs="Times New Roman"/>
          <w:lang w:val="en-US" w:eastAsia="zh-CN"/>
        </w:rPr>
        <w:t>施工</w:t>
      </w:r>
      <w:r>
        <w:rPr>
          <w:rFonts w:hint="default" w:ascii="Times New Roman" w:hAnsi="Times New Roman" w:cs="Times New Roman"/>
          <w:lang w:val="en-US" w:eastAsia="zh-CN"/>
        </w:rPr>
        <w:t>与</w:t>
      </w:r>
      <w:r>
        <w:rPr>
          <w:rFonts w:hint="default" w:ascii="Times New Roman" w:hAnsi="Times New Roman" w:cs="Times New Roman"/>
          <w:lang w:val="en-US" w:eastAsia="zh-CN"/>
        </w:rPr>
        <w:t>安装</w:t>
      </w:r>
      <w:r>
        <w:rPr>
          <w:rFonts w:hint="default" w:ascii="Times New Roman" w:hAnsi="Times New Roman" w:cs="Times New Roman"/>
          <w:lang w:eastAsia="zh-CN"/>
        </w:rPr>
        <w:t xml:space="preserve">；第七章 </w:t>
      </w:r>
      <w:r>
        <w:rPr>
          <w:rFonts w:hint="default" w:ascii="Times New Roman" w:hAnsi="Times New Roman" w:cs="Times New Roman"/>
          <w:lang w:val="en-US" w:eastAsia="zh-CN"/>
        </w:rPr>
        <w:t>设施</w:t>
      </w:r>
      <w:r>
        <w:rPr>
          <w:rFonts w:hint="default" w:ascii="Times New Roman" w:hAnsi="Times New Roman" w:cs="Times New Roman"/>
          <w:lang w:eastAsia="zh-CN"/>
        </w:rPr>
        <w:t xml:space="preserve">；第八章 </w:t>
      </w:r>
      <w:r>
        <w:rPr>
          <w:rFonts w:hint="default" w:ascii="Times New Roman" w:hAnsi="Times New Roman" w:cs="Times New Roman"/>
          <w:lang w:val="en-US" w:eastAsia="zh-CN"/>
        </w:rPr>
        <w:t>冲洗系统</w:t>
      </w:r>
      <w:r>
        <w:rPr>
          <w:rFonts w:hint="default" w:ascii="Times New Roman" w:hAnsi="Times New Roman" w:cs="Times New Roman"/>
          <w:lang w:eastAsia="zh-CN"/>
        </w:rPr>
        <w:t xml:space="preserve">；第九章 </w:t>
      </w:r>
      <w:r>
        <w:rPr>
          <w:rFonts w:hint="default" w:ascii="Times New Roman" w:hAnsi="Times New Roman" w:cs="Times New Roman"/>
          <w:lang w:val="en-US" w:eastAsia="zh-CN"/>
        </w:rPr>
        <w:t>污水</w:t>
      </w:r>
      <w:r>
        <w:rPr>
          <w:rFonts w:hint="default" w:ascii="Times New Roman" w:hAnsi="Times New Roman" w:cs="Times New Roman"/>
          <w:lang w:val="en-US" w:eastAsia="zh-CN"/>
        </w:rPr>
        <w:t>收集、处理</w:t>
      </w:r>
      <w:r>
        <w:rPr>
          <w:rFonts w:hint="default" w:ascii="Times New Roman" w:hAnsi="Times New Roman" w:cs="Times New Roman"/>
          <w:lang w:val="en-US" w:eastAsia="zh-CN"/>
        </w:rPr>
        <w:t>与利用</w:t>
      </w:r>
      <w:r>
        <w:rPr>
          <w:rFonts w:hint="default" w:ascii="Times New Roman" w:hAnsi="Times New Roman" w:cs="Times New Roman"/>
          <w:lang w:eastAsia="zh-CN"/>
        </w:rPr>
        <w:t>。</w:t>
      </w:r>
    </w:p>
    <w:p w14:paraId="273EDEBA">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本标准制定的内容包括如下：</w:t>
      </w:r>
    </w:p>
    <w:p w14:paraId="31F34D21">
      <w:pPr>
        <w:pStyle w:val="21"/>
        <w:pageBreakBefore w:val="0"/>
        <w:numPr>
          <w:ilvl w:val="0"/>
          <w:numId w:val="1"/>
        </w:numPr>
        <w:kinsoku/>
        <w:wordWrap/>
        <w:overflowPunct/>
        <w:topLinePunct w:val="0"/>
        <w:bidi w:val="0"/>
        <w:spacing w:before="164" w:after="156" w:afterLines="50"/>
        <w:ind w:left="0" w:right="0"/>
        <w:rPr>
          <w:rFonts w:hint="default" w:ascii="Times New Roman" w:hAnsi="Times New Roman" w:cs="Times New Roman"/>
          <w:b/>
          <w:w w:val="105"/>
          <w:sz w:val="23"/>
          <w:lang w:eastAsia="zh-CN"/>
        </w:rPr>
      </w:pPr>
      <w:r>
        <w:rPr>
          <w:rFonts w:hint="default" w:ascii="Times New Roman" w:hAnsi="Times New Roman" w:cs="Times New Roman"/>
          <w:b/>
          <w:w w:val="105"/>
          <w:sz w:val="23"/>
          <w:lang w:eastAsia="zh-CN"/>
        </w:rPr>
        <w:t>第一章 范围</w:t>
      </w:r>
    </w:p>
    <w:p w14:paraId="5DE2B05F">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本</w:t>
      </w:r>
      <w:r>
        <w:rPr>
          <w:rFonts w:hint="default" w:ascii="Times New Roman" w:hAnsi="Times New Roman" w:cs="Times New Roman"/>
          <w:lang w:val="en-US" w:eastAsia="zh-CN"/>
        </w:rPr>
        <w:t>标准</w:t>
      </w:r>
      <w:r>
        <w:rPr>
          <w:rFonts w:hint="default" w:ascii="Times New Roman" w:hAnsi="Times New Roman" w:cs="Times New Roman"/>
          <w:lang w:eastAsia="zh-CN"/>
        </w:rPr>
        <w:t>规定了</w:t>
      </w:r>
      <w:r>
        <w:rPr>
          <w:rFonts w:hint="default" w:ascii="Times New Roman" w:hAnsi="Times New Roman" w:cs="Times New Roman"/>
          <w:lang w:val="en-US" w:eastAsia="zh-CN"/>
        </w:rPr>
        <w:t>港口</w:t>
      </w:r>
      <w:r>
        <w:rPr>
          <w:rFonts w:hint="default" w:ascii="Times New Roman" w:hAnsi="Times New Roman" w:cs="Times New Roman"/>
          <w:lang w:eastAsia="zh-CN"/>
        </w:rPr>
        <w:t>干散货</w:t>
      </w:r>
      <w:r>
        <w:rPr>
          <w:rFonts w:hint="default" w:ascii="Times New Roman" w:hAnsi="Times New Roman" w:cs="Times New Roman"/>
          <w:lang w:val="en-US" w:eastAsia="zh-CN"/>
        </w:rPr>
        <w:t>运输车辆洗车平台的</w:t>
      </w:r>
      <w:r>
        <w:rPr>
          <w:rFonts w:hint="default" w:ascii="Times New Roman" w:hAnsi="Times New Roman" w:cs="Times New Roman"/>
          <w:lang w:eastAsia="zh-CN"/>
        </w:rPr>
        <w:t>一般要求、</w:t>
      </w:r>
      <w:r>
        <w:rPr>
          <w:rFonts w:hint="default" w:ascii="Times New Roman" w:hAnsi="Times New Roman" w:cs="Times New Roman"/>
          <w:lang w:val="en-US" w:eastAsia="zh-CN"/>
        </w:rPr>
        <w:t>选址与布置、施工</w:t>
      </w:r>
      <w:r>
        <w:rPr>
          <w:rFonts w:hint="default" w:ascii="Times New Roman" w:hAnsi="Times New Roman" w:cs="Times New Roman"/>
          <w:lang w:val="en-US" w:eastAsia="zh-CN"/>
        </w:rPr>
        <w:t>与</w:t>
      </w:r>
      <w:r>
        <w:rPr>
          <w:rFonts w:hint="default" w:ascii="Times New Roman" w:hAnsi="Times New Roman" w:cs="Times New Roman"/>
          <w:lang w:val="en-US" w:eastAsia="zh-CN"/>
        </w:rPr>
        <w:t>安装</w:t>
      </w:r>
      <w:r>
        <w:rPr>
          <w:rFonts w:hint="default" w:ascii="Times New Roman" w:hAnsi="Times New Roman" w:cs="Times New Roman"/>
          <w:lang w:eastAsia="zh-CN"/>
        </w:rPr>
        <w:t>、</w:t>
      </w:r>
      <w:r>
        <w:rPr>
          <w:rFonts w:hint="default" w:ascii="Times New Roman" w:hAnsi="Times New Roman" w:cs="Times New Roman"/>
          <w:lang w:val="en-US" w:eastAsia="zh-CN"/>
        </w:rPr>
        <w:t>设施</w:t>
      </w:r>
      <w:r>
        <w:rPr>
          <w:rFonts w:hint="default" w:ascii="Times New Roman" w:hAnsi="Times New Roman" w:cs="Times New Roman"/>
          <w:lang w:eastAsia="zh-CN"/>
        </w:rPr>
        <w:t>、</w:t>
      </w:r>
      <w:r>
        <w:rPr>
          <w:rFonts w:hint="default" w:ascii="Times New Roman" w:hAnsi="Times New Roman" w:cs="Times New Roman"/>
          <w:lang w:val="en-US" w:eastAsia="zh-CN"/>
        </w:rPr>
        <w:t>冲洗系统</w:t>
      </w:r>
      <w:r>
        <w:rPr>
          <w:rFonts w:hint="default" w:ascii="Times New Roman" w:hAnsi="Times New Roman" w:cs="Times New Roman"/>
          <w:lang w:eastAsia="zh-CN"/>
        </w:rPr>
        <w:t>、</w:t>
      </w:r>
      <w:r>
        <w:rPr>
          <w:rFonts w:hint="default" w:ascii="Times New Roman" w:hAnsi="Times New Roman" w:cs="Times New Roman"/>
          <w:lang w:val="en-US" w:eastAsia="zh-CN"/>
        </w:rPr>
        <w:t>污水</w:t>
      </w:r>
      <w:r>
        <w:rPr>
          <w:rFonts w:hint="default" w:ascii="Times New Roman" w:hAnsi="Times New Roman" w:cs="Times New Roman"/>
          <w:lang w:val="en-US" w:eastAsia="zh-CN"/>
        </w:rPr>
        <w:t>收集处理</w:t>
      </w:r>
      <w:r>
        <w:rPr>
          <w:rFonts w:hint="default" w:ascii="Times New Roman" w:hAnsi="Times New Roman" w:cs="Times New Roman"/>
          <w:lang w:val="en-US" w:eastAsia="zh-CN"/>
        </w:rPr>
        <w:t>与利用</w:t>
      </w:r>
      <w:r>
        <w:rPr>
          <w:rFonts w:hint="default" w:ascii="Times New Roman" w:hAnsi="Times New Roman" w:cs="Times New Roman"/>
          <w:lang w:eastAsia="zh-CN"/>
        </w:rPr>
        <w:t>等相关技术要求。本</w:t>
      </w:r>
      <w:r>
        <w:rPr>
          <w:rFonts w:hint="default" w:ascii="Times New Roman" w:hAnsi="Times New Roman" w:cs="Times New Roman"/>
          <w:lang w:val="en-US" w:eastAsia="zh-CN"/>
        </w:rPr>
        <w:t>标准</w:t>
      </w:r>
      <w:r>
        <w:rPr>
          <w:rFonts w:hint="default" w:ascii="Times New Roman" w:hAnsi="Times New Roman" w:cs="Times New Roman"/>
          <w:lang w:eastAsia="zh-CN"/>
        </w:rPr>
        <w:t>适用于</w:t>
      </w:r>
      <w:r>
        <w:rPr>
          <w:rFonts w:hint="default" w:ascii="Times New Roman" w:hAnsi="Times New Roman" w:cs="Times New Roman"/>
          <w:lang w:val="en-US" w:eastAsia="zh-CN"/>
        </w:rPr>
        <w:t>港口</w:t>
      </w:r>
      <w:r>
        <w:rPr>
          <w:rFonts w:hint="default" w:ascii="Times New Roman" w:hAnsi="Times New Roman" w:cs="Times New Roman"/>
          <w:lang w:eastAsia="zh-CN"/>
        </w:rPr>
        <w:t>干散货</w:t>
      </w:r>
      <w:r>
        <w:rPr>
          <w:rFonts w:hint="default" w:ascii="Times New Roman" w:hAnsi="Times New Roman" w:cs="Times New Roman"/>
          <w:lang w:val="en-US" w:eastAsia="zh-CN"/>
        </w:rPr>
        <w:t>运输车辆洗车平台</w:t>
      </w:r>
      <w:r>
        <w:rPr>
          <w:rFonts w:hint="default" w:ascii="Times New Roman" w:hAnsi="Times New Roman" w:cs="Times New Roman"/>
          <w:lang w:val="en-US" w:eastAsia="zh-CN"/>
        </w:rPr>
        <w:t>的</w:t>
      </w:r>
      <w:r>
        <w:rPr>
          <w:rFonts w:hint="default" w:ascii="Times New Roman" w:hAnsi="Times New Roman" w:cs="Times New Roman"/>
          <w:lang w:val="en-US" w:eastAsia="zh-CN"/>
        </w:rPr>
        <w:t>新建、改建</w:t>
      </w:r>
      <w:r>
        <w:rPr>
          <w:rFonts w:hint="default" w:ascii="Times New Roman" w:hAnsi="Times New Roman" w:cs="Times New Roman"/>
          <w:lang w:val="en-US" w:eastAsia="zh-CN"/>
        </w:rPr>
        <w:t>、扩建</w:t>
      </w:r>
      <w:r>
        <w:rPr>
          <w:rFonts w:hint="default" w:ascii="Times New Roman" w:hAnsi="Times New Roman" w:cs="Times New Roman"/>
          <w:lang w:eastAsia="zh-CN"/>
        </w:rPr>
        <w:t>。本标准的范围基于标准编写的主要目的进行界定。</w:t>
      </w:r>
    </w:p>
    <w:p w14:paraId="5C950DFE">
      <w:pPr>
        <w:pStyle w:val="21"/>
        <w:pageBreakBefore w:val="0"/>
        <w:numPr>
          <w:ilvl w:val="0"/>
          <w:numId w:val="1"/>
        </w:numPr>
        <w:kinsoku/>
        <w:wordWrap/>
        <w:overflowPunct/>
        <w:topLinePunct w:val="0"/>
        <w:bidi w:val="0"/>
        <w:spacing w:before="164" w:after="156" w:afterLines="50"/>
        <w:ind w:left="0" w:right="0"/>
        <w:rPr>
          <w:rFonts w:hint="default" w:ascii="Times New Roman" w:hAnsi="Times New Roman" w:cs="Times New Roman"/>
          <w:b/>
          <w:w w:val="105"/>
          <w:sz w:val="23"/>
          <w:lang w:eastAsia="zh-CN"/>
        </w:rPr>
      </w:pPr>
      <w:r>
        <w:rPr>
          <w:rFonts w:hint="default" w:ascii="Times New Roman" w:hAnsi="Times New Roman" w:cs="Times New Roman"/>
          <w:b/>
          <w:w w:val="105"/>
          <w:sz w:val="23"/>
          <w:lang w:eastAsia="zh-CN"/>
        </w:rPr>
        <w:t>第二章 规范性引用文件</w:t>
      </w:r>
    </w:p>
    <w:p w14:paraId="5D46AF2D">
      <w:pPr>
        <w:pageBreakBefore w:val="0"/>
        <w:kinsoku/>
        <w:wordWrap/>
        <w:overflowPunct/>
        <w:topLinePunct w:val="0"/>
        <w:bidi w:val="0"/>
        <w:spacing w:before="240" w:line="360" w:lineRule="auto"/>
        <w:ind w:left="0" w:right="0"/>
        <w:rPr>
          <w:rFonts w:hint="default" w:ascii="Times New Roman" w:hAnsi="Times New Roman" w:cs="Times New Roman"/>
          <w:sz w:val="24"/>
          <w:szCs w:val="24"/>
          <w:lang w:eastAsia="zh-CN"/>
        </w:rPr>
      </w:pPr>
      <w:r>
        <w:rPr>
          <w:rFonts w:hint="default" w:ascii="Times New Roman" w:hAnsi="Times New Roman" w:cs="Times New Roman"/>
          <w:sz w:val="24"/>
          <w:szCs w:val="24"/>
          <w:lang w:eastAsia="zh-CN"/>
        </w:rPr>
        <w:t>本标准引用了如下标准：</w:t>
      </w:r>
    </w:p>
    <w:p w14:paraId="4548CE9E">
      <w:pPr>
        <w:pStyle w:val="6"/>
        <w:pageBreakBefore w:val="0"/>
        <w:kinsoku/>
        <w:wordWrap/>
        <w:overflowPunct/>
        <w:topLinePunct w:val="0"/>
        <w:bidi w:val="0"/>
        <w:spacing w:line="362" w:lineRule="auto"/>
        <w:ind w:left="0" w:right="0" w:firstLine="480"/>
        <w:jc w:val="both"/>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GB 50010  混凝土结构设计规范</w:t>
      </w:r>
    </w:p>
    <w:p w14:paraId="2B264C1A">
      <w:pPr>
        <w:pStyle w:val="6"/>
        <w:pageBreakBefore w:val="0"/>
        <w:kinsoku/>
        <w:wordWrap/>
        <w:overflowPunct/>
        <w:topLinePunct w:val="0"/>
        <w:bidi w:val="0"/>
        <w:spacing w:line="362" w:lineRule="auto"/>
        <w:ind w:left="0" w:right="0" w:firstLine="480"/>
        <w:jc w:val="both"/>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 xml:space="preserve">GB 50013  </w:t>
      </w:r>
      <w:r>
        <w:rPr>
          <w:rFonts w:hint="default" w:ascii="Times New Roman" w:hAnsi="Times New Roman" w:cs="Times New Roman"/>
          <w:highlight w:val="none"/>
          <w:lang w:val="en-US" w:eastAsia="zh-CN"/>
        </w:rPr>
        <w:t>室外给水设计规范</w:t>
      </w:r>
    </w:p>
    <w:p w14:paraId="5AF09C86">
      <w:pPr>
        <w:pStyle w:val="6"/>
        <w:pageBreakBefore w:val="0"/>
        <w:kinsoku/>
        <w:wordWrap/>
        <w:overflowPunct/>
        <w:topLinePunct w:val="0"/>
        <w:bidi w:val="0"/>
        <w:spacing w:line="362" w:lineRule="auto"/>
        <w:ind w:left="0" w:right="0" w:firstLine="480"/>
        <w:jc w:val="both"/>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GB 50014  室外排水设计标准</w:t>
      </w:r>
    </w:p>
    <w:p w14:paraId="132CA3C9">
      <w:pPr>
        <w:pStyle w:val="6"/>
        <w:pageBreakBefore w:val="0"/>
        <w:kinsoku/>
        <w:wordWrap/>
        <w:overflowPunct/>
        <w:topLinePunct w:val="0"/>
        <w:bidi w:val="0"/>
        <w:spacing w:line="362" w:lineRule="auto"/>
        <w:ind w:left="0" w:right="0" w:firstLine="480"/>
        <w:jc w:val="both"/>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GB 50208  地下防水工程质量验收规范</w:t>
      </w:r>
    </w:p>
    <w:p w14:paraId="50288455">
      <w:pPr>
        <w:pStyle w:val="6"/>
        <w:pageBreakBefore w:val="0"/>
        <w:kinsoku/>
        <w:wordWrap/>
        <w:overflowPunct/>
        <w:topLinePunct w:val="0"/>
        <w:bidi w:val="0"/>
        <w:spacing w:line="362" w:lineRule="auto"/>
        <w:ind w:left="0" w:right="0" w:firstLine="480"/>
        <w:jc w:val="both"/>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GB 50268  给水排水管道工程施工及验收规范</w:t>
      </w:r>
    </w:p>
    <w:p w14:paraId="1BA71F85">
      <w:pPr>
        <w:pStyle w:val="6"/>
        <w:pageBreakBefore w:val="0"/>
        <w:kinsoku/>
        <w:wordWrap/>
        <w:overflowPunct/>
        <w:topLinePunct w:val="0"/>
        <w:bidi w:val="0"/>
        <w:spacing w:line="362" w:lineRule="auto"/>
        <w:ind w:left="0" w:right="0" w:firstLine="480"/>
        <w:jc w:val="both"/>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GB 50275  风</w:t>
      </w:r>
      <w:r>
        <w:rPr>
          <w:rFonts w:hint="default" w:ascii="Times New Roman" w:hAnsi="Times New Roman" w:cs="Times New Roman"/>
          <w:highlight w:val="none"/>
          <w:lang w:val="en-US" w:eastAsia="zh-CN"/>
        </w:rPr>
        <w:fldChar w:fldCharType="begin"/>
      </w:r>
      <w:r>
        <w:rPr>
          <w:rFonts w:hint="default" w:ascii="Times New Roman" w:hAnsi="Times New Roman" w:cs="Times New Roman"/>
          <w:highlight w:val="none"/>
          <w:lang w:val="en-US" w:eastAsia="zh-CN"/>
        </w:rPr>
        <w:instrText xml:space="preserve"> HYPERLINK "http://www.baidu.com/link?url=rt2frA0I6yn_SbMLi4EgGVnBhax7f5zUT1-pu8kIY4_qJ_YSi2EUq5dBEVyD_vswVXa36YOkve7Ww1vSvBI2wK&amp;wd=&amp;eqid=8c98da3f000134db0000000368638f54" \t "https://www.baidu.com/_blank" </w:instrText>
      </w:r>
      <w:r>
        <w:rPr>
          <w:rFonts w:hint="default" w:ascii="Times New Roman" w:hAnsi="Times New Roman" w:cs="Times New Roman"/>
          <w:highlight w:val="none"/>
          <w:lang w:val="en-US" w:eastAsia="zh-CN"/>
        </w:rPr>
        <w:fldChar w:fldCharType="separate"/>
      </w:r>
      <w:r>
        <w:rPr>
          <w:rFonts w:hint="default" w:ascii="Times New Roman" w:hAnsi="Times New Roman" w:cs="Times New Roman"/>
          <w:highlight w:val="none"/>
          <w:lang w:val="en-US" w:eastAsia="zh-CN"/>
        </w:rPr>
        <w:t>机、压缩机、泵安装工程施工及验收规范</w:t>
      </w:r>
      <w:r>
        <w:rPr>
          <w:rFonts w:hint="default" w:ascii="Times New Roman" w:hAnsi="Times New Roman" w:cs="Times New Roman"/>
          <w:highlight w:val="none"/>
          <w:lang w:val="en-US" w:eastAsia="zh-CN"/>
        </w:rPr>
        <w:fldChar w:fldCharType="end"/>
      </w:r>
    </w:p>
    <w:p w14:paraId="64DB4C66">
      <w:pPr>
        <w:pStyle w:val="6"/>
        <w:pageBreakBefore w:val="0"/>
        <w:kinsoku/>
        <w:wordWrap/>
        <w:overflowPunct/>
        <w:topLinePunct w:val="0"/>
        <w:bidi w:val="0"/>
        <w:spacing w:line="362" w:lineRule="auto"/>
        <w:ind w:left="0" w:right="0" w:firstLine="480"/>
        <w:jc w:val="both"/>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GB/T 8487  港口装卸术语</w:t>
      </w:r>
    </w:p>
    <w:p w14:paraId="25DC1F86">
      <w:pPr>
        <w:pStyle w:val="6"/>
        <w:pageBreakBefore w:val="0"/>
        <w:kinsoku/>
        <w:wordWrap/>
        <w:overflowPunct/>
        <w:topLinePunct w:val="0"/>
        <w:bidi w:val="0"/>
        <w:spacing w:line="362" w:lineRule="auto"/>
        <w:ind w:left="0" w:right="0" w:firstLine="480"/>
        <w:jc w:val="both"/>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GB/T 18920  城市污水再生利用 城市杂用水水质</w:t>
      </w:r>
    </w:p>
    <w:p w14:paraId="4EE95653">
      <w:pPr>
        <w:pStyle w:val="6"/>
        <w:pageBreakBefore w:val="0"/>
        <w:kinsoku/>
        <w:wordWrap/>
        <w:overflowPunct/>
        <w:topLinePunct w:val="0"/>
        <w:bidi w:val="0"/>
        <w:spacing w:line="362" w:lineRule="auto"/>
        <w:ind w:left="0" w:right="0" w:firstLine="480"/>
        <w:jc w:val="both"/>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JTS 149  水运工程环境保护设计规范</w:t>
      </w:r>
    </w:p>
    <w:p w14:paraId="012DBA0F">
      <w:pPr>
        <w:pStyle w:val="6"/>
        <w:pageBreakBefore w:val="0"/>
        <w:kinsoku/>
        <w:wordWrap/>
        <w:overflowPunct/>
        <w:topLinePunct w:val="0"/>
        <w:bidi w:val="0"/>
        <w:spacing w:line="362" w:lineRule="auto"/>
        <w:ind w:left="0" w:right="0" w:firstLine="480"/>
        <w:jc w:val="both"/>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JTS 156  煤炭矿石码头粉尘控制设计规范</w:t>
      </w:r>
    </w:p>
    <w:p w14:paraId="0CA039F1">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highlight w:val="none"/>
          <w:lang w:val="en-US" w:eastAsia="zh-CN"/>
        </w:rPr>
        <w:t>JTS 165  海</w:t>
      </w:r>
      <w:r>
        <w:rPr>
          <w:rFonts w:hint="default" w:ascii="Times New Roman" w:hAnsi="Times New Roman" w:cs="Times New Roman"/>
          <w:lang w:val="en-US" w:eastAsia="zh-CN"/>
        </w:rPr>
        <w:t>港总体设计规范</w:t>
      </w:r>
    </w:p>
    <w:p w14:paraId="49FF4CB9">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JGJ/T</w:t>
      </w:r>
      <w:r>
        <w:rPr>
          <w:rFonts w:hint="default" w:ascii="Times New Roman" w:hAnsi="Times New Roman" w:cs="Times New Roman"/>
          <w:lang w:val="en-US" w:eastAsia="zh-CN"/>
        </w:rPr>
        <w:t xml:space="preserve"> </w:t>
      </w:r>
      <w:r>
        <w:rPr>
          <w:rFonts w:hint="default" w:ascii="Times New Roman" w:hAnsi="Times New Roman" w:cs="Times New Roman"/>
          <w:lang w:val="en-US" w:eastAsia="zh-CN"/>
        </w:rPr>
        <w:t>104  建筑工程冬期施工规程</w:t>
      </w:r>
    </w:p>
    <w:p w14:paraId="7F4648D0">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HG/T 20507  自动化仪表选型设计规范</w:t>
      </w:r>
    </w:p>
    <w:p w14:paraId="79AD8C81">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eastAsia="zh-CN"/>
        </w:rPr>
        <w:t>其中 GB/T 8487界定了本文所使用的相关术语；</w:t>
      </w:r>
      <w:r>
        <w:rPr>
          <w:rFonts w:hint="default" w:ascii="Times New Roman" w:hAnsi="Times New Roman" w:cs="Times New Roman"/>
          <w:lang w:val="en-US" w:eastAsia="zh-CN"/>
        </w:rPr>
        <w:t>总体设计参照</w:t>
      </w:r>
      <w:r>
        <w:rPr>
          <w:rFonts w:hint="default" w:ascii="Times New Roman" w:hAnsi="Times New Roman" w:cs="Times New Roman"/>
          <w:lang w:eastAsia="zh-CN"/>
        </w:rPr>
        <w:t xml:space="preserve">JTS </w:t>
      </w:r>
      <w:r>
        <w:rPr>
          <w:rFonts w:hint="default" w:ascii="Times New Roman" w:hAnsi="Times New Roman" w:cs="Times New Roman"/>
          <w:lang w:val="en-US" w:eastAsia="zh-CN"/>
        </w:rPr>
        <w:t>165</w:t>
      </w:r>
      <w:r>
        <w:rPr>
          <w:rFonts w:hint="default" w:ascii="Times New Roman" w:hAnsi="Times New Roman" w:cs="Times New Roman"/>
          <w:lang w:eastAsia="zh-CN"/>
        </w:rPr>
        <w:t>中相关要求。</w:t>
      </w:r>
      <w:r>
        <w:rPr>
          <w:rFonts w:hint="default" w:ascii="Times New Roman" w:hAnsi="Times New Roman" w:cs="Times New Roman"/>
          <w:lang w:val="en-US" w:eastAsia="zh-CN"/>
        </w:rPr>
        <w:t>冲洗平台相关设计与建设要求参照</w:t>
      </w:r>
      <w:r>
        <w:rPr>
          <w:rFonts w:hint="default" w:ascii="Times New Roman" w:hAnsi="Times New Roman" w:cs="Times New Roman"/>
          <w:lang w:eastAsia="zh-CN"/>
        </w:rPr>
        <w:t>JTS 149、JTS 156。</w:t>
      </w:r>
      <w:r>
        <w:rPr>
          <w:rFonts w:hint="default" w:ascii="Times New Roman" w:hAnsi="Times New Roman" w:cs="Times New Roman"/>
          <w:lang w:val="en-US" w:eastAsia="zh-CN"/>
        </w:rPr>
        <w:t>洗车平台基础施工参照GB 50010，冬期施工参照</w:t>
      </w:r>
      <w:r>
        <w:rPr>
          <w:rFonts w:hint="default" w:ascii="Times New Roman" w:hAnsi="Times New Roman" w:cs="Times New Roman"/>
          <w:lang w:val="en-US" w:eastAsia="zh-CN"/>
        </w:rPr>
        <w:t>JGJ/T</w:t>
      </w:r>
      <w:r>
        <w:rPr>
          <w:rFonts w:hint="default" w:ascii="Times New Roman" w:hAnsi="Times New Roman" w:cs="Times New Roman"/>
          <w:lang w:val="en-US" w:eastAsia="zh-CN"/>
        </w:rPr>
        <w:t xml:space="preserve"> </w:t>
      </w:r>
      <w:r>
        <w:rPr>
          <w:rFonts w:hint="default" w:ascii="Times New Roman" w:hAnsi="Times New Roman" w:cs="Times New Roman"/>
          <w:lang w:val="en-US" w:eastAsia="zh-CN"/>
        </w:rPr>
        <w:t>104</w:t>
      </w:r>
      <w:r>
        <w:rPr>
          <w:rFonts w:hint="default" w:ascii="Times New Roman" w:hAnsi="Times New Roman" w:cs="Times New Roman"/>
          <w:lang w:val="en-US" w:eastAsia="zh-CN"/>
        </w:rPr>
        <w:t>；水泵、管道等设备安装参照GB 50013、GB 50275；流量计选型参照</w:t>
      </w:r>
      <w:r>
        <w:rPr>
          <w:rFonts w:hint="default" w:ascii="Times New Roman" w:hAnsi="Times New Roman" w:cs="Times New Roman"/>
          <w:lang w:val="en-US" w:eastAsia="zh-CN"/>
        </w:rPr>
        <w:t>HG/T 20507</w:t>
      </w:r>
      <w:r>
        <w:rPr>
          <w:rFonts w:hint="default" w:ascii="Times New Roman" w:hAnsi="Times New Roman" w:cs="Times New Roman"/>
          <w:lang w:val="en-US" w:eastAsia="zh-CN"/>
        </w:rPr>
        <w:t>。</w:t>
      </w:r>
      <w:r>
        <w:rPr>
          <w:rFonts w:hint="default" w:ascii="Times New Roman" w:hAnsi="Times New Roman" w:cs="Times New Roman"/>
          <w:lang w:val="en-US" w:eastAsia="zh-CN"/>
        </w:rPr>
        <w:t>污水收集、处理设施设计</w:t>
      </w:r>
      <w:r>
        <w:rPr>
          <w:rFonts w:hint="default" w:ascii="Times New Roman" w:hAnsi="Times New Roman" w:cs="Times New Roman"/>
          <w:lang w:val="en-US" w:eastAsia="zh-CN"/>
        </w:rPr>
        <w:t>、施工</w:t>
      </w:r>
      <w:r>
        <w:rPr>
          <w:rFonts w:hint="default" w:ascii="Times New Roman" w:hAnsi="Times New Roman" w:cs="Times New Roman"/>
          <w:lang w:val="en-US" w:eastAsia="zh-CN"/>
        </w:rPr>
        <w:t>参照GB 50014</w:t>
      </w:r>
      <w:r>
        <w:rPr>
          <w:rFonts w:hint="default" w:ascii="Times New Roman" w:hAnsi="Times New Roman" w:cs="Times New Roman"/>
          <w:lang w:val="en-US" w:eastAsia="zh-CN"/>
        </w:rPr>
        <w:t>、GB 50208、GB50268</w:t>
      </w:r>
      <w:r>
        <w:rPr>
          <w:rFonts w:hint="default" w:ascii="Times New Roman" w:hAnsi="Times New Roman" w:cs="Times New Roman"/>
          <w:lang w:val="en-US" w:eastAsia="zh-CN"/>
        </w:rPr>
        <w:t>；</w:t>
      </w:r>
      <w:r>
        <w:rPr>
          <w:rFonts w:hint="default" w:ascii="Times New Roman" w:hAnsi="Times New Roman" w:cs="Times New Roman"/>
          <w:lang w:val="en-US" w:eastAsia="zh-CN"/>
        </w:rPr>
        <w:t>污水处理系统出水</w:t>
      </w:r>
      <w:r>
        <w:rPr>
          <w:rFonts w:hint="default" w:ascii="Times New Roman" w:hAnsi="Times New Roman" w:cs="Times New Roman"/>
          <w:lang w:val="en-US" w:eastAsia="zh-CN"/>
        </w:rPr>
        <w:t>回用标准参照GB/T 18920</w:t>
      </w:r>
      <w:r>
        <w:rPr>
          <w:rFonts w:hint="default" w:ascii="Times New Roman" w:hAnsi="Times New Roman" w:cs="Times New Roman"/>
          <w:lang w:val="en-US" w:eastAsia="zh-CN"/>
        </w:rPr>
        <w:t>、</w:t>
      </w:r>
      <w:r>
        <w:rPr>
          <w:rFonts w:hint="default" w:ascii="Times New Roman" w:hAnsi="Times New Roman" w:cs="Times New Roman"/>
          <w:lang w:eastAsia="zh-CN"/>
        </w:rPr>
        <w:t>JTS 156</w:t>
      </w:r>
      <w:r>
        <w:rPr>
          <w:rFonts w:hint="default" w:ascii="Times New Roman" w:hAnsi="Times New Roman" w:cs="Times New Roman"/>
          <w:lang w:val="en-US" w:eastAsia="zh-CN"/>
        </w:rPr>
        <w:t>。</w:t>
      </w:r>
    </w:p>
    <w:p w14:paraId="7ADC2A8E">
      <w:pPr>
        <w:pStyle w:val="21"/>
        <w:pageBreakBefore w:val="0"/>
        <w:numPr>
          <w:ilvl w:val="0"/>
          <w:numId w:val="1"/>
        </w:numPr>
        <w:kinsoku/>
        <w:wordWrap/>
        <w:overflowPunct/>
        <w:topLinePunct w:val="0"/>
        <w:bidi w:val="0"/>
        <w:spacing w:before="164" w:after="156" w:afterLines="50"/>
        <w:ind w:left="0" w:right="0"/>
        <w:rPr>
          <w:rFonts w:hint="default" w:ascii="Times New Roman" w:hAnsi="Times New Roman" w:cs="Times New Roman"/>
          <w:b/>
          <w:w w:val="105"/>
          <w:sz w:val="23"/>
          <w:lang w:eastAsia="zh-CN"/>
        </w:rPr>
      </w:pPr>
      <w:bookmarkStart w:id="4" w:name="3.第三章__术语和定义、缩略语"/>
      <w:bookmarkEnd w:id="4"/>
      <w:r>
        <w:rPr>
          <w:rFonts w:hint="default" w:ascii="Times New Roman" w:hAnsi="Times New Roman" w:cs="Times New Roman"/>
          <w:b/>
          <w:w w:val="105"/>
          <w:sz w:val="23"/>
          <w:lang w:eastAsia="zh-CN"/>
        </w:rPr>
        <w:t>第三章 术语和定义</w:t>
      </w:r>
    </w:p>
    <w:p w14:paraId="6B597674">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bookmarkStart w:id="5" w:name="该部分主要阐述了在远程控制的岸边集装箱起重机在操作过程中所涉及的相关术语，除了引"/>
      <w:bookmarkEnd w:id="5"/>
      <w:r>
        <w:rPr>
          <w:rFonts w:hint="default" w:ascii="Times New Roman" w:hAnsi="Times New Roman" w:cs="Times New Roman"/>
          <w:lang w:eastAsia="zh-CN"/>
        </w:rPr>
        <w:t>该部分主要阐述了</w:t>
      </w:r>
      <w:r>
        <w:rPr>
          <w:rFonts w:hint="default" w:ascii="Times New Roman" w:hAnsi="Times New Roman" w:cs="Times New Roman"/>
          <w:lang w:val="en-US" w:eastAsia="zh-CN"/>
        </w:rPr>
        <w:t>港口</w:t>
      </w:r>
      <w:r>
        <w:rPr>
          <w:rFonts w:hint="default" w:ascii="Times New Roman" w:hAnsi="Times New Roman" w:cs="Times New Roman"/>
          <w:lang w:eastAsia="zh-CN"/>
        </w:rPr>
        <w:t>干散货</w:t>
      </w:r>
      <w:r>
        <w:rPr>
          <w:rFonts w:hint="default" w:ascii="Times New Roman" w:hAnsi="Times New Roman" w:cs="Times New Roman"/>
          <w:lang w:val="en-US" w:eastAsia="zh-CN"/>
        </w:rPr>
        <w:t>运输车辆</w:t>
      </w:r>
      <w:r>
        <w:rPr>
          <w:rFonts w:hint="default" w:ascii="Times New Roman" w:hAnsi="Times New Roman" w:cs="Times New Roman"/>
          <w:lang w:eastAsia="zh-CN"/>
        </w:rPr>
        <w:t>在</w:t>
      </w:r>
      <w:r>
        <w:rPr>
          <w:rFonts w:hint="default" w:ascii="Times New Roman" w:hAnsi="Times New Roman" w:cs="Times New Roman"/>
          <w:lang w:val="en-US" w:eastAsia="zh-CN"/>
        </w:rPr>
        <w:t>新建、改建</w:t>
      </w:r>
      <w:r>
        <w:rPr>
          <w:rFonts w:hint="default" w:ascii="Times New Roman" w:hAnsi="Times New Roman" w:cs="Times New Roman"/>
          <w:lang w:val="en-US" w:eastAsia="zh-CN"/>
        </w:rPr>
        <w:t>、扩建</w:t>
      </w:r>
      <w:r>
        <w:rPr>
          <w:rFonts w:hint="default" w:ascii="Times New Roman" w:hAnsi="Times New Roman" w:cs="Times New Roman"/>
          <w:lang w:val="en-US" w:eastAsia="zh-CN"/>
        </w:rPr>
        <w:t>洗车平台</w:t>
      </w:r>
      <w:r>
        <w:rPr>
          <w:rFonts w:hint="default" w:ascii="Times New Roman" w:hAnsi="Times New Roman" w:cs="Times New Roman"/>
          <w:lang w:eastAsia="zh-CN"/>
        </w:rPr>
        <w:t>过程中所涉及的相关术语，除了引用 GB/T 8487界定的相关术语外，本文件还定义了“</w:t>
      </w:r>
      <w:r>
        <w:rPr>
          <w:rFonts w:hint="default" w:ascii="Times New Roman" w:hAnsi="Times New Roman" w:cs="Times New Roman"/>
          <w:lang w:val="en-US" w:eastAsia="zh-CN"/>
        </w:rPr>
        <w:t>冲洗系统</w:t>
      </w:r>
      <w:r>
        <w:rPr>
          <w:rFonts w:hint="default" w:ascii="Times New Roman" w:hAnsi="Times New Roman" w:cs="Times New Roman"/>
          <w:lang w:eastAsia="zh-CN"/>
        </w:rPr>
        <w:t>”</w:t>
      </w:r>
      <w:r>
        <w:rPr>
          <w:rFonts w:hint="default" w:ascii="Times New Roman" w:hAnsi="Times New Roman" w:cs="Times New Roman"/>
          <w:lang w:eastAsia="zh-CN"/>
        </w:rPr>
        <w:t>、“</w:t>
      </w:r>
      <w:r>
        <w:rPr>
          <w:rFonts w:hint="default" w:ascii="Times New Roman" w:hAnsi="Times New Roman" w:cs="Times New Roman"/>
          <w:lang w:val="en-US" w:eastAsia="zh-CN"/>
        </w:rPr>
        <w:t>污水收集系统</w:t>
      </w:r>
      <w:r>
        <w:rPr>
          <w:rFonts w:hint="default" w:ascii="Times New Roman" w:hAnsi="Times New Roman" w:cs="Times New Roman"/>
          <w:lang w:eastAsia="zh-CN"/>
        </w:rPr>
        <w:t>”、“</w:t>
      </w:r>
      <w:r>
        <w:rPr>
          <w:rFonts w:hint="default" w:ascii="Times New Roman" w:hAnsi="Times New Roman" w:cs="Times New Roman"/>
          <w:lang w:val="en-US" w:eastAsia="zh-CN"/>
        </w:rPr>
        <w:t>污水处理系统</w:t>
      </w:r>
      <w:r>
        <w:rPr>
          <w:rFonts w:hint="default" w:ascii="Times New Roman" w:hAnsi="Times New Roman" w:cs="Times New Roman"/>
          <w:lang w:eastAsia="zh-CN"/>
        </w:rPr>
        <w:t>”、“</w:t>
      </w:r>
      <w:r>
        <w:rPr>
          <w:rFonts w:hint="default" w:ascii="Times New Roman" w:hAnsi="Times New Roman" w:cs="Times New Roman"/>
          <w:lang w:val="en-US" w:eastAsia="zh-CN"/>
        </w:rPr>
        <w:t>冲洗控制系统</w:t>
      </w:r>
      <w:r>
        <w:rPr>
          <w:rFonts w:hint="default" w:ascii="Times New Roman" w:hAnsi="Times New Roman" w:cs="Times New Roman"/>
          <w:lang w:eastAsia="zh-CN"/>
        </w:rPr>
        <w:t>”</w:t>
      </w:r>
      <w:r>
        <w:rPr>
          <w:rFonts w:hint="default" w:ascii="Times New Roman" w:hAnsi="Times New Roman" w:cs="Times New Roman"/>
          <w:lang w:eastAsia="zh-CN"/>
        </w:rPr>
        <w:t>。“</w:t>
      </w:r>
      <w:r>
        <w:rPr>
          <w:rFonts w:hint="default" w:ascii="Times New Roman" w:hAnsi="Times New Roman" w:cs="Times New Roman"/>
          <w:lang w:val="en-US" w:eastAsia="zh-CN"/>
        </w:rPr>
        <w:t>冲洗系统</w:t>
      </w:r>
      <w:r>
        <w:rPr>
          <w:rFonts w:hint="default" w:ascii="Times New Roman" w:hAnsi="Times New Roman" w:cs="Times New Roman"/>
          <w:lang w:eastAsia="zh-CN"/>
        </w:rPr>
        <w:t>”</w:t>
      </w:r>
      <w:r>
        <w:rPr>
          <w:rFonts w:hint="default" w:ascii="Times New Roman" w:hAnsi="Times New Roman" w:cs="Times New Roman"/>
          <w:lang w:val="en-US" w:eastAsia="zh-CN"/>
        </w:rPr>
        <w:t>是</w:t>
      </w:r>
      <w:r>
        <w:rPr>
          <w:rFonts w:hint="default" w:ascii="Times New Roman" w:hAnsi="Times New Roman" w:cs="Times New Roman"/>
          <w:lang w:eastAsia="zh-CN"/>
        </w:rPr>
        <w:t>本文中所规定的</w:t>
      </w:r>
      <w:r>
        <w:rPr>
          <w:rFonts w:hint="default" w:ascii="Times New Roman" w:hAnsi="Times New Roman" w:cs="Times New Roman"/>
          <w:lang w:val="en-US" w:eastAsia="zh-CN"/>
        </w:rPr>
        <w:t>洗车平台</w:t>
      </w:r>
      <w:r>
        <w:rPr>
          <w:rFonts w:hint="default" w:ascii="Times New Roman" w:hAnsi="Times New Roman" w:cs="Times New Roman"/>
          <w:szCs w:val="21"/>
          <w:lang w:val="en-US" w:eastAsia="zh-CN"/>
        </w:rPr>
        <w:t>由增压泵、管道、阀门、喷嘴等设备及元件组成，能够</w:t>
      </w:r>
      <w:r>
        <w:rPr>
          <w:rFonts w:hint="default" w:ascii="Times New Roman" w:hAnsi="Times New Roman" w:cs="Times New Roman"/>
          <w:lang w:val="en-US" w:eastAsia="zh-CN"/>
        </w:rPr>
        <w:t>实现车辆冲洗的</w:t>
      </w:r>
      <w:r>
        <w:rPr>
          <w:rFonts w:hint="default" w:ascii="Times New Roman" w:hAnsi="Times New Roman" w:cs="Times New Roman"/>
          <w:szCs w:val="21"/>
          <w:lang w:val="en-US" w:eastAsia="zh-CN"/>
        </w:rPr>
        <w:t>成套设备的定义；</w:t>
      </w:r>
      <w:r>
        <w:rPr>
          <w:rFonts w:hint="default" w:ascii="Times New Roman" w:hAnsi="Times New Roman" w:cs="Times New Roman"/>
          <w:lang w:eastAsia="zh-CN"/>
        </w:rPr>
        <w:t>“</w:t>
      </w:r>
      <w:r>
        <w:rPr>
          <w:rFonts w:hint="default" w:ascii="Times New Roman" w:hAnsi="Times New Roman" w:cs="Times New Roman"/>
          <w:lang w:val="en-US" w:eastAsia="zh-CN"/>
        </w:rPr>
        <w:t>污水收集系统</w:t>
      </w:r>
      <w:r>
        <w:rPr>
          <w:rFonts w:hint="default" w:ascii="Times New Roman" w:hAnsi="Times New Roman" w:cs="Times New Roman"/>
          <w:lang w:eastAsia="zh-CN"/>
        </w:rPr>
        <w:t>”</w:t>
      </w:r>
      <w:r>
        <w:rPr>
          <w:rFonts w:hint="default" w:ascii="Times New Roman" w:hAnsi="Times New Roman" w:cs="Times New Roman"/>
          <w:lang w:eastAsia="zh-CN"/>
        </w:rPr>
        <w:t>是本文中所规定的</w:t>
      </w:r>
      <w:r>
        <w:rPr>
          <w:rFonts w:hint="default" w:ascii="Times New Roman" w:hAnsi="Times New Roman" w:cs="Times New Roman"/>
          <w:szCs w:val="21"/>
          <w:lang w:val="en-US" w:eastAsia="zh-CN"/>
        </w:rPr>
        <w:t>用于收集、输送、储存洗车平台车辆冲洗废水</w:t>
      </w:r>
      <w:r>
        <w:rPr>
          <w:rFonts w:hint="default" w:ascii="Times New Roman" w:hAnsi="Times New Roman" w:cs="Times New Roman"/>
          <w:szCs w:val="21"/>
          <w:highlight w:val="none"/>
          <w:lang w:val="en-US" w:eastAsia="zh-CN"/>
        </w:rPr>
        <w:t>及雨水</w:t>
      </w:r>
      <w:r>
        <w:rPr>
          <w:rFonts w:hint="default" w:ascii="Times New Roman" w:hAnsi="Times New Roman" w:cs="Times New Roman"/>
          <w:szCs w:val="21"/>
          <w:lang w:val="en-US" w:eastAsia="zh-CN"/>
        </w:rPr>
        <w:t>的设施的定义；</w:t>
      </w:r>
      <w:r>
        <w:rPr>
          <w:rFonts w:hint="default" w:ascii="Times New Roman" w:hAnsi="Times New Roman" w:cs="Times New Roman"/>
          <w:lang w:eastAsia="zh-CN"/>
        </w:rPr>
        <w:t>“</w:t>
      </w:r>
      <w:r>
        <w:rPr>
          <w:rFonts w:hint="default" w:ascii="Times New Roman" w:hAnsi="Times New Roman" w:cs="Times New Roman"/>
          <w:lang w:val="en-US" w:eastAsia="zh-CN"/>
        </w:rPr>
        <w:t>污水处理系统</w:t>
      </w:r>
      <w:r>
        <w:rPr>
          <w:rFonts w:hint="default" w:ascii="Times New Roman" w:hAnsi="Times New Roman" w:cs="Times New Roman"/>
          <w:lang w:eastAsia="zh-CN"/>
        </w:rPr>
        <w:t>”</w:t>
      </w:r>
      <w:r>
        <w:rPr>
          <w:rFonts w:hint="default" w:ascii="Times New Roman" w:hAnsi="Times New Roman" w:cs="Times New Roman"/>
          <w:lang w:eastAsia="zh-CN"/>
        </w:rPr>
        <w:t>是本文中所规定的</w:t>
      </w:r>
      <w:r>
        <w:rPr>
          <w:rFonts w:hint="default" w:ascii="Times New Roman" w:hAnsi="Times New Roman" w:cs="Times New Roman"/>
          <w:szCs w:val="21"/>
          <w:lang w:val="en-US" w:eastAsia="zh-CN"/>
        </w:rPr>
        <w:t>用于</w:t>
      </w:r>
      <w:r>
        <w:rPr>
          <w:rFonts w:hint="default" w:ascii="Times New Roman" w:hAnsi="Times New Roman" w:eastAsia="宋体" w:cs="Times New Roman"/>
          <w:lang w:val="en-US" w:eastAsia="zh-CN"/>
        </w:rPr>
        <w:t>去除或分离</w:t>
      </w:r>
      <w:r>
        <w:rPr>
          <w:rFonts w:hint="default" w:ascii="Times New Roman" w:hAnsi="Times New Roman" w:cs="Times New Roman"/>
          <w:lang w:val="en-US" w:eastAsia="zh-CN"/>
        </w:rPr>
        <w:t>车辆冲洗废</w:t>
      </w:r>
      <w:r>
        <w:rPr>
          <w:rFonts w:hint="default" w:ascii="Times New Roman" w:hAnsi="Times New Roman" w:eastAsia="宋体" w:cs="Times New Roman"/>
          <w:lang w:val="en-US" w:eastAsia="zh-CN"/>
        </w:rPr>
        <w:t>水所含固体悬浮</w:t>
      </w:r>
      <w:r>
        <w:rPr>
          <w:rFonts w:hint="default" w:ascii="Times New Roman" w:hAnsi="Times New Roman" w:cs="Times New Roman"/>
          <w:lang w:val="en-US" w:eastAsia="zh-CN"/>
        </w:rPr>
        <w:t>物</w:t>
      </w:r>
      <w:r>
        <w:rPr>
          <w:rFonts w:hint="default" w:ascii="Times New Roman" w:hAnsi="Times New Roman" w:eastAsia="宋体" w:cs="Times New Roman"/>
          <w:lang w:val="en-US" w:eastAsia="zh-CN"/>
        </w:rPr>
        <w:t>，对废水进行净化以达到回用要求的整套设备、装置和构筑物</w:t>
      </w:r>
      <w:r>
        <w:rPr>
          <w:rFonts w:hint="default" w:ascii="Times New Roman" w:hAnsi="Times New Roman" w:cs="Times New Roman"/>
          <w:szCs w:val="21"/>
          <w:lang w:val="en-US" w:eastAsia="zh-CN"/>
        </w:rPr>
        <w:t>的定义；</w:t>
      </w:r>
      <w:r>
        <w:rPr>
          <w:rFonts w:hint="default" w:ascii="Times New Roman" w:hAnsi="Times New Roman" w:cs="Times New Roman"/>
          <w:lang w:eastAsia="zh-CN"/>
        </w:rPr>
        <w:t>“</w:t>
      </w:r>
      <w:r>
        <w:rPr>
          <w:rFonts w:hint="default" w:ascii="Times New Roman" w:hAnsi="Times New Roman" w:cs="Times New Roman"/>
          <w:lang w:val="en-US" w:eastAsia="zh-CN"/>
        </w:rPr>
        <w:t>冲洗控制系统</w:t>
      </w:r>
      <w:r>
        <w:rPr>
          <w:rFonts w:hint="default" w:ascii="Times New Roman" w:hAnsi="Times New Roman" w:cs="Times New Roman"/>
          <w:lang w:eastAsia="zh-CN"/>
        </w:rPr>
        <w:t>”</w:t>
      </w:r>
      <w:r>
        <w:rPr>
          <w:rFonts w:hint="default" w:ascii="Times New Roman" w:hAnsi="Times New Roman" w:cs="Times New Roman"/>
          <w:lang w:eastAsia="zh-CN"/>
        </w:rPr>
        <w:t>是本文中所规定的</w:t>
      </w:r>
      <w:r>
        <w:rPr>
          <w:rFonts w:hint="default" w:ascii="Times New Roman" w:hAnsi="Times New Roman" w:cs="Times New Roman"/>
          <w:lang w:val="en-US" w:eastAsia="zh-CN"/>
        </w:rPr>
        <w:t>利用</w:t>
      </w:r>
      <w:r>
        <w:rPr>
          <w:rFonts w:hint="default" w:ascii="Times New Roman" w:hAnsi="Times New Roman" w:eastAsia="宋体" w:cs="Times New Roman"/>
          <w:lang w:val="en-US" w:eastAsia="zh-CN"/>
        </w:rPr>
        <w:t>自动或半自动方式，依据预设的清洗逻辑和参数，对洗车平台冲洗</w:t>
      </w:r>
      <w:r>
        <w:rPr>
          <w:rFonts w:hint="default" w:ascii="Times New Roman" w:hAnsi="Times New Roman" w:cs="Times New Roman"/>
          <w:lang w:val="en-US" w:eastAsia="zh-CN"/>
        </w:rPr>
        <w:t>系统</w:t>
      </w:r>
      <w:r>
        <w:rPr>
          <w:rFonts w:hint="default" w:ascii="Times New Roman" w:hAnsi="Times New Roman" w:eastAsia="宋体" w:cs="Times New Roman"/>
          <w:lang w:val="en-US" w:eastAsia="zh-CN"/>
        </w:rPr>
        <w:t>的启停时序、</w:t>
      </w:r>
      <w:r>
        <w:rPr>
          <w:rFonts w:hint="default" w:ascii="Times New Roman" w:hAnsi="Times New Roman" w:cs="Times New Roman"/>
          <w:lang w:val="en-US" w:eastAsia="zh-CN"/>
        </w:rPr>
        <w:t>冲洗水</w:t>
      </w:r>
      <w:r>
        <w:rPr>
          <w:rFonts w:hint="default" w:ascii="Times New Roman" w:hAnsi="Times New Roman" w:eastAsia="宋体" w:cs="Times New Roman"/>
          <w:lang w:val="en-US" w:eastAsia="zh-CN"/>
        </w:rPr>
        <w:t>供给</w:t>
      </w:r>
      <w:r>
        <w:rPr>
          <w:rFonts w:hint="default" w:ascii="Times New Roman" w:hAnsi="Times New Roman" w:cs="Times New Roman"/>
          <w:lang w:val="en-US" w:eastAsia="zh-CN"/>
        </w:rPr>
        <w:t>、关键运行参数（冲洗压力、流量、时间）等</w:t>
      </w:r>
      <w:r>
        <w:rPr>
          <w:rFonts w:hint="default" w:ascii="Times New Roman" w:hAnsi="Times New Roman" w:eastAsia="宋体" w:cs="Times New Roman"/>
          <w:lang w:val="en-US" w:eastAsia="zh-CN"/>
        </w:rPr>
        <w:t>进行程序化控制、参数监控与执行机构操作</w:t>
      </w:r>
      <w:r>
        <w:rPr>
          <w:rFonts w:hint="default" w:ascii="Times New Roman" w:hAnsi="Times New Roman" w:cs="Times New Roman"/>
          <w:lang w:val="en-US" w:eastAsia="zh-CN"/>
        </w:rPr>
        <w:t>，实现高效冲洗与节水的集成装置</w:t>
      </w:r>
      <w:r>
        <w:rPr>
          <w:rFonts w:hint="default" w:ascii="Times New Roman" w:hAnsi="Times New Roman" w:cs="Times New Roman"/>
          <w:lang w:val="en-US" w:eastAsia="zh-CN"/>
        </w:rPr>
        <w:t>的定义。</w:t>
      </w:r>
    </w:p>
    <w:p w14:paraId="33867969">
      <w:pPr>
        <w:pStyle w:val="21"/>
        <w:pageBreakBefore w:val="0"/>
        <w:numPr>
          <w:ilvl w:val="0"/>
          <w:numId w:val="1"/>
        </w:numPr>
        <w:kinsoku/>
        <w:wordWrap/>
        <w:overflowPunct/>
        <w:topLinePunct w:val="0"/>
        <w:bidi w:val="0"/>
        <w:spacing w:before="164" w:after="156" w:afterLines="50"/>
        <w:ind w:left="0" w:right="0"/>
        <w:rPr>
          <w:rFonts w:hint="default" w:ascii="Times New Roman" w:hAnsi="Times New Roman" w:cs="Times New Roman"/>
          <w:b/>
          <w:w w:val="105"/>
          <w:sz w:val="23"/>
          <w:lang w:eastAsia="zh-CN"/>
        </w:rPr>
      </w:pPr>
      <w:bookmarkStart w:id="6" w:name="4.第四章_一般要求"/>
      <w:bookmarkEnd w:id="6"/>
      <w:r>
        <w:rPr>
          <w:rFonts w:hint="default" w:ascii="Times New Roman" w:hAnsi="Times New Roman" w:cs="Times New Roman"/>
          <w:b/>
          <w:w w:val="105"/>
          <w:sz w:val="23"/>
          <w:lang w:eastAsia="zh-CN"/>
        </w:rPr>
        <w:t>第四章 一般要求</w:t>
      </w:r>
    </w:p>
    <w:p w14:paraId="3ADAD24E">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该部分主要规定了</w:t>
      </w:r>
      <w:r>
        <w:rPr>
          <w:rFonts w:hint="default" w:ascii="Times New Roman" w:hAnsi="Times New Roman" w:cs="Times New Roman"/>
          <w:lang w:val="en-US" w:eastAsia="zh-CN"/>
        </w:rPr>
        <w:t>洗车平台设计和建设</w:t>
      </w:r>
      <w:r>
        <w:rPr>
          <w:rFonts w:hint="default" w:ascii="Times New Roman" w:hAnsi="Times New Roman" w:cs="Times New Roman"/>
          <w:lang w:eastAsia="zh-CN"/>
        </w:rPr>
        <w:t>的一般要求，主要从</w:t>
      </w:r>
      <w:r>
        <w:rPr>
          <w:rFonts w:hint="default" w:ascii="Times New Roman" w:hAnsi="Times New Roman" w:cs="Times New Roman"/>
          <w:lang w:val="en-US" w:eastAsia="zh-CN"/>
        </w:rPr>
        <w:t>洗车平台组成、</w:t>
      </w:r>
      <w:r>
        <w:rPr>
          <w:rFonts w:hint="default" w:ascii="Times New Roman" w:hAnsi="Times New Roman" w:cs="Times New Roman"/>
          <w:lang w:val="en-US" w:eastAsia="zh-CN"/>
        </w:rPr>
        <w:t>设计、</w:t>
      </w:r>
      <w:r>
        <w:rPr>
          <w:rFonts w:hint="default" w:ascii="Times New Roman" w:hAnsi="Times New Roman" w:cs="Times New Roman"/>
          <w:lang w:val="en-US" w:eastAsia="zh-CN"/>
        </w:rPr>
        <w:t>建设规模</w:t>
      </w:r>
      <w:r>
        <w:rPr>
          <w:rFonts w:hint="default" w:ascii="Times New Roman" w:hAnsi="Times New Roman" w:cs="Times New Roman"/>
          <w:lang w:val="en-US" w:eastAsia="zh-CN"/>
        </w:rPr>
        <w:t>、水源、冲洗</w:t>
      </w:r>
      <w:r>
        <w:rPr>
          <w:rFonts w:hint="default" w:ascii="Times New Roman" w:hAnsi="Times New Roman" w:cs="Times New Roman"/>
          <w:lang w:val="en-US" w:eastAsia="zh-CN"/>
        </w:rPr>
        <w:t>过程及防冻措施</w:t>
      </w:r>
      <w:r>
        <w:rPr>
          <w:rFonts w:hint="default" w:ascii="Times New Roman" w:hAnsi="Times New Roman" w:cs="Times New Roman"/>
          <w:lang w:val="en-US" w:eastAsia="zh-CN"/>
        </w:rPr>
        <w:t>等方面</w:t>
      </w:r>
      <w:r>
        <w:rPr>
          <w:rFonts w:hint="default" w:ascii="Times New Roman" w:hAnsi="Times New Roman" w:cs="Times New Roman"/>
          <w:lang w:eastAsia="zh-CN"/>
        </w:rPr>
        <w:t>提出了具体要求。</w:t>
      </w:r>
    </w:p>
    <w:p w14:paraId="6AF8E5DB">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4.1条参照《小型高压清洗机》(GB/T 45165)</w:t>
      </w:r>
      <w:r>
        <w:rPr>
          <w:rFonts w:hint="default" w:ascii="Times New Roman" w:hAnsi="Times New Roman" w:cs="Times New Roman"/>
          <w:u w:val="single"/>
          <w:lang w:val="en-US" w:eastAsia="zh-CN"/>
        </w:rPr>
        <w:t>第4.1条 小型高压清洗机组成主要包括：泵、驱动设备(电动机、内燃机、液压马达)、控制系统(电控装置、调压卸荷阀等)、软管及喷枪、喷头、机架等。</w:t>
      </w:r>
    </w:p>
    <w:p w14:paraId="1695F3F8">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val="en-US" w:eastAsia="zh-CN"/>
        </w:rPr>
        <w:t>4.2条参照工程管理相关资料，目的是</w:t>
      </w:r>
      <w:r>
        <w:rPr>
          <w:rFonts w:hint="default" w:ascii="Times New Roman" w:hAnsi="Times New Roman" w:eastAsia="宋体" w:cs="Times New Roman"/>
          <w:sz w:val="24"/>
          <w:szCs w:val="24"/>
        </w:rPr>
        <w:t>通过编制设计与施工技术方案，确保洗车平台建设符合港口整体规划和技术要求。</w:t>
      </w:r>
    </w:p>
    <w:p w14:paraId="0237991C">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4.3条参照《水运工程环境保护设计规范》（JTS 149）、</w:t>
      </w:r>
      <w:r>
        <w:rPr>
          <w:rFonts w:hint="default" w:ascii="Times New Roman" w:hAnsi="Times New Roman" w:cs="Times New Roman"/>
          <w:u w:val="none"/>
          <w:lang w:val="en-US" w:eastAsia="zh-CN"/>
        </w:rPr>
        <w:t>《煤炭矿石码头粉尘控制设计规范》（JTS 156）</w:t>
      </w:r>
      <w:r>
        <w:rPr>
          <w:rFonts w:hint="default" w:ascii="Times New Roman" w:hAnsi="Times New Roman" w:cs="Times New Roman"/>
          <w:lang w:val="en-US" w:eastAsia="zh-CN"/>
        </w:rPr>
        <w:t>、《机动车清洗站技术规范》（CJJ/T 71）站型与选址章节，以及《室外排水设计标准》（GB50014）</w:t>
      </w:r>
      <w:r>
        <w:rPr>
          <w:rFonts w:hint="default" w:ascii="Times New Roman" w:hAnsi="Times New Roman" w:cs="Times New Roman"/>
          <w:u w:val="single"/>
          <w:lang w:val="en-US" w:eastAsia="zh-CN"/>
        </w:rPr>
        <w:t>第7.2.6条 污水厂厂区内各建筑物造型应简洁美观、节省材料、选材适当，并应使建筑物和构筑物群体的美观效果与周围环境协调。</w:t>
      </w:r>
    </w:p>
    <w:p w14:paraId="17E3FAFF">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4.4条参照《水运工程环境保护设计规范》（JTS149）</w:t>
      </w:r>
      <w:r>
        <w:rPr>
          <w:rFonts w:hint="default" w:ascii="Times New Roman" w:hAnsi="Times New Roman" w:cs="Times New Roman"/>
          <w:u w:val="single"/>
          <w:lang w:val="en-US" w:eastAsia="zh-CN"/>
        </w:rPr>
        <w:t>第5.2.8.2条 集疏运车辆的车厢宜密闭。车辆驶离作业场所前应进行冲洗,冲洗点宜设置自动冲洗设施。冲洗设施尺度和数量应能适应集疏运车辆车型和车流量。第5.2.13条 煤炭、矿石码头应配置流动清扫、洒水车辆和必要的车辆冲洗设备。配置数量应根据码头、堆场的规模和作业条件确定。</w:t>
      </w:r>
    </w:p>
    <w:p w14:paraId="62D2BE36">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4.5条参照《水运工程环境保护设计规范》（JTS149）</w:t>
      </w:r>
      <w:r>
        <w:rPr>
          <w:rFonts w:hint="default" w:ascii="Times New Roman" w:hAnsi="Times New Roman" w:cs="Times New Roman"/>
          <w:u w:val="single"/>
          <w:lang w:val="en-US" w:eastAsia="zh-CN"/>
        </w:rPr>
        <w:t>第9.2.7条 车辆、道路等冲洗宜利用再生水，并应采用污水产生量少的冲洗方式。</w:t>
      </w:r>
      <w:r>
        <w:rPr>
          <w:rFonts w:hint="default" w:ascii="Times New Roman" w:hAnsi="Times New Roman" w:cs="Times New Roman"/>
          <w:u w:val="none"/>
          <w:lang w:val="en-US" w:eastAsia="zh-CN"/>
        </w:rPr>
        <w:t>《煤炭矿石码头粉尘控制设计规范》（JTS156）</w:t>
      </w:r>
      <w:r>
        <w:rPr>
          <w:rFonts w:hint="default" w:ascii="Times New Roman" w:hAnsi="Times New Roman" w:cs="Times New Roman"/>
          <w:u w:val="single"/>
          <w:lang w:val="en-US" w:eastAsia="zh-CN"/>
        </w:rPr>
        <w:t>第8.1.1条 码头堆场用水应有可靠的水源。水力冲洗、堆场喷洒水、抑尘用水水源宜采用城市中水、处理后的港区雨水等水源，不足部分可由市政供水补充。</w:t>
      </w:r>
    </w:p>
    <w:p w14:paraId="2992167B">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4.6条基于港口洗车平台现场实际运行管理经验。如煤炭、矿石货种属性存在差异，导致其与车辆粘附效果不同，因此需考虑货种特性优化洗车平台的设计冲洗强度。</w:t>
      </w:r>
    </w:p>
    <w:p w14:paraId="5427C282">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none"/>
          <w:lang w:val="en-US" w:eastAsia="zh-CN"/>
        </w:rPr>
      </w:pPr>
      <w:r>
        <w:rPr>
          <w:rFonts w:hint="default" w:ascii="Times New Roman" w:hAnsi="Times New Roman" w:cs="Times New Roman"/>
          <w:lang w:val="en-US" w:eastAsia="zh-CN"/>
        </w:rPr>
        <w:t>4.7条参照《水运工程环境保护设计规范》（JTS149）</w:t>
      </w:r>
      <w:r>
        <w:rPr>
          <w:rFonts w:hint="default" w:ascii="Times New Roman" w:hAnsi="Times New Roman" w:cs="Times New Roman"/>
          <w:u w:val="single"/>
          <w:lang w:val="en-US" w:eastAsia="zh-CN"/>
        </w:rPr>
        <w:t>第5.2.8.3条 集疏运车辆冲洗设施的冲洗供水强度宜为15m</w:t>
      </w:r>
      <w:r>
        <w:rPr>
          <w:rFonts w:hint="default" w:ascii="Times New Roman" w:hAnsi="Times New Roman" w:cs="Times New Roman"/>
          <w:u w:val="single"/>
          <w:vertAlign w:val="superscript"/>
          <w:lang w:val="en-US" w:eastAsia="zh-CN"/>
        </w:rPr>
        <w:t>3</w:t>
      </w:r>
      <w:r>
        <w:rPr>
          <w:rFonts w:hint="default" w:ascii="Times New Roman" w:hAnsi="Times New Roman" w:cs="Times New Roman"/>
          <w:u w:val="single"/>
          <w:lang w:val="en-US" w:eastAsia="zh-CN"/>
        </w:rPr>
        <w:t>/h~20m</w:t>
      </w:r>
      <w:r>
        <w:rPr>
          <w:rFonts w:hint="default" w:ascii="Times New Roman" w:hAnsi="Times New Roman" w:cs="Times New Roman"/>
          <w:u w:val="single"/>
          <w:vertAlign w:val="superscript"/>
          <w:lang w:val="en-US" w:eastAsia="zh-CN"/>
        </w:rPr>
        <w:t>3</w:t>
      </w:r>
      <w:r>
        <w:rPr>
          <w:rFonts w:hint="default" w:ascii="Times New Roman" w:hAnsi="Times New Roman" w:cs="Times New Roman"/>
          <w:u w:val="single"/>
          <w:lang w:val="en-US" w:eastAsia="zh-CN"/>
        </w:rPr>
        <w:t>/h，每辆车的冲洗时间宜为10s~15s。</w:t>
      </w:r>
      <w:r>
        <w:rPr>
          <w:rFonts w:hint="default" w:ascii="Times New Roman" w:hAnsi="Times New Roman" w:cs="Times New Roman"/>
          <w:u w:val="none"/>
          <w:lang w:val="en-US" w:eastAsia="zh-CN"/>
        </w:rPr>
        <w:t>并结合国内港口调研结果，综合得出车辆行进速度、洗车时长的一般要求。</w:t>
      </w:r>
    </w:p>
    <w:p w14:paraId="3C54910D">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u w:val="none"/>
          <w:lang w:val="en-US" w:eastAsia="zh-CN"/>
        </w:rPr>
        <w:t>4.8条参照</w:t>
      </w:r>
      <w:r>
        <w:rPr>
          <w:rFonts w:hint="default" w:ascii="Times New Roman" w:hAnsi="Times New Roman" w:cs="Times New Roman"/>
          <w:lang w:val="en-US" w:eastAsia="zh-CN"/>
        </w:rPr>
        <w:t>《水运工程环境保护设计规范》（JTS149）</w:t>
      </w:r>
      <w:r>
        <w:rPr>
          <w:rFonts w:hint="default" w:ascii="Times New Roman" w:hAnsi="Times New Roman" w:cs="Times New Roman"/>
          <w:u w:val="single"/>
          <w:lang w:val="en-US" w:eastAsia="zh-CN"/>
        </w:rPr>
        <w:t>第5.2.12条 有防冻要求的地区，湿法除尘抑尘系统宜采取电伴热等保温防冻措施。喷枪、管道等在冬季应采取放空措施。</w:t>
      </w:r>
    </w:p>
    <w:p w14:paraId="62223D7E">
      <w:pPr>
        <w:pStyle w:val="21"/>
        <w:pageBreakBefore w:val="0"/>
        <w:numPr>
          <w:ilvl w:val="0"/>
          <w:numId w:val="1"/>
        </w:numPr>
        <w:kinsoku/>
        <w:wordWrap/>
        <w:overflowPunct/>
        <w:topLinePunct w:val="0"/>
        <w:bidi w:val="0"/>
        <w:spacing w:before="164" w:after="156" w:afterLines="50"/>
        <w:ind w:left="0" w:right="0"/>
        <w:rPr>
          <w:rFonts w:hint="default" w:ascii="Times New Roman" w:hAnsi="Times New Roman" w:cs="Times New Roman"/>
          <w:b/>
          <w:w w:val="105"/>
          <w:sz w:val="23"/>
          <w:lang w:eastAsia="zh-CN"/>
        </w:rPr>
      </w:pPr>
      <w:r>
        <w:rPr>
          <w:rFonts w:hint="default" w:ascii="Times New Roman" w:hAnsi="Times New Roman" w:cs="Times New Roman"/>
          <w:b/>
          <w:w w:val="105"/>
          <w:sz w:val="23"/>
          <w:lang w:eastAsia="zh-CN"/>
        </w:rPr>
        <w:t xml:space="preserve">第五章 </w:t>
      </w:r>
      <w:r>
        <w:rPr>
          <w:rFonts w:hint="default" w:ascii="Times New Roman" w:hAnsi="Times New Roman" w:cs="Times New Roman"/>
          <w:b/>
          <w:w w:val="105"/>
          <w:sz w:val="23"/>
          <w:lang w:val="en-US" w:eastAsia="zh-CN"/>
        </w:rPr>
        <w:t>选址与布置</w:t>
      </w:r>
    </w:p>
    <w:p w14:paraId="569E06A1">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该部分主要规定了</w:t>
      </w:r>
      <w:r>
        <w:rPr>
          <w:rFonts w:hint="default" w:ascii="Times New Roman" w:hAnsi="Times New Roman" w:cs="Times New Roman"/>
          <w:lang w:val="en-US" w:eastAsia="zh-CN"/>
        </w:rPr>
        <w:t>洗车平台选址与布置的</w:t>
      </w:r>
      <w:r>
        <w:rPr>
          <w:rFonts w:hint="default" w:ascii="Times New Roman" w:hAnsi="Times New Roman" w:cs="Times New Roman"/>
          <w:lang w:eastAsia="zh-CN"/>
        </w:rPr>
        <w:t>要求。</w:t>
      </w:r>
      <w:r>
        <w:rPr>
          <w:rFonts w:hint="default" w:ascii="Times New Roman" w:hAnsi="Times New Roman" w:cs="Times New Roman"/>
          <w:lang w:val="en-US" w:eastAsia="zh-CN"/>
        </w:rPr>
        <w:t>选址</w:t>
      </w:r>
      <w:r>
        <w:rPr>
          <w:rFonts w:hint="default" w:ascii="Times New Roman" w:hAnsi="Times New Roman" w:cs="Times New Roman"/>
          <w:lang w:eastAsia="zh-CN"/>
        </w:rPr>
        <w:t>要求主要从</w:t>
      </w:r>
      <w:r>
        <w:rPr>
          <w:rFonts w:hint="default" w:ascii="Times New Roman" w:hAnsi="Times New Roman" w:cs="Times New Roman"/>
          <w:lang w:val="en-US" w:eastAsia="zh-CN"/>
        </w:rPr>
        <w:t>要符合港口</w:t>
      </w:r>
      <w:r>
        <w:rPr>
          <w:rFonts w:hint="default" w:ascii="Times New Roman" w:hAnsi="Times New Roman" w:cs="Times New Roman"/>
          <w:lang w:val="en-US" w:eastAsia="zh-CN"/>
        </w:rPr>
        <w:t>总体布局</w:t>
      </w:r>
      <w:r>
        <w:rPr>
          <w:rFonts w:hint="default" w:ascii="Times New Roman" w:hAnsi="Times New Roman" w:cs="Times New Roman"/>
          <w:lang w:val="en-US" w:eastAsia="zh-CN"/>
        </w:rPr>
        <w:t>、减少占用堆场土地</w:t>
      </w:r>
      <w:r>
        <w:rPr>
          <w:rFonts w:hint="default" w:ascii="Times New Roman" w:hAnsi="Times New Roman" w:cs="Times New Roman"/>
          <w:lang w:val="en-US" w:eastAsia="zh-CN"/>
        </w:rPr>
        <w:t>、建设道路选择及供电供水条件</w:t>
      </w:r>
      <w:r>
        <w:rPr>
          <w:rFonts w:hint="default" w:ascii="Times New Roman" w:hAnsi="Times New Roman" w:cs="Times New Roman"/>
          <w:lang w:val="en-US" w:eastAsia="zh-CN"/>
        </w:rPr>
        <w:t>等方面</w:t>
      </w:r>
      <w:r>
        <w:rPr>
          <w:rFonts w:hint="default" w:ascii="Times New Roman" w:hAnsi="Times New Roman" w:cs="Times New Roman"/>
          <w:lang w:eastAsia="zh-CN"/>
        </w:rPr>
        <w:t>提出了要求</w:t>
      </w:r>
      <w:r>
        <w:rPr>
          <w:rFonts w:hint="default" w:ascii="Times New Roman" w:hAnsi="Times New Roman" w:cs="Times New Roman"/>
          <w:lang w:eastAsia="zh-CN"/>
        </w:rPr>
        <w:t>；</w:t>
      </w:r>
      <w:r>
        <w:rPr>
          <w:rFonts w:hint="default" w:ascii="Times New Roman" w:hAnsi="Times New Roman" w:cs="Times New Roman"/>
          <w:lang w:val="en-US" w:eastAsia="zh-CN"/>
        </w:rPr>
        <w:t>布置</w:t>
      </w:r>
      <w:r>
        <w:rPr>
          <w:rFonts w:hint="default" w:ascii="Times New Roman" w:hAnsi="Times New Roman" w:cs="Times New Roman"/>
          <w:lang w:eastAsia="zh-CN"/>
        </w:rPr>
        <w:t>要求主要包括</w:t>
      </w:r>
      <w:r>
        <w:rPr>
          <w:rFonts w:hint="default" w:ascii="Times New Roman" w:hAnsi="Times New Roman" w:cs="Times New Roman"/>
          <w:lang w:val="en-US" w:eastAsia="zh-CN"/>
        </w:rPr>
        <w:t>通道</w:t>
      </w:r>
      <w:r>
        <w:rPr>
          <w:rFonts w:hint="default" w:ascii="Times New Roman" w:hAnsi="Times New Roman" w:cs="Times New Roman"/>
          <w:lang w:val="en-US" w:eastAsia="zh-CN"/>
        </w:rPr>
        <w:t>布置、出入口外侧道路</w:t>
      </w:r>
      <w:r>
        <w:rPr>
          <w:rFonts w:hint="default" w:ascii="Times New Roman" w:hAnsi="Times New Roman" w:cs="Times New Roman"/>
          <w:lang w:val="en-US" w:eastAsia="zh-CN"/>
        </w:rPr>
        <w:t>长度、</w:t>
      </w:r>
      <w:r>
        <w:rPr>
          <w:rFonts w:hint="default" w:ascii="Times New Roman" w:hAnsi="Times New Roman" w:cs="Times New Roman"/>
          <w:lang w:val="en-US" w:eastAsia="zh-CN"/>
        </w:rPr>
        <w:t>相关设施布置</w:t>
      </w:r>
      <w:r>
        <w:rPr>
          <w:rFonts w:hint="default" w:ascii="Times New Roman" w:hAnsi="Times New Roman" w:cs="Times New Roman"/>
          <w:lang w:val="en-US" w:eastAsia="zh-CN"/>
        </w:rPr>
        <w:t>等</w:t>
      </w:r>
      <w:r>
        <w:rPr>
          <w:rFonts w:hint="default" w:ascii="Times New Roman" w:hAnsi="Times New Roman" w:cs="Times New Roman"/>
          <w:lang w:eastAsia="zh-CN"/>
        </w:rPr>
        <w:t>要求。</w:t>
      </w:r>
    </w:p>
    <w:p w14:paraId="05A3BEA7">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5.1.1条参照《中华人民共和国港口法》</w:t>
      </w:r>
      <w:r>
        <w:rPr>
          <w:rFonts w:hint="default" w:ascii="Times New Roman" w:hAnsi="Times New Roman" w:cs="Times New Roman"/>
          <w:u w:val="single"/>
          <w:lang w:val="en-US" w:eastAsia="zh-CN"/>
        </w:rPr>
        <w:t xml:space="preserve">第十四条 </w:t>
      </w:r>
      <w:r>
        <w:rPr>
          <w:rFonts w:hint="default" w:ascii="Times New Roman" w:hAnsi="Times New Roman" w:eastAsia="宋体" w:cs="Times New Roman"/>
          <w:sz w:val="24"/>
          <w:szCs w:val="24"/>
          <w:u w:val="single"/>
        </w:rPr>
        <w:t>港口建设应当符合港口规划。不得违反港口规划建设任何港口设施。</w:t>
      </w:r>
    </w:p>
    <w:p w14:paraId="541F776C">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5.1.2条基于干散货港口作业现状，散货堆存作业是主要环节，港口堆场土地资源稀缺，应优先利用现有道路，避免占用堆场土地。</w:t>
      </w:r>
    </w:p>
    <w:p w14:paraId="54369492">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5.1.3条基于调研结果，在</w:t>
      </w:r>
      <w:r>
        <w:rPr>
          <w:rFonts w:hint="default" w:ascii="Times New Roman" w:hAnsi="Times New Roman" w:cs="Times New Roman"/>
          <w:lang w:val="en-US" w:eastAsia="zh-CN"/>
        </w:rPr>
        <w:t>车道宽度、车流量较大的疏港主干道设置洗车平台，能降低对运输车辆疏港效率的影响，同时避免因车辆绕行造成道路二次扬尘污染。</w:t>
      </w:r>
    </w:p>
    <w:p w14:paraId="7C1AEDFA">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5.1.4条参照《机动车清洗站技术规范》（CJJ/T 71）</w:t>
      </w:r>
      <w:r>
        <w:rPr>
          <w:rFonts w:hint="default" w:ascii="Times New Roman" w:hAnsi="Times New Roman" w:cs="Times New Roman"/>
          <w:u w:val="single"/>
          <w:lang w:val="en-US" w:eastAsia="zh-CN"/>
        </w:rPr>
        <w:t>第2.2.1条 机动车清洗站选址应符合下列规定：2 应满足供电、供水、污水排放的要求。</w:t>
      </w:r>
    </w:p>
    <w:p w14:paraId="36AE2071">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5.2.1条基于调研结果，在实际情景中，疏港主干道存在非运输车辆通行需求，因此，应预留</w:t>
      </w:r>
      <w:r>
        <w:rPr>
          <w:rFonts w:hint="default" w:ascii="Times New Roman" w:hAnsi="Times New Roman" w:cs="Times New Roman"/>
          <w:lang w:val="en-US" w:eastAsia="zh-CN"/>
        </w:rPr>
        <w:t>无障碍通道，保障非运输车辆通行。</w:t>
      </w:r>
    </w:p>
    <w:p w14:paraId="2E5C936D">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5.2.2条参照调研结果，车辆冲洗完成后，行驶至洗车平台出口外侧时，轮胎及车架未干燥，因此，需保留一定长度道路用于沥水。</w:t>
      </w:r>
    </w:p>
    <w:p w14:paraId="2D8BECB6">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5.2.3条参照《室外排水设计标准》（GB50014）</w:t>
      </w:r>
      <w:r>
        <w:rPr>
          <w:rFonts w:hint="default" w:ascii="Times New Roman" w:hAnsi="Times New Roman" w:cs="Times New Roman"/>
          <w:u w:val="single"/>
          <w:lang w:val="en-US" w:eastAsia="zh-CN"/>
        </w:rPr>
        <w:t>第7.2.4条污水和污泥处理构筑物宜根据情况分别集中布置。处理构筑物的间距应紧凑、合理,符合国家现行防火标准的有关规定，并应满足各构筑物的施工、设备安装和埋设各种管道及养护、维修和管理的要求。</w:t>
      </w:r>
    </w:p>
    <w:p w14:paraId="077131FF">
      <w:pPr>
        <w:pStyle w:val="21"/>
        <w:pageBreakBefore w:val="0"/>
        <w:numPr>
          <w:ilvl w:val="0"/>
          <w:numId w:val="1"/>
        </w:numPr>
        <w:kinsoku/>
        <w:wordWrap/>
        <w:overflowPunct/>
        <w:topLinePunct w:val="0"/>
        <w:bidi w:val="0"/>
        <w:spacing w:before="164" w:after="156" w:afterLines="50"/>
        <w:ind w:left="0" w:right="0"/>
        <w:rPr>
          <w:rFonts w:hint="default" w:ascii="Times New Roman" w:hAnsi="Times New Roman" w:cs="Times New Roman"/>
          <w:b/>
          <w:w w:val="105"/>
          <w:sz w:val="23"/>
          <w:lang w:eastAsia="zh-CN"/>
        </w:rPr>
      </w:pPr>
      <w:bookmarkStart w:id="7" w:name="5.第五章_作业前"/>
      <w:bookmarkEnd w:id="7"/>
      <w:r>
        <w:rPr>
          <w:rFonts w:hint="default" w:ascii="Times New Roman" w:hAnsi="Times New Roman" w:cs="Times New Roman"/>
          <w:b/>
          <w:w w:val="105"/>
          <w:sz w:val="23"/>
          <w:lang w:eastAsia="zh-CN"/>
        </w:rPr>
        <w:t xml:space="preserve">第六章  </w:t>
      </w:r>
      <w:r>
        <w:rPr>
          <w:rFonts w:hint="default" w:ascii="Times New Roman" w:hAnsi="Times New Roman" w:cs="Times New Roman"/>
          <w:b/>
          <w:w w:val="105"/>
          <w:sz w:val="23"/>
          <w:lang w:val="en-US" w:eastAsia="zh-CN"/>
        </w:rPr>
        <w:t>施工</w:t>
      </w:r>
      <w:r>
        <w:rPr>
          <w:rFonts w:hint="default" w:ascii="Times New Roman" w:hAnsi="Times New Roman" w:cs="Times New Roman"/>
          <w:b/>
          <w:w w:val="105"/>
          <w:sz w:val="23"/>
          <w:lang w:val="en-US" w:eastAsia="zh-CN"/>
        </w:rPr>
        <w:t>与</w:t>
      </w:r>
      <w:r>
        <w:rPr>
          <w:rFonts w:hint="default" w:ascii="Times New Roman" w:hAnsi="Times New Roman" w:cs="Times New Roman"/>
          <w:b/>
          <w:w w:val="105"/>
          <w:sz w:val="23"/>
          <w:lang w:val="en-US" w:eastAsia="zh-CN"/>
        </w:rPr>
        <w:t>安装</w:t>
      </w:r>
    </w:p>
    <w:p w14:paraId="1C97BF82">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eastAsia="zh-CN"/>
        </w:rPr>
        <w:t>该部分主要规定了</w:t>
      </w:r>
      <w:r>
        <w:rPr>
          <w:rFonts w:hint="default" w:ascii="Times New Roman" w:hAnsi="Times New Roman" w:cs="Times New Roman"/>
          <w:lang w:val="en-US" w:eastAsia="zh-CN"/>
        </w:rPr>
        <w:t>洗车平台施工</w:t>
      </w:r>
      <w:r>
        <w:rPr>
          <w:rFonts w:hint="default" w:ascii="Times New Roman" w:hAnsi="Times New Roman" w:cs="Times New Roman"/>
          <w:lang w:val="en-US" w:eastAsia="zh-CN"/>
        </w:rPr>
        <w:t>与</w:t>
      </w:r>
      <w:r>
        <w:rPr>
          <w:rFonts w:hint="default" w:ascii="Times New Roman" w:hAnsi="Times New Roman" w:cs="Times New Roman"/>
          <w:lang w:val="en-US" w:eastAsia="zh-CN"/>
        </w:rPr>
        <w:t>安装的</w:t>
      </w:r>
      <w:r>
        <w:rPr>
          <w:rFonts w:hint="default" w:ascii="Times New Roman" w:hAnsi="Times New Roman" w:cs="Times New Roman"/>
          <w:lang w:eastAsia="zh-CN"/>
        </w:rPr>
        <w:t>要求。</w:t>
      </w:r>
      <w:bookmarkStart w:id="8" w:name="6.第六章_作业中"/>
      <w:bookmarkEnd w:id="8"/>
      <w:r>
        <w:rPr>
          <w:rFonts w:hint="default" w:ascii="Times New Roman" w:hAnsi="Times New Roman" w:cs="Times New Roman"/>
          <w:lang w:val="en-US" w:eastAsia="zh-CN"/>
        </w:rPr>
        <w:t>设施</w:t>
      </w:r>
      <w:r>
        <w:rPr>
          <w:rFonts w:hint="default" w:ascii="Times New Roman" w:hAnsi="Times New Roman" w:cs="Times New Roman"/>
          <w:lang w:val="en-US" w:eastAsia="zh-CN"/>
        </w:rPr>
        <w:t>施工要求主要包括洗车平台相关基础施工、</w:t>
      </w:r>
      <w:r>
        <w:rPr>
          <w:rFonts w:hint="default" w:ascii="Times New Roman" w:hAnsi="Times New Roman" w:cs="Times New Roman"/>
          <w:lang w:val="en-US" w:eastAsia="zh-CN"/>
        </w:rPr>
        <w:t>两侧挡墙施工、</w:t>
      </w:r>
      <w:r>
        <w:rPr>
          <w:rFonts w:hint="default" w:ascii="Times New Roman" w:hAnsi="Times New Roman" w:cs="Times New Roman"/>
          <w:lang w:val="en-US" w:eastAsia="zh-CN"/>
        </w:rPr>
        <w:t>污水收集、处理设施施工等方面</w:t>
      </w:r>
      <w:r>
        <w:rPr>
          <w:rFonts w:hint="default" w:ascii="Times New Roman" w:hAnsi="Times New Roman" w:cs="Times New Roman"/>
          <w:lang w:val="en-US" w:eastAsia="zh-CN"/>
        </w:rPr>
        <w:t>；设备</w:t>
      </w:r>
      <w:r>
        <w:rPr>
          <w:rFonts w:hint="default" w:ascii="Times New Roman" w:hAnsi="Times New Roman" w:cs="Times New Roman"/>
          <w:lang w:val="en-US" w:eastAsia="zh-CN"/>
        </w:rPr>
        <w:t>安装要求主要包括冲洗系统</w:t>
      </w:r>
      <w:r>
        <w:rPr>
          <w:rFonts w:hint="default" w:ascii="Times New Roman" w:hAnsi="Times New Roman" w:cs="Times New Roman"/>
          <w:lang w:val="en-US" w:eastAsia="zh-CN"/>
        </w:rPr>
        <w:t>水泵、管道、</w:t>
      </w:r>
      <w:r>
        <w:rPr>
          <w:rFonts w:hint="default" w:ascii="Times New Roman" w:hAnsi="Times New Roman" w:cs="Times New Roman"/>
          <w:lang w:val="en-US" w:eastAsia="zh-CN"/>
        </w:rPr>
        <w:t>喷嘴</w:t>
      </w:r>
      <w:r>
        <w:rPr>
          <w:rFonts w:hint="default" w:ascii="Times New Roman" w:hAnsi="Times New Roman" w:cs="Times New Roman"/>
          <w:lang w:val="en-US" w:eastAsia="zh-CN"/>
        </w:rPr>
        <w:t>及控制系统</w:t>
      </w:r>
      <w:r>
        <w:rPr>
          <w:rFonts w:hint="default" w:ascii="Times New Roman" w:hAnsi="Times New Roman" w:cs="Times New Roman"/>
          <w:lang w:val="en-US" w:eastAsia="zh-CN"/>
        </w:rPr>
        <w:t>等安装要求。</w:t>
      </w:r>
    </w:p>
    <w:p w14:paraId="6E73E8B7">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6.1.1条参照施工管理经验，</w:t>
      </w:r>
      <w:r>
        <w:rPr>
          <w:rFonts w:hint="default" w:ascii="Times New Roman" w:hAnsi="Times New Roman" w:cs="Times New Roman"/>
          <w:lang w:val="en-US" w:eastAsia="zh-CN"/>
        </w:rPr>
        <w:t>施工前</w:t>
      </w:r>
      <w:r>
        <w:rPr>
          <w:rFonts w:hint="default" w:ascii="Times New Roman" w:hAnsi="Times New Roman" w:cs="Times New Roman"/>
          <w:highlight w:val="none"/>
          <w:lang w:val="en-US" w:eastAsia="zh-CN"/>
        </w:rPr>
        <w:t>，应按照设计方案对定位坐标、关键尺寸、标高控制点等进行核对。</w:t>
      </w:r>
    </w:p>
    <w:p w14:paraId="520BA535">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6.1.2条参照《混凝土结构设计规范》（GB50010）</w:t>
      </w:r>
      <w:r>
        <w:rPr>
          <w:rFonts w:hint="default" w:ascii="Times New Roman" w:hAnsi="Times New Roman" w:cs="Times New Roman"/>
          <w:u w:val="single"/>
          <w:lang w:val="en-US" w:eastAsia="zh-CN"/>
        </w:rPr>
        <w:t>第4.1.1条 混凝士强度等级应按立方体抗压强度标准值确定。立方体抗压强度标准值系指按标准方法制作、养护的边长为150mm的立方体试件，在28d或设计规定龄期以标准试验方法测得的具有95%保证率的抗压强度值。第4.1.2条 素混凝土结构的混凝士强度等级不应低于C15;钢筋混凝土结构的混凝土强度等级不应低于C20;采用强度等级400MPa及以上的钢筋时，混凝土强度等级不应低于C25。预应力混凝土结构的混凝土强度等级不宜低于C40，且不应低于C30。承受重复荷载的钢筋混凝土构件，混凝土强度等级不应低于C30。</w:t>
      </w:r>
    </w:p>
    <w:p w14:paraId="02ED6FA1">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6.1.3条基于调研结果，混凝土结构</w:t>
      </w:r>
      <w:r>
        <w:rPr>
          <w:rFonts w:hint="default" w:ascii="Times New Roman" w:hAnsi="Times New Roman" w:cs="Times New Roman"/>
          <w:lang w:val="en-US" w:eastAsia="zh-CN"/>
        </w:rPr>
        <w:t>挡墙与基础同步施工有利于增强整体结构稳定性，同时设置喷淋系统管道支架等预埋件有助于后续管道的安装。</w:t>
      </w:r>
    </w:p>
    <w:p w14:paraId="7F12B5E3">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single"/>
          <w:lang w:val="en-US" w:eastAsia="zh-CN"/>
        </w:rPr>
      </w:pPr>
      <w:r>
        <w:rPr>
          <w:rFonts w:hint="default" w:ascii="Times New Roman" w:hAnsi="Times New Roman" w:cs="Times New Roman"/>
          <w:lang w:val="en-US" w:eastAsia="zh-CN"/>
        </w:rPr>
        <w:t>6.1.4条参照《室外排水设计标准》（GB50014）</w:t>
      </w:r>
      <w:r>
        <w:rPr>
          <w:rFonts w:hint="default" w:ascii="Times New Roman" w:hAnsi="Times New Roman" w:cs="Times New Roman"/>
          <w:u w:val="single"/>
          <w:lang w:val="en-US" w:eastAsia="zh-CN"/>
        </w:rPr>
        <w:t>第5.2.7条 排水管渠的最小设计流速应符合下列规定：3 明渠应为0.4m/s；4 设计流速不满足最小设计流速时，应增设防淤积或清淤措施。第5.2.10条 排水管道的最小管径和相应最小设计坡度，宜按表5.2.10的规定取值。</w:t>
      </w:r>
    </w:p>
    <w:p w14:paraId="3B2233AB">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single"/>
          <w:lang w:val="en-US" w:eastAsia="zh-CN"/>
        </w:rPr>
      </w:pPr>
      <w:r>
        <w:rPr>
          <w:rFonts w:hint="default" w:ascii="Times New Roman" w:hAnsi="Times New Roman" w:cs="Times New Roman"/>
          <w:lang w:val="en-US" w:eastAsia="zh-CN"/>
        </w:rPr>
        <w:t>6.1.5条参照《水运工程环境保护设计规范》（JTS149）</w:t>
      </w:r>
      <w:r>
        <w:rPr>
          <w:rFonts w:hint="default" w:ascii="Times New Roman" w:hAnsi="Times New Roman" w:cs="Times New Roman"/>
          <w:u w:val="single"/>
          <w:lang w:val="en-US" w:eastAsia="zh-CN"/>
        </w:rPr>
        <w:t>第4.1.4条 废水、污水收集管道、构筑物应避免渗漏；处理设施应节约用地，适应水质、水量变化，处理出水水质稳定。《地下防水工程质量验收规范》（GB50208）第5.9.4条 坑、池、储水库宜采用防水混凝土整体浇筑，混凝土表面应坚实、平整，不得有露筋、蜂窝和裂缝等缺陷。第5.9.5条 坑、池底板的混凝土厚度不应小于250mm；当底板的厚度小于250mm时，应采取局部加厚措施，并应使防水层保持连续。</w:t>
      </w:r>
    </w:p>
    <w:p w14:paraId="58DB9F1A">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none"/>
          <w:lang w:val="en-US" w:eastAsia="zh-CN"/>
        </w:rPr>
      </w:pPr>
      <w:r>
        <w:rPr>
          <w:rFonts w:hint="default" w:ascii="Times New Roman" w:hAnsi="Times New Roman" w:cs="Times New Roman"/>
          <w:lang w:val="en-US" w:eastAsia="zh-CN"/>
        </w:rPr>
        <w:t>6.1.6条基于施工管理经验，在雨季应做好沉淀池等设施的排水措施，同时参照《建筑工程冬期施工规程》（JGJ/T104）第6章 混凝土工程相关规定，冬期施工应满足混凝土保温等相关要求。</w:t>
      </w:r>
    </w:p>
    <w:p w14:paraId="50056839">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none"/>
          <w:lang w:val="en-US" w:eastAsia="zh-CN"/>
        </w:rPr>
      </w:pPr>
      <w:r>
        <w:rPr>
          <w:rFonts w:hint="default" w:ascii="Times New Roman" w:hAnsi="Times New Roman" w:cs="Times New Roman"/>
          <w:u w:val="none"/>
          <w:lang w:val="en-US" w:eastAsia="zh-CN"/>
        </w:rPr>
        <w:t>6.2.1条参照《风机、压缩机、泵安装工程施工及验收规范》（GB50275）</w:t>
      </w:r>
      <w:r>
        <w:rPr>
          <w:rFonts w:hint="default" w:ascii="Times New Roman" w:hAnsi="Times New Roman" w:cs="Times New Roman"/>
          <w:u w:val="single"/>
          <w:lang w:val="en-US" w:eastAsia="zh-CN"/>
        </w:rPr>
        <w:t>第4.1.1条 泵的开箱检查，应符合下列要求：2 核对泵的主要安装尺寸，并应与工程设计相符。</w:t>
      </w:r>
      <w:r>
        <w:rPr>
          <w:rFonts w:hint="default" w:ascii="Times New Roman" w:hAnsi="Times New Roman" w:cs="Times New Roman"/>
          <w:u w:val="none"/>
          <w:lang w:val="en-US" w:eastAsia="zh-CN"/>
        </w:rPr>
        <w:t>《给水排水管道工程施工及验收规范》（GB50268）</w:t>
      </w:r>
      <w:r>
        <w:rPr>
          <w:rFonts w:hint="default" w:ascii="Times New Roman" w:hAnsi="Times New Roman" w:cs="Times New Roman"/>
          <w:u w:val="single"/>
          <w:lang w:val="en-US" w:eastAsia="zh-CN"/>
        </w:rPr>
        <w:t>第3.1.16条 管道附属设备安装前应对有关的设备基础、预埋件、预留孔的位置、高程、尺寸等进行复核。</w:t>
      </w:r>
    </w:p>
    <w:p w14:paraId="48563E65">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none"/>
          <w:lang w:val="en-US" w:eastAsia="zh-CN"/>
        </w:rPr>
      </w:pPr>
      <w:r>
        <w:rPr>
          <w:rFonts w:hint="default" w:ascii="Times New Roman" w:hAnsi="Times New Roman" w:cs="Times New Roman"/>
          <w:u w:val="none"/>
          <w:lang w:val="en-US" w:eastAsia="zh-CN"/>
        </w:rPr>
        <w:t>6.2.2条参照《风机、压缩机、泵安装工程施工及验收规范》（GB50275）</w:t>
      </w:r>
      <w:r>
        <w:rPr>
          <w:rFonts w:hint="default" w:ascii="Times New Roman" w:hAnsi="Times New Roman" w:cs="Times New Roman"/>
          <w:u w:val="single"/>
          <w:lang w:val="en-US" w:eastAsia="zh-CN"/>
        </w:rPr>
        <w:t>第4.1.3条 整体安装的泵安装水平，应在泵的进、出口法兰面或其他水平面上进行检测，纵向安装水平偏差不应大于0.10/1000，横向安装水平偏差不应大于0.20/1000；解体安装的泵的安装水平，应在水平中分面、轴的外露部分、底座的水平加工面上纵、横向放置水平仪进行检测，其偏差均不应大于0.05/1000。</w:t>
      </w:r>
      <w:r>
        <w:rPr>
          <w:rFonts w:hint="default" w:ascii="Times New Roman" w:hAnsi="Times New Roman" w:cs="Times New Roman"/>
          <w:u w:val="none"/>
          <w:lang w:val="en-US" w:eastAsia="zh-CN"/>
        </w:rPr>
        <w:t>《给水排水管道工程施工及验收规范》（GB50268）</w:t>
      </w:r>
      <w:r>
        <w:rPr>
          <w:rFonts w:hint="default" w:ascii="Times New Roman" w:hAnsi="Times New Roman" w:cs="Times New Roman"/>
          <w:u w:val="single"/>
          <w:lang w:val="en-US" w:eastAsia="zh-CN"/>
        </w:rPr>
        <w:t>第5.3.1条 管道安装应符合现行国家标准《工业金属管道工程施工及验收规范》GB50235、《现场设备、工业管道焊接工程施工及验收规范》GB 50236等规范的规定，并应符合下列规定：1 对首次采用的钢材、焊接材料、焊接方法或焊接工艺施工单位必须在施焊前按设计要求和有关规定进行焊接试验，并应根据试验结果编制焊接工艺指导书；2 焊工必须按规定经相关部门考试合格后持证上岗，并应根据经过评定的焊接工艺指导书进行施焊；3 沟槽内焊接时、应采取有效技术措施保证管道底部的焊缝质量。第</w:t>
      </w:r>
      <w:r>
        <w:rPr>
          <w:rFonts w:hint="default" w:ascii="Times New Roman" w:hAnsi="Times New Roman" w:cs="Times New Roman"/>
          <w:u w:val="single"/>
          <w:lang w:val="en-US" w:eastAsia="zh-CN"/>
        </w:rPr>
        <w:t>5.3.2</w:t>
      </w:r>
      <w:r>
        <w:rPr>
          <w:rFonts w:hint="default" w:ascii="Times New Roman" w:hAnsi="Times New Roman" w:cs="Times New Roman"/>
          <w:u w:val="single"/>
          <w:lang w:val="en-US" w:eastAsia="zh-CN"/>
        </w:rPr>
        <w:t>条</w:t>
      </w:r>
      <w:r>
        <w:rPr>
          <w:rFonts w:hint="default" w:ascii="Times New Roman" w:hAnsi="Times New Roman" w:cs="Times New Roman"/>
          <w:u w:val="single"/>
          <w:lang w:val="en-US" w:eastAsia="zh-CN"/>
        </w:rPr>
        <w:t xml:space="preserve"> 管节的材料、规格、压力等级等应符合设计要求，管节宜工厂预制、现场加工应符合下列规定</w:t>
      </w:r>
      <w:r>
        <w:rPr>
          <w:rFonts w:hint="default" w:ascii="Times New Roman" w:hAnsi="Times New Roman" w:cs="Times New Roman"/>
          <w:u w:val="single"/>
          <w:lang w:val="en-US" w:eastAsia="zh-CN"/>
        </w:rPr>
        <w:t>：</w:t>
      </w:r>
      <w:r>
        <w:rPr>
          <w:rFonts w:hint="default" w:ascii="Times New Roman" w:hAnsi="Times New Roman" w:cs="Times New Roman"/>
          <w:u w:val="single"/>
          <w:lang w:val="en-US" w:eastAsia="zh-CN"/>
        </w:rPr>
        <w:t>管节表面应无斑疤、裂纹、严重锈蚀等缺陷</w:t>
      </w:r>
      <w:r>
        <w:rPr>
          <w:rFonts w:hint="default" w:ascii="Times New Roman" w:hAnsi="Times New Roman" w:cs="Times New Roman"/>
          <w:u w:val="single"/>
          <w:lang w:val="en-US" w:eastAsia="zh-CN"/>
        </w:rPr>
        <w:t>；</w:t>
      </w:r>
      <w:r>
        <w:rPr>
          <w:rFonts w:hint="default" w:ascii="Times New Roman" w:hAnsi="Times New Roman" w:cs="Times New Roman"/>
          <w:u w:val="single"/>
          <w:lang w:val="en-US" w:eastAsia="zh-CN"/>
        </w:rPr>
        <w:t>焊缝外观质量应符合表5.3.2-1的规定，焊缝无损检验合格</w:t>
      </w:r>
      <w:r>
        <w:rPr>
          <w:rFonts w:hint="default" w:ascii="Times New Roman" w:hAnsi="Times New Roman" w:cs="Times New Roman"/>
          <w:u w:val="single"/>
          <w:lang w:val="en-US" w:eastAsia="zh-CN"/>
        </w:rPr>
        <w:t>；</w:t>
      </w:r>
    </w:p>
    <w:p w14:paraId="79425965">
      <w:pPr>
        <w:pStyle w:val="6"/>
        <w:keepNext w:val="0"/>
        <w:keepLines w:val="0"/>
        <w:pageBreakBefore w:val="0"/>
        <w:widowControl w:val="0"/>
        <w:kinsoku/>
        <w:wordWrap/>
        <w:overflowPunct/>
        <w:topLinePunct w:val="0"/>
        <w:autoSpaceDE w:val="0"/>
        <w:autoSpaceDN w:val="0"/>
        <w:bidi w:val="0"/>
        <w:adjustRightInd/>
        <w:snapToGrid/>
        <w:spacing w:line="363" w:lineRule="auto"/>
        <w:ind w:left="0" w:right="0"/>
        <w:jc w:val="center"/>
        <w:textAlignment w:val="auto"/>
        <w:rPr>
          <w:rFonts w:hint="default" w:ascii="Times New Roman" w:hAnsi="Times New Roman" w:cs="Times New Roman"/>
          <w:u w:val="none"/>
          <w:lang w:val="en-US" w:eastAsia="zh-CN"/>
        </w:rPr>
      </w:pPr>
      <w:r>
        <w:rPr>
          <w:rFonts w:hint="default" w:ascii="Times New Roman" w:hAnsi="Times New Roman" w:cs="Times New Roman"/>
          <w:u w:val="none"/>
          <w:lang w:val="en-US" w:eastAsia="zh-CN"/>
        </w:rPr>
        <w:drawing>
          <wp:inline distT="0" distB="0" distL="114300" distR="114300">
            <wp:extent cx="5462905" cy="2073275"/>
            <wp:effectExtent l="0" t="0" r="10795" b="9525"/>
            <wp:docPr id="18" name="图片 18" descr="1752492219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752492219983"/>
                    <pic:cNvPicPr>
                      <a:picLocks noChangeAspect="1"/>
                    </pic:cNvPicPr>
                  </pic:nvPicPr>
                  <pic:blipFill>
                    <a:blip r:embed="rId11"/>
                    <a:stretch>
                      <a:fillRect/>
                    </a:stretch>
                  </pic:blipFill>
                  <pic:spPr>
                    <a:xfrm>
                      <a:off x="0" y="0"/>
                      <a:ext cx="5462905" cy="2073275"/>
                    </a:xfrm>
                    <a:prstGeom prst="rect">
                      <a:avLst/>
                    </a:prstGeom>
                  </pic:spPr>
                </pic:pic>
              </a:graphicData>
            </a:graphic>
          </wp:inline>
        </w:drawing>
      </w:r>
    </w:p>
    <w:p w14:paraId="03A757B4">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single"/>
          <w:lang w:val="en-US" w:eastAsia="zh-CN"/>
        </w:rPr>
      </w:pPr>
      <w:r>
        <w:rPr>
          <w:rFonts w:hint="default" w:ascii="Times New Roman" w:hAnsi="Times New Roman" w:cs="Times New Roman"/>
          <w:u w:val="none"/>
          <w:lang w:val="en-US" w:eastAsia="zh-CN"/>
        </w:rPr>
        <w:t>6.2.3条参照《煤炭矿石码头粉尘控制设计规范》（JTS156）</w:t>
      </w:r>
      <w:r>
        <w:rPr>
          <w:rFonts w:hint="default" w:ascii="Times New Roman" w:hAnsi="Times New Roman" w:cs="Times New Roman"/>
          <w:u w:val="single"/>
          <w:lang w:val="en-US" w:eastAsia="zh-CN"/>
        </w:rPr>
        <w:t>第7.2.3.2条冲洗设施应从两侧同时冲洗车辆，冲洗范围应包括车轮和车架。</w:t>
      </w:r>
    </w:p>
    <w:p w14:paraId="6C620696">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u w:val="none"/>
          <w:lang w:val="en-US" w:eastAsia="zh-CN"/>
        </w:rPr>
        <w:t>6.2.4条</w:t>
      </w:r>
      <w:r>
        <w:rPr>
          <w:rFonts w:hint="default" w:ascii="Times New Roman" w:hAnsi="Times New Roman" w:cs="Times New Roman"/>
          <w:lang w:val="en-US" w:eastAsia="zh-CN"/>
        </w:rPr>
        <w:t>基于调研结果，部分港口均设置了自动道闸用于限制车辆进出洗车平台的行驶速度。</w:t>
      </w:r>
    </w:p>
    <w:p w14:paraId="01EAD549">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none"/>
          <w:lang w:val="en-US" w:eastAsia="zh-CN"/>
        </w:rPr>
      </w:pPr>
      <w:r>
        <w:rPr>
          <w:rFonts w:hint="default" w:ascii="Times New Roman" w:hAnsi="Times New Roman" w:cs="Times New Roman"/>
          <w:u w:val="none"/>
          <w:lang w:val="en-US" w:eastAsia="zh-CN"/>
        </w:rPr>
        <w:t>6.2.5、6.2.6条基于调研结果，在洗车平台实际运行过程中，应针对冲洗控制系统、电气线路等采取有效的防护措施，防止雨淋、受潮、线路破损等，保障洗车平台正常运行。</w:t>
      </w:r>
    </w:p>
    <w:p w14:paraId="049A96BA">
      <w:pPr>
        <w:pStyle w:val="21"/>
        <w:pageBreakBefore w:val="0"/>
        <w:numPr>
          <w:ilvl w:val="0"/>
          <w:numId w:val="1"/>
        </w:numPr>
        <w:kinsoku/>
        <w:wordWrap/>
        <w:overflowPunct/>
        <w:topLinePunct w:val="0"/>
        <w:bidi w:val="0"/>
        <w:spacing w:before="164" w:after="156" w:afterLines="50"/>
        <w:ind w:left="0" w:right="0"/>
        <w:rPr>
          <w:rFonts w:hint="default" w:ascii="Times New Roman" w:hAnsi="Times New Roman" w:cs="Times New Roman"/>
          <w:b/>
          <w:w w:val="105"/>
          <w:sz w:val="23"/>
          <w:lang w:eastAsia="zh-CN"/>
        </w:rPr>
      </w:pPr>
      <w:r>
        <w:rPr>
          <w:rFonts w:hint="default" w:ascii="Times New Roman" w:hAnsi="Times New Roman" w:cs="Times New Roman"/>
          <w:b/>
          <w:w w:val="105"/>
          <w:sz w:val="23"/>
          <w:lang w:eastAsia="zh-CN"/>
        </w:rPr>
        <w:t xml:space="preserve">第七章 </w:t>
      </w:r>
      <w:r>
        <w:rPr>
          <w:rFonts w:hint="default" w:ascii="Times New Roman" w:hAnsi="Times New Roman" w:cs="Times New Roman"/>
          <w:b/>
          <w:w w:val="105"/>
          <w:sz w:val="23"/>
          <w:lang w:val="en-US" w:eastAsia="zh-CN"/>
        </w:rPr>
        <w:t>设施</w:t>
      </w:r>
    </w:p>
    <w:p w14:paraId="6D540097">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eastAsia="zh-CN"/>
        </w:rPr>
        <w:t>该部分主要规定了</w:t>
      </w:r>
      <w:r>
        <w:rPr>
          <w:rFonts w:hint="default" w:ascii="Times New Roman" w:hAnsi="Times New Roman" w:cs="Times New Roman"/>
          <w:lang w:val="en-US" w:eastAsia="zh-CN"/>
        </w:rPr>
        <w:t>洗车平台应配套建设</w:t>
      </w:r>
      <w:r>
        <w:rPr>
          <w:rFonts w:hint="default" w:ascii="Times New Roman" w:hAnsi="Times New Roman" w:cs="Times New Roman"/>
          <w:lang w:val="en-US" w:eastAsia="zh-CN"/>
        </w:rPr>
        <w:t>冲洗用水储存、车辆通道两侧挡墙、污水处理等</w:t>
      </w:r>
      <w:r>
        <w:rPr>
          <w:rFonts w:hint="default" w:ascii="Times New Roman" w:hAnsi="Times New Roman" w:cs="Times New Roman"/>
          <w:lang w:val="en-US" w:eastAsia="zh-CN"/>
        </w:rPr>
        <w:t>相关设施。</w:t>
      </w:r>
    </w:p>
    <w:p w14:paraId="7B273FCF">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7.1条基于调研结果，为保障洗车平台的正常运行及污水处理后的储存，要求应</w:t>
      </w:r>
      <w:r>
        <w:rPr>
          <w:rFonts w:hint="default" w:ascii="Times New Roman" w:hAnsi="Times New Roman" w:cs="Times New Roman"/>
        </w:rPr>
        <w:t>设置</w:t>
      </w:r>
      <w:r>
        <w:rPr>
          <w:rFonts w:hint="default" w:ascii="Times New Roman" w:hAnsi="Times New Roman" w:cs="Times New Roman"/>
          <w:lang w:val="en-US" w:eastAsia="zh-CN"/>
        </w:rPr>
        <w:t>冲洗用水储存</w:t>
      </w:r>
      <w:r>
        <w:rPr>
          <w:rFonts w:hint="default" w:ascii="Times New Roman" w:hAnsi="Times New Roman" w:cs="Times New Roman"/>
          <w:lang w:val="en-US" w:eastAsia="zh-CN"/>
        </w:rPr>
        <w:t>设施</w:t>
      </w:r>
      <w:r>
        <w:rPr>
          <w:rFonts w:hint="default" w:ascii="Times New Roman" w:hAnsi="Times New Roman" w:cs="Times New Roman"/>
        </w:rPr>
        <w:t>，应根据</w:t>
      </w:r>
      <w:r>
        <w:rPr>
          <w:rFonts w:hint="default" w:ascii="Times New Roman" w:hAnsi="Times New Roman" w:cs="Times New Roman"/>
          <w:lang w:val="en-US" w:eastAsia="zh-CN"/>
        </w:rPr>
        <w:t>所建洗车平台的冲洗频次、污水处理效率等条件核定用水量，且冲洗用水储存设施有效容积应不低于该用水量</w:t>
      </w:r>
      <w:r>
        <w:rPr>
          <w:rFonts w:hint="default" w:ascii="Times New Roman" w:hAnsi="Times New Roman" w:cs="Times New Roman"/>
        </w:rPr>
        <w:t>。</w:t>
      </w:r>
    </w:p>
    <w:p w14:paraId="29F88B61">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7.2条基于调研结果，</w:t>
      </w:r>
      <w:r>
        <w:rPr>
          <w:rFonts w:hint="default" w:ascii="Times New Roman" w:hAnsi="Times New Roman" w:cs="Times New Roman"/>
        </w:rPr>
        <w:t>车辆通道两侧应设置</w:t>
      </w:r>
      <w:r>
        <w:rPr>
          <w:rFonts w:hint="default" w:ascii="Times New Roman" w:hAnsi="Times New Roman" w:cs="Times New Roman"/>
          <w:lang w:val="en-US" w:eastAsia="zh-CN"/>
        </w:rPr>
        <w:t>挡墙防止冲洗废水飞溅，同时挡墙可作为管道支架基础，进一步结合港口常见自卸车辆轮胎及车架高度，给出挡墙高度不低于1.2m的取值要求。</w:t>
      </w:r>
    </w:p>
    <w:p w14:paraId="3F807398">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7.3条参照《水运工程环境保护设计规范》（JTS149）</w:t>
      </w:r>
      <w:r>
        <w:rPr>
          <w:rFonts w:hint="default" w:ascii="Times New Roman" w:hAnsi="Times New Roman" w:cs="Times New Roman"/>
          <w:u w:val="single"/>
          <w:lang w:val="en-US" w:eastAsia="zh-CN"/>
        </w:rPr>
        <w:t>第</w:t>
      </w:r>
      <w:r>
        <w:rPr>
          <w:rFonts w:hint="default" w:ascii="Times New Roman" w:hAnsi="Times New Roman" w:cs="Times New Roman"/>
          <w:u w:val="single"/>
          <w:lang w:val="en-US" w:eastAsia="zh-CN"/>
        </w:rPr>
        <w:t>4.1.1</w:t>
      </w:r>
      <w:r>
        <w:rPr>
          <w:rFonts w:hint="default" w:ascii="Times New Roman" w:hAnsi="Times New Roman" w:cs="Times New Roman"/>
          <w:u w:val="single"/>
          <w:lang w:val="en-US" w:eastAsia="zh-CN"/>
        </w:rPr>
        <w:t>条</w:t>
      </w:r>
      <w:r>
        <w:rPr>
          <w:rFonts w:hint="default" w:ascii="Times New Roman" w:hAnsi="Times New Roman" w:cs="Times New Roman"/>
          <w:u w:val="single"/>
          <w:lang w:val="en-US" w:eastAsia="zh-CN"/>
        </w:rPr>
        <w:t xml:space="preserve"> 水运工程的生产废水、生活污水及清洁雨水应采用分流制排水系统。生产废水生活污水应优先纳入公共污水处理系统</w:t>
      </w:r>
      <w:r>
        <w:rPr>
          <w:rFonts w:hint="default" w:ascii="Times New Roman" w:hAnsi="Times New Roman" w:cs="Times New Roman"/>
          <w:u w:val="single"/>
          <w:lang w:val="en-US" w:eastAsia="zh-CN"/>
        </w:rPr>
        <w:t>，</w:t>
      </w:r>
      <w:r>
        <w:rPr>
          <w:rFonts w:hint="default" w:ascii="Times New Roman" w:hAnsi="Times New Roman" w:cs="Times New Roman"/>
          <w:u w:val="single"/>
          <w:lang w:val="en-US" w:eastAsia="zh-CN"/>
        </w:rPr>
        <w:t>污水水质应满足相应的接管水质标准</w:t>
      </w:r>
      <w:r>
        <w:rPr>
          <w:rFonts w:hint="default" w:ascii="Times New Roman" w:hAnsi="Times New Roman" w:cs="Times New Roman"/>
          <w:u w:val="single"/>
          <w:lang w:val="en-US" w:eastAsia="zh-CN"/>
        </w:rPr>
        <w:t>；</w:t>
      </w:r>
      <w:r>
        <w:rPr>
          <w:rFonts w:hint="default" w:ascii="Times New Roman" w:hAnsi="Times New Roman" w:cs="Times New Roman"/>
          <w:u w:val="single"/>
          <w:lang w:val="en-US" w:eastAsia="zh-CN"/>
        </w:rPr>
        <w:t>无法纳入公共污水处理系统时</w:t>
      </w:r>
      <w:r>
        <w:rPr>
          <w:rFonts w:hint="default" w:ascii="Times New Roman" w:hAnsi="Times New Roman" w:cs="Times New Roman"/>
          <w:u w:val="single"/>
          <w:lang w:val="en-US" w:eastAsia="zh-CN"/>
        </w:rPr>
        <w:t>，</w:t>
      </w:r>
      <w:r>
        <w:rPr>
          <w:rFonts w:hint="default" w:ascii="Times New Roman" w:hAnsi="Times New Roman" w:cs="Times New Roman"/>
          <w:u w:val="single"/>
          <w:lang w:val="en-US" w:eastAsia="zh-CN"/>
        </w:rPr>
        <w:t>应自建污水处理系统。</w:t>
      </w:r>
    </w:p>
    <w:p w14:paraId="329A830E">
      <w:pPr>
        <w:pStyle w:val="21"/>
        <w:pageBreakBefore w:val="0"/>
        <w:numPr>
          <w:ilvl w:val="0"/>
          <w:numId w:val="1"/>
        </w:numPr>
        <w:kinsoku/>
        <w:wordWrap/>
        <w:overflowPunct/>
        <w:topLinePunct w:val="0"/>
        <w:bidi w:val="0"/>
        <w:spacing w:before="164" w:after="156" w:afterLines="50"/>
        <w:ind w:left="0" w:right="0"/>
        <w:rPr>
          <w:rFonts w:hint="default" w:ascii="Times New Roman" w:hAnsi="Times New Roman" w:cs="Times New Roman"/>
          <w:b/>
          <w:w w:val="105"/>
          <w:sz w:val="23"/>
          <w:lang w:eastAsia="zh-CN"/>
        </w:rPr>
      </w:pPr>
      <w:bookmarkStart w:id="9" w:name="7.第七章_作业后"/>
      <w:bookmarkEnd w:id="9"/>
      <w:r>
        <w:rPr>
          <w:rFonts w:hint="default" w:ascii="Times New Roman" w:hAnsi="Times New Roman" w:cs="Times New Roman"/>
          <w:b/>
          <w:w w:val="105"/>
          <w:sz w:val="23"/>
          <w:lang w:eastAsia="zh-CN"/>
        </w:rPr>
        <w:t xml:space="preserve">第八章 </w:t>
      </w:r>
      <w:r>
        <w:rPr>
          <w:rFonts w:hint="default" w:ascii="Times New Roman" w:hAnsi="Times New Roman" w:cs="Times New Roman"/>
          <w:b/>
          <w:w w:val="105"/>
          <w:sz w:val="23"/>
          <w:lang w:val="en-US" w:eastAsia="zh-CN"/>
        </w:rPr>
        <w:t>冲洗系统</w:t>
      </w:r>
    </w:p>
    <w:p w14:paraId="3860C0A2">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eastAsia="zh-CN"/>
        </w:rPr>
        <w:t>该部分主要规定了</w:t>
      </w:r>
      <w:r>
        <w:rPr>
          <w:rFonts w:hint="default" w:ascii="Times New Roman" w:hAnsi="Times New Roman" w:cs="Times New Roman"/>
          <w:lang w:val="en-US" w:eastAsia="zh-CN"/>
        </w:rPr>
        <w:t>水泵、阀门、流量计选型</w:t>
      </w:r>
      <w:r>
        <w:rPr>
          <w:rFonts w:hint="default" w:ascii="Times New Roman" w:hAnsi="Times New Roman" w:cs="Times New Roman"/>
          <w:lang w:val="en-US" w:eastAsia="zh-CN"/>
        </w:rPr>
        <w:t>、</w:t>
      </w:r>
      <w:r>
        <w:rPr>
          <w:rFonts w:hint="default" w:ascii="Times New Roman" w:hAnsi="Times New Roman" w:cs="Times New Roman"/>
          <w:lang w:val="en-US" w:eastAsia="zh-CN"/>
        </w:rPr>
        <w:t>管道选型、喷嘴选型</w:t>
      </w:r>
      <w:r>
        <w:rPr>
          <w:rFonts w:hint="default" w:ascii="Times New Roman" w:hAnsi="Times New Roman" w:cs="Times New Roman"/>
          <w:lang w:val="en-US" w:eastAsia="zh-CN"/>
        </w:rPr>
        <w:t>及</w:t>
      </w:r>
      <w:r>
        <w:rPr>
          <w:rFonts w:hint="default" w:ascii="Times New Roman" w:hAnsi="Times New Roman" w:cs="Times New Roman"/>
          <w:lang w:val="en-US" w:eastAsia="zh-CN"/>
        </w:rPr>
        <w:t>冲洗控制</w:t>
      </w:r>
      <w:r>
        <w:rPr>
          <w:rFonts w:hint="default" w:ascii="Times New Roman" w:hAnsi="Times New Roman" w:cs="Times New Roman"/>
          <w:lang w:val="en-US" w:eastAsia="zh-CN"/>
        </w:rPr>
        <w:t>相关</w:t>
      </w:r>
      <w:r>
        <w:rPr>
          <w:rFonts w:hint="default" w:ascii="Times New Roman" w:hAnsi="Times New Roman" w:cs="Times New Roman"/>
          <w:lang w:val="en-US" w:eastAsia="zh-CN"/>
        </w:rPr>
        <w:t>要求。泵、阀门、流量计选型主要包括此三者的选型要求</w:t>
      </w:r>
      <w:r>
        <w:rPr>
          <w:rFonts w:hint="default" w:ascii="Times New Roman" w:hAnsi="Times New Roman" w:cs="Times New Roman"/>
          <w:lang w:val="en-US" w:eastAsia="zh-CN"/>
        </w:rPr>
        <w:t>；</w:t>
      </w:r>
      <w:r>
        <w:rPr>
          <w:rFonts w:hint="default" w:ascii="Times New Roman" w:hAnsi="Times New Roman" w:cs="Times New Roman"/>
          <w:lang w:val="en-US" w:eastAsia="zh-CN"/>
        </w:rPr>
        <w:t>管道选型主要包括管道材质、</w:t>
      </w:r>
      <w:r>
        <w:rPr>
          <w:rFonts w:hint="default" w:ascii="Times New Roman" w:hAnsi="Times New Roman" w:cs="Times New Roman"/>
          <w:lang w:val="en-US" w:eastAsia="zh-CN"/>
        </w:rPr>
        <w:t>承压能力</w:t>
      </w:r>
      <w:r>
        <w:rPr>
          <w:rFonts w:hint="default" w:ascii="Times New Roman" w:hAnsi="Times New Roman" w:cs="Times New Roman"/>
          <w:lang w:val="en-US" w:eastAsia="zh-CN"/>
        </w:rPr>
        <w:t>相关要求</w:t>
      </w:r>
      <w:r>
        <w:rPr>
          <w:rFonts w:hint="default" w:ascii="Times New Roman" w:hAnsi="Times New Roman" w:cs="Times New Roman"/>
          <w:lang w:val="en-US" w:eastAsia="zh-CN"/>
        </w:rPr>
        <w:t>；</w:t>
      </w:r>
      <w:r>
        <w:rPr>
          <w:rFonts w:hint="default" w:ascii="Times New Roman" w:hAnsi="Times New Roman" w:cs="Times New Roman"/>
          <w:lang w:val="en-US" w:eastAsia="zh-CN"/>
        </w:rPr>
        <w:t>喷嘴选型主要包括喷嘴</w:t>
      </w:r>
      <w:r>
        <w:rPr>
          <w:rFonts w:hint="default" w:ascii="Times New Roman" w:hAnsi="Times New Roman" w:cs="Times New Roman"/>
          <w:lang w:val="en-US" w:eastAsia="zh-CN"/>
        </w:rPr>
        <w:t>材质、承压能力、出水形状、流量、射流角度</w:t>
      </w:r>
      <w:r>
        <w:rPr>
          <w:rFonts w:hint="default" w:ascii="Times New Roman" w:hAnsi="Times New Roman" w:cs="Times New Roman"/>
          <w:lang w:val="en-US" w:eastAsia="zh-CN"/>
        </w:rPr>
        <w:t>等要求</w:t>
      </w:r>
      <w:r>
        <w:rPr>
          <w:rFonts w:hint="default" w:ascii="Times New Roman" w:hAnsi="Times New Roman" w:cs="Times New Roman"/>
          <w:lang w:val="en-US" w:eastAsia="zh-CN"/>
        </w:rPr>
        <w:t>；</w:t>
      </w:r>
      <w:r>
        <w:rPr>
          <w:rFonts w:hint="default" w:ascii="Times New Roman" w:hAnsi="Times New Roman" w:cs="Times New Roman"/>
          <w:lang w:val="en-US" w:eastAsia="zh-CN"/>
        </w:rPr>
        <w:t>冲洗控制主要包括</w:t>
      </w:r>
      <w:r>
        <w:rPr>
          <w:rFonts w:hint="default" w:ascii="Times New Roman" w:hAnsi="Times New Roman" w:cs="Times New Roman"/>
          <w:lang w:val="en-US" w:eastAsia="zh-CN"/>
        </w:rPr>
        <w:t>控制方式、控制逻辑等冲洗</w:t>
      </w:r>
      <w:r>
        <w:rPr>
          <w:rFonts w:hint="default" w:ascii="Times New Roman" w:hAnsi="Times New Roman" w:cs="Times New Roman"/>
          <w:lang w:val="en-US" w:eastAsia="zh-CN"/>
        </w:rPr>
        <w:t>过程相关要求。</w:t>
      </w:r>
    </w:p>
    <w:p w14:paraId="7D36F632">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8.1.1条参照《室外给水设计规范》（GB50013）</w:t>
      </w:r>
      <w:r>
        <w:rPr>
          <w:rFonts w:hint="default" w:ascii="Times New Roman" w:hAnsi="Times New Roman" w:cs="Times New Roman"/>
          <w:u w:val="single"/>
          <w:lang w:val="en-US" w:eastAsia="zh-CN"/>
        </w:rPr>
        <w:t>第6.1.2条 水泵的选型及台数应满足泵房设计流量、设计扬程的要求，并应根据供水水量和水压变化、运行水位、水质情况、泵型及水泵特性、场地条件、工程投资和运行维护等，综合考虑确定。同一泵房内的泵型宜一致，规格不宜过多，机组供电电压宜一致。6.1.3 水泵泵型的选择应根据水泵性能、布置条件、安装、维护和工程投资等因素择优确定。</w:t>
      </w:r>
    </w:p>
    <w:p w14:paraId="0988E073">
      <w:pPr>
        <w:pStyle w:val="6"/>
        <w:pageBreakBefore w:val="0"/>
        <w:kinsoku/>
        <w:wordWrap/>
        <w:overflowPunct/>
        <w:topLinePunct w:val="0"/>
        <w:bidi w:val="0"/>
        <w:spacing w:line="362" w:lineRule="auto"/>
        <w:ind w:left="0" w:right="0" w:firstLine="480"/>
        <w:jc w:val="both"/>
        <w:rPr>
          <w:rFonts w:hint="default" w:ascii="Times New Roman" w:hAnsi="Times New Roman" w:eastAsia="宋体" w:cs="Times New Roman"/>
          <w:sz w:val="24"/>
          <w:szCs w:val="24"/>
        </w:rPr>
      </w:pPr>
      <w:r>
        <w:rPr>
          <w:rFonts w:hint="default" w:ascii="Times New Roman" w:hAnsi="Times New Roman" w:cs="Times New Roman"/>
          <w:lang w:val="en-US" w:eastAsia="zh-CN"/>
        </w:rPr>
        <w:t>8.1.2条基于调研结果，</w:t>
      </w:r>
      <w:r>
        <w:rPr>
          <w:rFonts w:hint="default" w:ascii="Times New Roman" w:hAnsi="Times New Roman" w:eastAsia="宋体" w:cs="Times New Roman"/>
          <w:sz w:val="24"/>
          <w:szCs w:val="24"/>
        </w:rPr>
        <w:t>电磁阀的</w:t>
      </w:r>
      <w:r>
        <w:rPr>
          <w:rStyle w:val="16"/>
          <w:rFonts w:hint="default" w:ascii="Times New Roman" w:hAnsi="Times New Roman" w:eastAsia="宋体" w:cs="Times New Roman"/>
          <w:b w:val="0"/>
          <w:bCs/>
          <w:sz w:val="24"/>
          <w:szCs w:val="24"/>
        </w:rPr>
        <w:t>优势就是响应速度极快</w:t>
      </w:r>
      <w:r>
        <w:rPr>
          <w:rFonts w:hint="default" w:ascii="Times New Roman" w:hAnsi="Times New Roman" w:eastAsia="宋体" w:cs="Times New Roman"/>
          <w:b w:val="0"/>
          <w:bCs/>
          <w:sz w:val="24"/>
          <w:szCs w:val="24"/>
        </w:rPr>
        <w:t>（毫秒级），可以精确控制开关时间，实现脉冲或短时喷射</w:t>
      </w:r>
      <w:r>
        <w:rPr>
          <w:rFonts w:hint="default" w:ascii="Times New Roman" w:hAnsi="Times New Roman" w:eastAsia="宋体" w:cs="Times New Roman"/>
          <w:b w:val="0"/>
          <w:bCs/>
          <w:sz w:val="24"/>
          <w:szCs w:val="24"/>
          <w:lang w:eastAsia="zh-CN"/>
        </w:rPr>
        <w:t>，</w:t>
      </w:r>
      <w:r>
        <w:rPr>
          <w:rFonts w:hint="default" w:ascii="Times New Roman" w:hAnsi="Times New Roman" w:eastAsia="宋体" w:cs="Times New Roman"/>
          <w:b w:val="0"/>
          <w:bCs/>
          <w:sz w:val="24"/>
          <w:szCs w:val="24"/>
          <w:lang w:val="en-US" w:eastAsia="zh-CN"/>
        </w:rPr>
        <w:t>因此，</w:t>
      </w:r>
      <w:r>
        <w:rPr>
          <w:rFonts w:hint="default" w:ascii="Times New Roman" w:hAnsi="Times New Roman" w:cs="Times New Roman"/>
          <w:b w:val="0"/>
          <w:bCs/>
          <w:lang w:val="en-US" w:eastAsia="zh-CN"/>
        </w:rPr>
        <w:t>喷嘴</w:t>
      </w:r>
      <w:r>
        <w:rPr>
          <w:rFonts w:hint="default" w:ascii="Times New Roman" w:hAnsi="Times New Roman" w:cs="Times New Roman"/>
          <w:b w:val="0"/>
          <w:bCs/>
        </w:rPr>
        <w:t>阀门</w:t>
      </w:r>
      <w:r>
        <w:rPr>
          <w:rFonts w:hint="default" w:ascii="Times New Roman" w:hAnsi="Times New Roman" w:cs="Times New Roman"/>
          <w:b w:val="0"/>
          <w:bCs/>
          <w:lang w:val="en-US" w:eastAsia="zh-CN"/>
        </w:rPr>
        <w:t>宜优先</w:t>
      </w:r>
      <w:r>
        <w:rPr>
          <w:rFonts w:hint="default" w:ascii="Times New Roman" w:hAnsi="Times New Roman" w:cs="Times New Roman"/>
          <w:b w:val="0"/>
          <w:bCs/>
        </w:rPr>
        <w:t>选用电磁阀</w:t>
      </w:r>
      <w:r>
        <w:rPr>
          <w:rFonts w:hint="default" w:ascii="Times New Roman" w:hAnsi="Times New Roman" w:eastAsia="宋体" w:cs="Times New Roman"/>
          <w:b w:val="0"/>
          <w:bCs/>
          <w:sz w:val="24"/>
          <w:szCs w:val="24"/>
        </w:rPr>
        <w:t>。管道阀门控制的是主管道内</w:t>
      </w:r>
      <w:r>
        <w:rPr>
          <w:rFonts w:hint="default" w:ascii="Times New Roman" w:hAnsi="Times New Roman" w:eastAsia="宋体" w:cs="Times New Roman"/>
          <w:b w:val="0"/>
          <w:bCs/>
          <w:sz w:val="24"/>
          <w:szCs w:val="24"/>
          <w:lang w:val="en-US" w:eastAsia="zh-CN"/>
        </w:rPr>
        <w:t>水流</w:t>
      </w:r>
      <w:r>
        <w:rPr>
          <w:rFonts w:hint="default" w:ascii="Times New Roman" w:hAnsi="Times New Roman" w:eastAsia="宋体" w:cs="Times New Roman"/>
          <w:b w:val="0"/>
          <w:bCs/>
          <w:sz w:val="24"/>
          <w:szCs w:val="24"/>
        </w:rPr>
        <w:t>的通断或流量调节，对响应速度要求一般不如喷嘴阀门高（秒级即可），但</w:t>
      </w:r>
      <w:r>
        <w:rPr>
          <w:rStyle w:val="16"/>
          <w:rFonts w:hint="default" w:ascii="Times New Roman" w:hAnsi="Times New Roman" w:eastAsia="宋体" w:cs="Times New Roman"/>
          <w:b w:val="0"/>
          <w:bCs/>
          <w:sz w:val="24"/>
          <w:szCs w:val="24"/>
        </w:rPr>
        <w:t>需要更大的驱动力（扭矩）</w:t>
      </w:r>
      <w:r>
        <w:rPr>
          <w:rFonts w:hint="default" w:ascii="Times New Roman" w:hAnsi="Times New Roman" w:eastAsia="宋体" w:cs="Times New Roman"/>
          <w:b w:val="0"/>
          <w:bCs/>
          <w:sz w:val="24"/>
          <w:szCs w:val="24"/>
        </w:rPr>
        <w:t>来克服管道压力、流体阻力和阀门自身的摩擦力（尤其是大口径阀门）</w:t>
      </w:r>
      <w:r>
        <w:rPr>
          <w:rFonts w:hint="default" w:ascii="Times New Roman" w:hAnsi="Times New Roman" w:eastAsia="宋体" w:cs="Times New Roman"/>
          <w:b w:val="0"/>
          <w:bCs/>
          <w:sz w:val="24"/>
          <w:szCs w:val="24"/>
          <w:lang w:eastAsia="zh-CN"/>
        </w:rPr>
        <w:t>，</w:t>
      </w:r>
      <w:r>
        <w:rPr>
          <w:rFonts w:hint="default" w:ascii="Times New Roman" w:hAnsi="Times New Roman" w:eastAsia="宋体" w:cs="Times New Roman"/>
          <w:b w:val="0"/>
          <w:bCs/>
          <w:sz w:val="24"/>
          <w:szCs w:val="24"/>
          <w:lang w:val="en-US" w:eastAsia="zh-CN"/>
        </w:rPr>
        <w:t>因此</w:t>
      </w:r>
      <w:r>
        <w:rPr>
          <w:rFonts w:hint="default" w:ascii="Times New Roman" w:hAnsi="Times New Roman" w:eastAsia="宋体" w:cs="Times New Roman"/>
          <w:sz w:val="24"/>
          <w:szCs w:val="24"/>
          <w:lang w:val="en-US" w:eastAsia="zh-CN"/>
        </w:rPr>
        <w:t>，</w:t>
      </w:r>
      <w:r>
        <w:rPr>
          <w:rFonts w:hint="default" w:ascii="Times New Roman" w:hAnsi="Times New Roman" w:cs="Times New Roman"/>
          <w:lang w:val="en-US" w:eastAsia="zh-CN"/>
        </w:rPr>
        <w:t>管道阀门宜优先选用</w:t>
      </w:r>
      <w:r>
        <w:rPr>
          <w:rFonts w:hint="default" w:ascii="Times New Roman" w:hAnsi="Times New Roman" w:cs="Times New Roman"/>
        </w:rPr>
        <w:t>电动阀</w:t>
      </w:r>
      <w:r>
        <w:rPr>
          <w:rFonts w:hint="default" w:ascii="Times New Roman" w:hAnsi="Times New Roman" w:eastAsia="宋体" w:cs="Times New Roman"/>
          <w:sz w:val="24"/>
          <w:szCs w:val="24"/>
        </w:rPr>
        <w:t>。</w:t>
      </w:r>
      <w:r>
        <w:rPr>
          <w:rFonts w:hint="default" w:ascii="Times New Roman" w:hAnsi="Times New Roman" w:cs="Times New Roman"/>
          <w:sz w:val="24"/>
          <w:szCs w:val="24"/>
          <w:lang w:val="en-US" w:eastAsia="zh-CN"/>
        </w:rPr>
        <w:t>同时，</w:t>
      </w:r>
      <w:r>
        <w:rPr>
          <w:rFonts w:hint="default" w:ascii="Times New Roman" w:hAnsi="Times New Roman" w:eastAsia="宋体" w:cs="Times New Roman"/>
          <w:sz w:val="24"/>
          <w:szCs w:val="24"/>
        </w:rPr>
        <w:t>阀门是安装在管道上的承压元件</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为了保证</w:t>
      </w:r>
      <w:r>
        <w:rPr>
          <w:rFonts w:hint="default" w:ascii="Times New Roman" w:hAnsi="Times New Roman" w:eastAsia="宋体" w:cs="Times New Roman"/>
          <w:sz w:val="24"/>
          <w:szCs w:val="24"/>
          <w:lang w:val="en-US" w:eastAsia="zh-CN"/>
        </w:rPr>
        <w:t>冲洗</w:t>
      </w:r>
      <w:r>
        <w:rPr>
          <w:rFonts w:hint="default" w:ascii="Times New Roman" w:hAnsi="Times New Roman" w:eastAsia="宋体" w:cs="Times New Roman"/>
          <w:sz w:val="24"/>
          <w:szCs w:val="24"/>
        </w:rPr>
        <w:t>系统的安全运行，防止阀门在系统设计压力下发生破裂或泄漏，</w:t>
      </w:r>
      <w:r>
        <w:rPr>
          <w:rFonts w:hint="default" w:ascii="Times New Roman" w:hAnsi="Times New Roman" w:cs="Times New Roman"/>
          <w:sz w:val="24"/>
          <w:szCs w:val="24"/>
          <w:u w:val="none"/>
          <w:lang w:val="en-US" w:eastAsia="zh-CN"/>
        </w:rPr>
        <w:t>参照《建筑给水排水设计标准》（GB50015）</w:t>
      </w:r>
      <w:r>
        <w:rPr>
          <w:rFonts w:hint="default" w:ascii="Times New Roman" w:hAnsi="Times New Roman" w:cs="Times New Roman"/>
          <w:sz w:val="24"/>
          <w:szCs w:val="24"/>
          <w:u w:val="single"/>
          <w:lang w:val="en-US" w:eastAsia="zh-CN"/>
        </w:rPr>
        <w:t>第</w:t>
      </w:r>
      <w:r>
        <w:rPr>
          <w:rFonts w:hint="default" w:ascii="Times New Roman" w:hAnsi="Times New Roman" w:eastAsia="宋体" w:cs="Times New Roman"/>
          <w:sz w:val="24"/>
          <w:szCs w:val="24"/>
          <w:u w:val="single"/>
          <w:lang w:val="en-US" w:eastAsia="zh-CN"/>
        </w:rPr>
        <w:t>3.5.3</w:t>
      </w:r>
      <w:r>
        <w:rPr>
          <w:rFonts w:hint="default" w:ascii="Times New Roman" w:hAnsi="Times New Roman" w:cs="Times New Roman"/>
          <w:sz w:val="24"/>
          <w:szCs w:val="24"/>
          <w:u w:val="single"/>
          <w:lang w:val="en-US" w:eastAsia="zh-CN"/>
        </w:rPr>
        <w:t>条</w:t>
      </w:r>
      <w:r>
        <w:rPr>
          <w:rFonts w:hint="default" w:ascii="Times New Roman" w:hAnsi="Times New Roman" w:eastAsia="宋体" w:cs="Times New Roman"/>
          <w:sz w:val="24"/>
          <w:szCs w:val="24"/>
          <w:u w:val="single"/>
          <w:lang w:val="en-US" w:eastAsia="zh-CN"/>
        </w:rPr>
        <w:t xml:space="preserve"> 给水管道阀门材质应根据耐腐蚀、管径、压力等级、使用温度等因素确定</w:t>
      </w:r>
      <w:r>
        <w:rPr>
          <w:rFonts w:hint="default" w:ascii="Times New Roman" w:hAnsi="Times New Roman" w:cs="Times New Roman"/>
          <w:sz w:val="24"/>
          <w:szCs w:val="24"/>
          <w:u w:val="single"/>
          <w:lang w:val="en-US" w:eastAsia="zh-CN"/>
        </w:rPr>
        <w:t>。</w:t>
      </w:r>
      <w:r>
        <w:rPr>
          <w:rFonts w:hint="default" w:ascii="Times New Roman" w:hAnsi="Times New Roman" w:eastAsia="宋体" w:cs="Times New Roman"/>
          <w:sz w:val="24"/>
          <w:szCs w:val="24"/>
          <w:u w:val="single"/>
          <w:lang w:val="en-US" w:eastAsia="zh-CN"/>
        </w:rPr>
        <w:t>可采用全铜、全不锈钢、铁壳铜芯和全塑阀门等。阀门的公称压力不得小于管材及管件的公称压力。</w:t>
      </w:r>
      <w:r>
        <w:rPr>
          <w:rFonts w:hint="default" w:ascii="Times New Roman" w:hAnsi="Times New Roman" w:eastAsia="宋体" w:cs="Times New Roman"/>
          <w:sz w:val="24"/>
          <w:szCs w:val="24"/>
        </w:rPr>
        <w:t>阀门的额定承压能力（PN值）必须不低于其所在管道系统的公称压力等级。</w:t>
      </w:r>
    </w:p>
    <w:p w14:paraId="287E646C">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single"/>
          <w:lang w:val="en-US" w:eastAsia="zh-CN"/>
        </w:rPr>
      </w:pPr>
      <w:r>
        <w:rPr>
          <w:rFonts w:hint="default" w:ascii="Times New Roman" w:hAnsi="Times New Roman" w:cs="Times New Roman"/>
          <w:lang w:val="en-US" w:eastAsia="zh-CN"/>
        </w:rPr>
        <w:t>8.1.3条参照《自动化仪表选型设计规范》（HG/T 20507）</w:t>
      </w:r>
      <w:r>
        <w:rPr>
          <w:rFonts w:hint="default" w:ascii="Times New Roman" w:hAnsi="Times New Roman" w:cs="Times New Roman"/>
          <w:u w:val="single"/>
          <w:lang w:val="en-US" w:eastAsia="zh-CN"/>
        </w:rPr>
        <w:t>第6.1.6条 线性刻度范围应符合下列规定：1 最大流量不应超过满刻度的90%；2 正常流量应为满刻度的50%~70%；3 最小流量不应小于满刻度的10%。</w:t>
      </w:r>
    </w:p>
    <w:p w14:paraId="3E9E0E26">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8.2.1条参照《室外给水设计规范》（GB50013）</w:t>
      </w:r>
      <w:r>
        <w:rPr>
          <w:rFonts w:hint="default" w:ascii="Times New Roman" w:hAnsi="Times New Roman" w:cs="Times New Roman"/>
          <w:u w:val="single"/>
          <w:lang w:val="en-US" w:eastAsia="zh-CN"/>
        </w:rPr>
        <w:t>7.5.1 输配水管道材质的选择应根据管径、内压、外部荷载和管道敷设区的地形、地质、管材供应，按运行安全、耐久、减少漏损、施工和维护方便、经济合理以及清水管道防止二次污染的原则，对钢管(SP)、球墨铸铁管(DIP)、预应力钢筒混凝土管(PCCP)、化学建材管等经技术、经济、安全等综合分析确定。</w:t>
      </w:r>
      <w:r>
        <w:rPr>
          <w:rFonts w:hint="default" w:ascii="Times New Roman" w:hAnsi="Times New Roman" w:cs="Times New Roman"/>
          <w:sz w:val="24"/>
          <w:szCs w:val="24"/>
          <w:u w:val="none"/>
          <w:lang w:val="en-US" w:eastAsia="zh-CN"/>
        </w:rPr>
        <w:t>《建筑给水排水设计标准》（GB50015）</w:t>
      </w:r>
      <w:r>
        <w:rPr>
          <w:rFonts w:hint="default" w:ascii="Times New Roman" w:hAnsi="Times New Roman" w:cs="Times New Roman"/>
          <w:sz w:val="24"/>
          <w:szCs w:val="24"/>
          <w:u w:val="single"/>
          <w:lang w:val="en-US" w:eastAsia="zh-CN"/>
        </w:rPr>
        <w:t>第3.5.1条 给水系统采用的管材和管件及连接方式，应符合国家现行标准的有关规定。管材和管件及连接方式的工作压力不得大于国家现行标准中公称压力或标称的允许工作压力。第3.5.2条 室内的给水管道,应选用耐腐蚀和安装连接方便可的管材，可采用不锈钢管、铜管、塑料给水管和金属塑料复合管及经防腐处理的钢管。高层建筑给水立管不宜采用塑料管。第</w:t>
      </w:r>
      <w:r>
        <w:rPr>
          <w:rFonts w:hint="default" w:ascii="Times New Roman" w:hAnsi="Times New Roman" w:eastAsia="宋体" w:cs="Times New Roman"/>
          <w:sz w:val="24"/>
          <w:szCs w:val="24"/>
          <w:u w:val="single"/>
          <w:lang w:val="en-US" w:eastAsia="zh-CN"/>
        </w:rPr>
        <w:t>3.5.3</w:t>
      </w:r>
      <w:r>
        <w:rPr>
          <w:rFonts w:hint="default" w:ascii="Times New Roman" w:hAnsi="Times New Roman" w:cs="Times New Roman"/>
          <w:sz w:val="24"/>
          <w:szCs w:val="24"/>
          <w:u w:val="single"/>
          <w:lang w:val="en-US" w:eastAsia="zh-CN"/>
        </w:rPr>
        <w:t>条</w:t>
      </w:r>
      <w:r>
        <w:rPr>
          <w:rFonts w:hint="default" w:ascii="Times New Roman" w:hAnsi="Times New Roman" w:eastAsia="宋体" w:cs="Times New Roman"/>
          <w:sz w:val="24"/>
          <w:szCs w:val="24"/>
          <w:u w:val="single"/>
          <w:lang w:val="en-US" w:eastAsia="zh-CN"/>
        </w:rPr>
        <w:t xml:space="preserve"> 给水管道阀门材质应根据耐腐蚀、管径、压力等级、使用温度等因素确定</w:t>
      </w:r>
      <w:r>
        <w:rPr>
          <w:rFonts w:hint="default" w:ascii="Times New Roman" w:hAnsi="Times New Roman" w:cs="Times New Roman"/>
          <w:sz w:val="24"/>
          <w:szCs w:val="24"/>
          <w:u w:val="single"/>
          <w:lang w:val="en-US" w:eastAsia="zh-CN"/>
        </w:rPr>
        <w:t>。</w:t>
      </w:r>
      <w:r>
        <w:rPr>
          <w:rFonts w:hint="default" w:ascii="Times New Roman" w:hAnsi="Times New Roman" w:eastAsia="宋体" w:cs="Times New Roman"/>
          <w:sz w:val="24"/>
          <w:szCs w:val="24"/>
          <w:u w:val="single"/>
          <w:lang w:val="en-US" w:eastAsia="zh-CN"/>
        </w:rPr>
        <w:t>可采用全铜、全不锈钢、铁壳铜芯和全塑阀门等。阀门的公称压力不得小于管材及管件的公称压力。</w:t>
      </w:r>
    </w:p>
    <w:p w14:paraId="78236993">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single"/>
          <w:lang w:val="en-US" w:eastAsia="zh-CN"/>
        </w:rPr>
      </w:pPr>
      <w:r>
        <w:rPr>
          <w:rFonts w:hint="default" w:ascii="Times New Roman" w:hAnsi="Times New Roman" w:cs="Times New Roman"/>
          <w:lang w:val="en-US" w:eastAsia="zh-CN"/>
        </w:rPr>
        <w:t>8.2.2条参照《机动车清洗站技术规范》（CJJ/T 71）</w:t>
      </w:r>
      <w:r>
        <w:rPr>
          <w:rFonts w:hint="default" w:ascii="Times New Roman" w:hAnsi="Times New Roman" w:cs="Times New Roman"/>
          <w:u w:val="single"/>
          <w:lang w:val="en-US" w:eastAsia="zh-CN"/>
        </w:rPr>
        <w:t>第</w:t>
      </w:r>
      <w:r>
        <w:rPr>
          <w:rFonts w:hint="default" w:ascii="Times New Roman" w:hAnsi="Times New Roman" w:cs="Times New Roman"/>
          <w:u w:val="single"/>
          <w:lang w:val="en-US" w:eastAsia="zh-CN"/>
        </w:rPr>
        <w:t>6.1.5</w:t>
      </w:r>
      <w:r>
        <w:rPr>
          <w:rFonts w:hint="default" w:ascii="Times New Roman" w:hAnsi="Times New Roman" w:cs="Times New Roman"/>
          <w:u w:val="single"/>
          <w:lang w:val="en-US" w:eastAsia="zh-CN"/>
        </w:rPr>
        <w:t xml:space="preserve">条 </w:t>
      </w:r>
      <w:r>
        <w:rPr>
          <w:rFonts w:hint="default" w:ascii="Times New Roman" w:hAnsi="Times New Roman" w:cs="Times New Roman"/>
          <w:u w:val="single"/>
          <w:lang w:val="en-US" w:eastAsia="zh-CN"/>
        </w:rPr>
        <w:t>机动车清洗站内洗车用水供水管道的布置和敷设应符合下列规定</w:t>
      </w:r>
      <w:r>
        <w:rPr>
          <w:rFonts w:hint="default" w:ascii="Times New Roman" w:hAnsi="Times New Roman" w:cs="Times New Roman"/>
          <w:u w:val="single"/>
          <w:lang w:val="en-US" w:eastAsia="zh-CN"/>
        </w:rPr>
        <w:t>：</w:t>
      </w:r>
      <w:r>
        <w:rPr>
          <w:rFonts w:hint="default" w:ascii="Times New Roman" w:hAnsi="Times New Roman" w:cs="Times New Roman"/>
          <w:u w:val="single"/>
          <w:lang w:val="en-US" w:eastAsia="zh-CN"/>
        </w:rPr>
        <w:t>1 供水管道管材及配件应采用耐腐蚀的管材及附件。供水管道承压能力应达到工作压力的1.5倍。</w:t>
      </w:r>
    </w:p>
    <w:p w14:paraId="19857E2C">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8.3.1、8.3.2、8.3.3条基于现场调研结果、厂家咨询及资料查阅，得出了针对喷嘴材质、喷嘴承压能力选型的要求，以及确定</w:t>
      </w:r>
      <w:r>
        <w:rPr>
          <w:rFonts w:hint="default" w:ascii="Times New Roman" w:hAnsi="Times New Roman" w:cs="Times New Roman"/>
          <w:highlight w:val="none"/>
        </w:rPr>
        <w:t>喷嘴</w:t>
      </w:r>
      <w:r>
        <w:rPr>
          <w:rFonts w:hint="default" w:ascii="Times New Roman" w:hAnsi="Times New Roman" w:cs="Times New Roman"/>
          <w:highlight w:val="none"/>
          <w:lang w:val="en-US" w:eastAsia="zh-CN"/>
        </w:rPr>
        <w:t>出水形状、流量、射流角度选型的要求。</w:t>
      </w:r>
    </w:p>
    <w:p w14:paraId="267C8DE1">
      <w:pPr>
        <w:pStyle w:val="21"/>
        <w:pageBreakBefore w:val="0"/>
        <w:numPr>
          <w:ilvl w:val="0"/>
          <w:numId w:val="1"/>
        </w:numPr>
        <w:kinsoku/>
        <w:wordWrap/>
        <w:overflowPunct/>
        <w:topLinePunct w:val="0"/>
        <w:bidi w:val="0"/>
        <w:spacing w:before="164" w:after="156" w:afterLines="50"/>
        <w:ind w:left="0" w:right="0"/>
        <w:rPr>
          <w:rFonts w:hint="default" w:ascii="Times New Roman" w:hAnsi="Times New Roman" w:cs="Times New Roman"/>
          <w:b/>
          <w:w w:val="105"/>
          <w:sz w:val="23"/>
          <w:lang w:eastAsia="zh-CN"/>
        </w:rPr>
      </w:pPr>
      <w:r>
        <w:rPr>
          <w:rFonts w:hint="default" w:ascii="Times New Roman" w:hAnsi="Times New Roman" w:cs="Times New Roman"/>
          <w:b/>
          <w:w w:val="105"/>
          <w:sz w:val="23"/>
          <w:lang w:eastAsia="zh-CN"/>
        </w:rPr>
        <w:t xml:space="preserve">第九章 </w:t>
      </w:r>
      <w:r>
        <w:rPr>
          <w:rFonts w:hint="default" w:ascii="Times New Roman" w:hAnsi="Times New Roman" w:cs="Times New Roman"/>
          <w:b/>
          <w:w w:val="105"/>
          <w:sz w:val="23"/>
          <w:lang w:val="en-US" w:eastAsia="zh-CN"/>
        </w:rPr>
        <w:t>污水</w:t>
      </w:r>
      <w:r>
        <w:rPr>
          <w:rFonts w:hint="default" w:ascii="Times New Roman" w:hAnsi="Times New Roman" w:cs="Times New Roman"/>
          <w:b/>
          <w:w w:val="105"/>
          <w:sz w:val="23"/>
          <w:lang w:val="en-US" w:eastAsia="zh-CN"/>
        </w:rPr>
        <w:t>收集、处理</w:t>
      </w:r>
      <w:r>
        <w:rPr>
          <w:rFonts w:hint="default" w:ascii="Times New Roman" w:hAnsi="Times New Roman" w:cs="Times New Roman"/>
          <w:b/>
          <w:w w:val="105"/>
          <w:sz w:val="23"/>
          <w:lang w:val="en-US" w:eastAsia="zh-CN"/>
        </w:rPr>
        <w:t>与利用</w:t>
      </w:r>
    </w:p>
    <w:p w14:paraId="135BB1B4">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eastAsia="zh-CN"/>
        </w:rPr>
        <w:t>该部分主要规定了</w:t>
      </w:r>
      <w:r>
        <w:rPr>
          <w:rFonts w:hint="default" w:ascii="Times New Roman" w:hAnsi="Times New Roman" w:cs="Times New Roman"/>
          <w:lang w:val="en-US" w:eastAsia="zh-CN"/>
        </w:rPr>
        <w:t>污水收集、处</w:t>
      </w:r>
      <w:r>
        <w:rPr>
          <w:rFonts w:hint="default" w:ascii="Times New Roman" w:hAnsi="Times New Roman" w:cs="Times New Roman"/>
          <w:lang w:val="en-US" w:eastAsia="zh-CN"/>
        </w:rPr>
        <w:t>理与</w:t>
      </w:r>
      <w:r>
        <w:rPr>
          <w:rFonts w:hint="default" w:ascii="Times New Roman" w:hAnsi="Times New Roman" w:cs="Times New Roman"/>
          <w:lang w:val="en-US" w:eastAsia="zh-CN"/>
        </w:rPr>
        <w:t>利用</w:t>
      </w:r>
      <w:r>
        <w:rPr>
          <w:rFonts w:hint="default" w:ascii="Times New Roman" w:hAnsi="Times New Roman" w:cs="Times New Roman"/>
          <w:lang w:eastAsia="zh-CN"/>
        </w:rPr>
        <w:t>的要求。</w:t>
      </w:r>
      <w:r>
        <w:rPr>
          <w:rFonts w:hint="default" w:ascii="Times New Roman" w:hAnsi="Times New Roman" w:cs="Times New Roman"/>
          <w:lang w:val="en-US" w:eastAsia="zh-CN"/>
        </w:rPr>
        <w:t>污水收集主要包括收集方式、收集设施的组成、收集设施</w:t>
      </w:r>
      <w:r>
        <w:rPr>
          <w:rFonts w:hint="default" w:ascii="Times New Roman" w:hAnsi="Times New Roman" w:cs="Times New Roman"/>
          <w:lang w:val="en-US" w:eastAsia="zh-CN"/>
        </w:rPr>
        <w:t>的设置</w:t>
      </w:r>
      <w:r>
        <w:rPr>
          <w:rFonts w:hint="default" w:ascii="Times New Roman" w:hAnsi="Times New Roman" w:cs="Times New Roman"/>
          <w:lang w:val="en-US" w:eastAsia="zh-CN"/>
        </w:rPr>
        <w:t>等相关要求</w:t>
      </w:r>
      <w:r>
        <w:rPr>
          <w:rFonts w:hint="default" w:ascii="Times New Roman" w:hAnsi="Times New Roman" w:cs="Times New Roman"/>
          <w:lang w:val="en-US" w:eastAsia="zh-CN"/>
        </w:rPr>
        <w:t>；</w:t>
      </w:r>
      <w:r>
        <w:rPr>
          <w:rFonts w:hint="default" w:ascii="Times New Roman" w:hAnsi="Times New Roman" w:cs="Times New Roman"/>
          <w:lang w:val="en-US" w:eastAsia="zh-CN"/>
        </w:rPr>
        <w:t>污水处</w:t>
      </w:r>
      <w:r>
        <w:rPr>
          <w:rFonts w:hint="default" w:ascii="Times New Roman" w:hAnsi="Times New Roman" w:cs="Times New Roman"/>
          <w:lang w:val="en-US" w:eastAsia="zh-CN"/>
        </w:rPr>
        <w:t>理</w:t>
      </w:r>
      <w:r>
        <w:rPr>
          <w:rFonts w:hint="default" w:ascii="Times New Roman" w:hAnsi="Times New Roman" w:cs="Times New Roman"/>
          <w:lang w:val="en-US" w:eastAsia="zh-CN"/>
        </w:rPr>
        <w:t>主要包括污水处理设施</w:t>
      </w:r>
      <w:r>
        <w:rPr>
          <w:rFonts w:hint="default" w:ascii="Times New Roman" w:hAnsi="Times New Roman" w:cs="Times New Roman"/>
          <w:lang w:val="en-US" w:eastAsia="zh-CN"/>
        </w:rPr>
        <w:t>建设</w:t>
      </w:r>
      <w:r>
        <w:rPr>
          <w:rFonts w:hint="default" w:ascii="Times New Roman" w:hAnsi="Times New Roman" w:cs="Times New Roman"/>
          <w:lang w:val="en-US" w:eastAsia="zh-CN"/>
        </w:rPr>
        <w:t>要求</w:t>
      </w:r>
      <w:r>
        <w:rPr>
          <w:rFonts w:hint="default" w:ascii="Times New Roman" w:hAnsi="Times New Roman" w:cs="Times New Roman"/>
          <w:lang w:val="en-US" w:eastAsia="zh-CN"/>
        </w:rPr>
        <w:t>；</w:t>
      </w:r>
      <w:r>
        <w:rPr>
          <w:rFonts w:hint="default" w:ascii="Times New Roman" w:hAnsi="Times New Roman" w:cs="Times New Roman"/>
          <w:lang w:val="en-US" w:eastAsia="zh-CN"/>
        </w:rPr>
        <w:t>污水利用主要包括中水</w:t>
      </w:r>
      <w:r>
        <w:rPr>
          <w:rFonts w:hint="default" w:ascii="Times New Roman" w:hAnsi="Times New Roman" w:cs="Times New Roman"/>
          <w:lang w:val="en-US" w:eastAsia="zh-CN"/>
        </w:rPr>
        <w:t>回用水质、防止喷嘴堵塞</w:t>
      </w:r>
      <w:r>
        <w:rPr>
          <w:rFonts w:hint="default" w:ascii="Times New Roman" w:hAnsi="Times New Roman" w:cs="Times New Roman"/>
          <w:lang w:val="en-US" w:eastAsia="zh-CN"/>
        </w:rPr>
        <w:t>等要求。</w:t>
      </w:r>
    </w:p>
    <w:p w14:paraId="46419150">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9.1.1条参照《室外排水设计标准》（GB50014）</w:t>
      </w:r>
      <w:r>
        <w:rPr>
          <w:rFonts w:hint="default" w:ascii="Times New Roman" w:hAnsi="Times New Roman" w:cs="Times New Roman"/>
          <w:u w:val="single"/>
          <w:lang w:val="en-US" w:eastAsia="zh-CN"/>
        </w:rPr>
        <w:t>第5.1.10条 排水管渠系统的设计应以重力流为主，不设或少设提升泵站。当无法采用重力流或重力流不经济时,可采用压力流。</w:t>
      </w:r>
      <w:r>
        <w:rPr>
          <w:rFonts w:hint="default" w:ascii="Times New Roman" w:hAnsi="Times New Roman" w:cs="Times New Roman"/>
          <w:u w:val="none"/>
          <w:lang w:val="en-US" w:eastAsia="zh-CN"/>
        </w:rPr>
        <w:t>《煤炭矿石码头粉尘控制设计规范》（JTS156）</w:t>
      </w:r>
      <w:r>
        <w:rPr>
          <w:rFonts w:hint="default" w:ascii="Times New Roman" w:hAnsi="Times New Roman" w:cs="Times New Roman"/>
          <w:u w:val="single"/>
          <w:lang w:val="en-US" w:eastAsia="zh-CN"/>
        </w:rPr>
        <w:t>第8.1.11条 排水系统的设计应按照港区平面和工艺设备布置、汇水面积及地面坡度情况等综合考虑，宜采用重力自然流方式。当落差和埋深较大，经技术经济比较后，可采用压力输送方式。</w:t>
      </w:r>
    </w:p>
    <w:p w14:paraId="376CA80B">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9.1.2条基于调研结果，多数港口洗车平台采用格栅板用于沥水，取得了较好的效果，有利于污水汇入集水沟（槽）。同时，根据车辆通道基础设计承载力要求，规定了格栅板</w:t>
      </w:r>
      <w:r>
        <w:rPr>
          <w:rFonts w:hint="default" w:ascii="Times New Roman" w:hAnsi="Times New Roman" w:cs="Times New Roman"/>
          <w:lang w:val="en-US" w:eastAsia="zh-CN"/>
        </w:rPr>
        <w:t>承重能力不低于100t。</w:t>
      </w:r>
    </w:p>
    <w:p w14:paraId="7A658BB1">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9.1.3条参照《水运工程环境保护设计规范》（JTS149）</w:t>
      </w:r>
      <w:r>
        <w:rPr>
          <w:rFonts w:hint="default" w:ascii="Times New Roman" w:hAnsi="Times New Roman" w:cs="Times New Roman"/>
          <w:u w:val="single"/>
          <w:lang w:val="en-US" w:eastAsia="zh-CN"/>
        </w:rPr>
        <w:t>第4.3.9条 码头面和堆场含煤、矿污水宜采用便于清理的排水沟收集。含煤、矿污水采用压力管道输送时，宜设管道清洗设施。</w:t>
      </w:r>
    </w:p>
    <w:p w14:paraId="407C7496">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9.2.1条基于调研结果，大多数洗车平台</w:t>
      </w:r>
      <w:r>
        <w:rPr>
          <w:rFonts w:hint="default" w:ascii="Times New Roman" w:hAnsi="Times New Roman" w:cs="Times New Roman"/>
          <w:lang w:val="en-US" w:eastAsia="zh-CN"/>
        </w:rPr>
        <w:t>沉淀</w:t>
      </w:r>
      <w:r>
        <w:rPr>
          <w:rFonts w:hint="default" w:ascii="Times New Roman" w:hAnsi="Times New Roman" w:cs="Times New Roman"/>
        </w:rPr>
        <w:t>池</w:t>
      </w:r>
      <w:r>
        <w:rPr>
          <w:rFonts w:hint="default" w:ascii="Times New Roman" w:hAnsi="Times New Roman" w:cs="Times New Roman"/>
          <w:lang w:val="en-US" w:eastAsia="zh-CN"/>
        </w:rPr>
        <w:t>均</w:t>
      </w:r>
      <w:r>
        <w:rPr>
          <w:rFonts w:hint="default" w:ascii="Times New Roman" w:hAnsi="Times New Roman" w:cs="Times New Roman"/>
        </w:rPr>
        <w:t>采用地下式</w:t>
      </w:r>
      <w:r>
        <w:rPr>
          <w:rFonts w:hint="default" w:ascii="Times New Roman" w:hAnsi="Times New Roman" w:cs="Times New Roman"/>
          <w:lang w:eastAsia="zh-CN"/>
        </w:rPr>
        <w:t>，</w:t>
      </w:r>
      <w:r>
        <w:rPr>
          <w:rFonts w:hint="default" w:ascii="Times New Roman" w:hAnsi="Times New Roman" w:cs="Times New Roman"/>
          <w:lang w:val="en-US" w:eastAsia="zh-CN"/>
        </w:rPr>
        <w:t>满足冲洗废水重力流收集要求，有的港口设置的沉淀池位于车辆通道下方，不便于污泥清掏，因此，在设计和建设时应考虑沉淀池设置形式</w:t>
      </w:r>
      <w:r>
        <w:rPr>
          <w:rFonts w:hint="default" w:ascii="Times New Roman" w:hAnsi="Times New Roman" w:cs="Times New Roman"/>
        </w:rPr>
        <w:t>。</w:t>
      </w:r>
      <w:r>
        <w:rPr>
          <w:rFonts w:hint="default" w:ascii="Times New Roman" w:hAnsi="Times New Roman" w:cs="Times New Roman"/>
          <w:lang w:val="en-US" w:eastAsia="zh-CN"/>
        </w:rPr>
        <w:t>同时，为了保障冲洗废水的全部收集，沉淀池容积应满足要求。</w:t>
      </w:r>
    </w:p>
    <w:p w14:paraId="63CDE66B">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9.2.2条参照《室外排水设计标准》（GB50014）</w:t>
      </w:r>
      <w:r>
        <w:rPr>
          <w:rFonts w:hint="default" w:ascii="Times New Roman" w:hAnsi="Times New Roman" w:cs="Times New Roman"/>
          <w:u w:val="single"/>
          <w:lang w:val="en-US" w:eastAsia="zh-CN"/>
        </w:rPr>
        <w:t>第7.1.7条 处理构筑物的个(格)数不应少于2个(格)，并应按并联设计。</w:t>
      </w:r>
      <w:r>
        <w:rPr>
          <w:rFonts w:hint="default" w:ascii="Times New Roman" w:hAnsi="Times New Roman" w:cs="Times New Roman"/>
          <w:lang w:val="en-US" w:eastAsia="zh-CN"/>
        </w:rPr>
        <w:t>基于调研结果，</w:t>
      </w:r>
      <w:r>
        <w:rPr>
          <w:rFonts w:hint="default" w:ascii="Times New Roman" w:hAnsi="Times New Roman" w:cs="Times New Roman"/>
        </w:rPr>
        <w:t>沉淀池泥</w:t>
      </w:r>
      <w:r>
        <w:rPr>
          <w:rFonts w:hint="default" w:ascii="Times New Roman" w:hAnsi="Times New Roman" w:cs="Times New Roman"/>
          <w:lang w:val="en-US" w:eastAsia="zh-CN"/>
        </w:rPr>
        <w:t>出水水质</w:t>
      </w:r>
      <w:r>
        <w:rPr>
          <w:rFonts w:hint="default" w:ascii="Times New Roman" w:hAnsi="Times New Roman" w:cs="Times New Roman"/>
        </w:rPr>
        <w:t>效果不佳时，</w:t>
      </w:r>
      <w:r>
        <w:rPr>
          <w:rFonts w:hint="default" w:ascii="Times New Roman" w:hAnsi="Times New Roman" w:cs="Times New Roman"/>
          <w:lang w:val="en-US" w:eastAsia="zh-CN"/>
        </w:rPr>
        <w:t>应</w:t>
      </w:r>
      <w:r>
        <w:rPr>
          <w:rFonts w:hint="default" w:ascii="Times New Roman" w:hAnsi="Times New Roman" w:cs="Times New Roman"/>
        </w:rPr>
        <w:t>采用</w:t>
      </w:r>
      <w:r>
        <w:rPr>
          <w:rFonts w:hint="default" w:ascii="Times New Roman" w:hAnsi="Times New Roman" w:cs="Times New Roman"/>
          <w:lang w:val="en-US" w:eastAsia="zh-CN"/>
        </w:rPr>
        <w:t>加药方式增强污水处理效果</w:t>
      </w:r>
      <w:r>
        <w:rPr>
          <w:rFonts w:hint="default" w:ascii="Times New Roman" w:hAnsi="Times New Roman" w:cs="Times New Roman"/>
        </w:rPr>
        <w:t>。</w:t>
      </w:r>
    </w:p>
    <w:p w14:paraId="59852BAF">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val="en-US" w:eastAsia="zh-CN"/>
        </w:rPr>
      </w:pPr>
      <w:r>
        <w:rPr>
          <w:rFonts w:hint="default" w:ascii="Times New Roman" w:hAnsi="Times New Roman" w:cs="Times New Roman"/>
          <w:lang w:val="en-US" w:eastAsia="zh-CN"/>
        </w:rPr>
        <w:t>9.2.3条参照《水运工程环境保护设计规范》（JTS149）</w:t>
      </w:r>
      <w:r>
        <w:rPr>
          <w:rFonts w:hint="default" w:ascii="Times New Roman" w:hAnsi="Times New Roman" w:cs="Times New Roman"/>
          <w:u w:val="single"/>
          <w:lang w:val="en-US" w:eastAsia="zh-CN"/>
        </w:rPr>
        <w:t>第7.0.7条 一般工业固体废物的临时贮存和处置应符合现行国家标准《一般工业固体废物贮存、处置场污染控制标准》(GB18599)的有关规定。煤炭、矿石码头散货污水处理后的煤泥或矿泥宜回收利用。</w:t>
      </w:r>
      <w:r>
        <w:rPr>
          <w:rFonts w:hint="default" w:ascii="Times New Roman" w:hAnsi="Times New Roman" w:cs="Times New Roman"/>
          <w:lang w:val="en-US" w:eastAsia="zh-CN"/>
        </w:rPr>
        <w:t>基于调研情况，在日常运行管理中，沉淀池污泥清运是一项难题，因此，在洗车平台设计与建设之初应当考虑污泥清掏便捷性，</w:t>
      </w:r>
      <w:r>
        <w:rPr>
          <w:rFonts w:hint="default" w:ascii="Times New Roman" w:hAnsi="Times New Roman" w:cs="Times New Roman"/>
        </w:rPr>
        <w:t>有条件的港口可配备</w:t>
      </w:r>
      <w:r>
        <w:rPr>
          <w:rFonts w:hint="default" w:ascii="Times New Roman" w:hAnsi="Times New Roman" w:cs="Times New Roman"/>
          <w:lang w:val="en-US" w:eastAsia="zh-CN"/>
        </w:rPr>
        <w:t>污泥</w:t>
      </w:r>
      <w:r>
        <w:rPr>
          <w:rFonts w:hint="default" w:ascii="Times New Roman" w:hAnsi="Times New Roman" w:cs="Times New Roman"/>
        </w:rPr>
        <w:t>清掏、压滤设施</w:t>
      </w:r>
      <w:r>
        <w:rPr>
          <w:rFonts w:hint="default" w:ascii="Times New Roman" w:hAnsi="Times New Roman" w:cs="Times New Roman"/>
          <w:lang w:eastAsia="zh-CN"/>
        </w:rPr>
        <w:t>，</w:t>
      </w:r>
      <w:r>
        <w:rPr>
          <w:rFonts w:hint="default" w:ascii="Times New Roman" w:hAnsi="Times New Roman" w:cs="Times New Roman"/>
          <w:lang w:val="en-US" w:eastAsia="zh-CN"/>
        </w:rPr>
        <w:t>实现污泥回收利用</w:t>
      </w:r>
      <w:r>
        <w:rPr>
          <w:rFonts w:hint="default" w:ascii="Times New Roman" w:hAnsi="Times New Roman" w:cs="Times New Roman"/>
        </w:rPr>
        <w:t>。</w:t>
      </w:r>
    </w:p>
    <w:p w14:paraId="2026DF97">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single"/>
          <w:lang w:val="en-US" w:eastAsia="zh-CN"/>
        </w:rPr>
      </w:pPr>
      <w:r>
        <w:rPr>
          <w:rFonts w:hint="default" w:ascii="Times New Roman" w:hAnsi="Times New Roman" w:cs="Times New Roman"/>
          <w:u w:val="none"/>
          <w:lang w:val="en-US" w:eastAsia="zh-CN"/>
        </w:rPr>
        <w:t>9.3.1条参照</w:t>
      </w:r>
      <w:r>
        <w:rPr>
          <w:rFonts w:hint="default" w:ascii="Times New Roman" w:hAnsi="Times New Roman" w:cs="Times New Roman"/>
          <w:lang w:val="en-US" w:eastAsia="zh-CN"/>
        </w:rPr>
        <w:t>《水运工程环境保护设计规范》（JTS</w:t>
      </w:r>
      <w:r>
        <w:rPr>
          <w:rFonts w:hint="eastAsia" w:ascii="Times New Roman" w:hAnsi="Times New Roman" w:cs="Times New Roman"/>
          <w:lang w:val="en-US" w:eastAsia="zh-CN"/>
        </w:rPr>
        <w:t xml:space="preserve"> </w:t>
      </w:r>
      <w:r>
        <w:rPr>
          <w:rFonts w:hint="default" w:ascii="Times New Roman" w:hAnsi="Times New Roman" w:cs="Times New Roman"/>
          <w:lang w:val="en-US" w:eastAsia="zh-CN"/>
        </w:rPr>
        <w:t>149）</w:t>
      </w:r>
      <w:r>
        <w:rPr>
          <w:rFonts w:hint="default" w:ascii="Times New Roman" w:hAnsi="Times New Roman" w:cs="Times New Roman"/>
          <w:u w:val="single"/>
          <w:lang w:val="en-US" w:eastAsia="zh-CN"/>
        </w:rPr>
        <w:t>第</w:t>
      </w:r>
      <w:r>
        <w:rPr>
          <w:rFonts w:hint="default" w:ascii="Times New Roman" w:hAnsi="Times New Roman" w:cs="Times New Roman"/>
          <w:u w:val="single"/>
          <w:lang w:eastAsia="zh-CN"/>
        </w:rPr>
        <w:t>3.1.6</w:t>
      </w:r>
      <w:r>
        <w:rPr>
          <w:rFonts w:hint="default" w:ascii="Times New Roman" w:hAnsi="Times New Roman" w:cs="Times New Roman"/>
          <w:u w:val="single"/>
          <w:lang w:val="en-US" w:eastAsia="zh-CN"/>
        </w:rPr>
        <w:t xml:space="preserve">条 </w:t>
      </w:r>
      <w:r>
        <w:rPr>
          <w:rFonts w:hint="default" w:ascii="Times New Roman" w:hAnsi="Times New Roman" w:cs="Times New Roman"/>
          <w:u w:val="single"/>
          <w:lang w:eastAsia="zh-CN"/>
        </w:rPr>
        <w:t>陆域生活污水、生产废水和初期雨水未经处理不得排入水体</w:t>
      </w:r>
      <w:r>
        <w:rPr>
          <w:rFonts w:hint="default" w:ascii="Times New Roman" w:hAnsi="Times New Roman" w:cs="Times New Roman"/>
          <w:u w:val="single"/>
          <w:lang w:eastAsia="zh-CN"/>
        </w:rPr>
        <w:t>，</w:t>
      </w:r>
      <w:r>
        <w:rPr>
          <w:rFonts w:hint="default" w:ascii="Times New Roman" w:hAnsi="Times New Roman" w:cs="Times New Roman"/>
          <w:u w:val="single"/>
          <w:lang w:eastAsia="zh-CN"/>
        </w:rPr>
        <w:t>宜集中处理后排放或回用。</w:t>
      </w:r>
      <w:r>
        <w:rPr>
          <w:rFonts w:hint="default" w:ascii="Times New Roman" w:hAnsi="Times New Roman" w:cs="Times New Roman"/>
          <w:u w:val="single"/>
          <w:lang w:val="en-US" w:eastAsia="zh-CN"/>
        </w:rPr>
        <w:t>第4.1.2条 水运工程的污水处理后宜分类回用，回用时应满足再生水水质标准要求。处理后出水排入自然水体时，水质应满足相关污染物排放标准，并应满足受纳水体的水环境质量控制要求。</w:t>
      </w:r>
      <w:r>
        <w:rPr>
          <w:rFonts w:hint="default" w:ascii="Times New Roman" w:hAnsi="Times New Roman" w:cs="Times New Roman"/>
          <w:lang w:val="en-US" w:eastAsia="zh-CN"/>
        </w:rPr>
        <w:t>《</w:t>
      </w:r>
      <w:r>
        <w:rPr>
          <w:rFonts w:hint="eastAsia" w:ascii="Times New Roman" w:hAnsi="Times New Roman" w:cs="Times New Roman"/>
          <w:lang w:val="en-US" w:eastAsia="zh-CN"/>
        </w:rPr>
        <w:t>煤炭矿石码头粉尘控制</w:t>
      </w:r>
      <w:r>
        <w:rPr>
          <w:rFonts w:hint="default" w:ascii="Times New Roman" w:hAnsi="Times New Roman" w:cs="Times New Roman"/>
          <w:lang w:val="en-US" w:eastAsia="zh-CN"/>
        </w:rPr>
        <w:t>设计规范》（JTS</w:t>
      </w:r>
      <w:r>
        <w:rPr>
          <w:rFonts w:hint="eastAsia" w:ascii="Times New Roman" w:hAnsi="Times New Roman" w:cs="Times New Roman"/>
          <w:lang w:val="en-US" w:eastAsia="zh-CN"/>
        </w:rPr>
        <w:t xml:space="preserve"> 156</w:t>
      </w:r>
      <w:r>
        <w:rPr>
          <w:rFonts w:hint="default" w:ascii="Times New Roman" w:hAnsi="Times New Roman" w:cs="Times New Roman"/>
          <w:lang w:val="en-US" w:eastAsia="zh-CN"/>
        </w:rPr>
        <w:t>）</w:t>
      </w:r>
      <w:r>
        <w:rPr>
          <w:rFonts w:hint="eastAsia" w:ascii="Times New Roman" w:hAnsi="Times New Roman" w:cs="Times New Roman"/>
          <w:lang w:val="en-US" w:eastAsia="zh-CN"/>
        </w:rPr>
        <w:t>第</w:t>
      </w:r>
      <w:r>
        <w:rPr>
          <w:rFonts w:hint="default" w:ascii="Times New Roman" w:hAnsi="Times New Roman" w:cs="Times New Roman"/>
          <w:u w:val="single"/>
          <w:lang w:val="en-US" w:eastAsia="zh-CN"/>
        </w:rPr>
        <w:t>8.1.5</w:t>
      </w:r>
      <w:r>
        <w:rPr>
          <w:rFonts w:hint="eastAsia" w:ascii="Times New Roman" w:hAnsi="Times New Roman" w:cs="Times New Roman"/>
          <w:u w:val="single"/>
          <w:lang w:val="en-US" w:eastAsia="zh-CN"/>
        </w:rPr>
        <w:t xml:space="preserve">条 </w:t>
      </w:r>
      <w:r>
        <w:rPr>
          <w:rFonts w:hint="default" w:ascii="Times New Roman" w:hAnsi="Times New Roman" w:cs="Times New Roman"/>
          <w:u w:val="single"/>
          <w:lang w:val="en-US" w:eastAsia="zh-CN"/>
        </w:rPr>
        <w:t>道路清扫、车辆和地面冲洗以及绿化用水水质应符合现行国家标准《城市污水再生利用 城市杂用水水质》(GB/T</w:t>
      </w:r>
      <w:r>
        <w:rPr>
          <w:rFonts w:hint="eastAsia" w:ascii="Times New Roman" w:hAnsi="Times New Roman" w:cs="Times New Roman"/>
          <w:u w:val="single"/>
          <w:lang w:val="en-US" w:eastAsia="zh-CN"/>
        </w:rPr>
        <w:t xml:space="preserve"> 1</w:t>
      </w:r>
      <w:r>
        <w:rPr>
          <w:rFonts w:hint="default" w:ascii="Times New Roman" w:hAnsi="Times New Roman" w:cs="Times New Roman"/>
          <w:u w:val="single"/>
          <w:lang w:val="en-US" w:eastAsia="zh-CN"/>
        </w:rPr>
        <w:t>8920)的有关规定。</w:t>
      </w:r>
    </w:p>
    <w:p w14:paraId="7591997D">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none"/>
          <w:lang w:val="en-US" w:eastAsia="zh-CN"/>
        </w:rPr>
      </w:pPr>
      <w:r>
        <w:rPr>
          <w:rFonts w:hint="default" w:ascii="Times New Roman" w:hAnsi="Times New Roman" w:cs="Times New Roman"/>
          <w:u w:val="none"/>
          <w:lang w:val="en-US" w:eastAsia="zh-CN"/>
        </w:rPr>
        <w:t>9.3.2条基于调研结果，由于冲洗系统喷嘴孔径一般较小，回用水中含有一定量的悬浮物，如无过滤装置，易导致喷嘴堵塞，影响洗车平台运行。同时，参照</w:t>
      </w:r>
      <w:r>
        <w:rPr>
          <w:rFonts w:hint="default" w:ascii="Times New Roman" w:hAnsi="Times New Roman" w:cs="Times New Roman"/>
          <w:sz w:val="24"/>
          <w:szCs w:val="24"/>
          <w:u w:val="none"/>
          <w:lang w:val="en-US" w:eastAsia="zh-CN"/>
        </w:rPr>
        <w:t>《建筑给水排水设计标准》（GB50015）</w:t>
      </w:r>
      <w:r>
        <w:rPr>
          <w:rFonts w:hint="default" w:ascii="Times New Roman" w:hAnsi="Times New Roman" w:cs="Times New Roman"/>
          <w:u w:val="single"/>
          <w:lang w:val="en-US" w:eastAsia="zh-CN"/>
        </w:rPr>
        <w:t>第</w:t>
      </w:r>
      <w:r>
        <w:rPr>
          <w:rFonts w:hint="default" w:ascii="Times New Roman" w:hAnsi="Times New Roman" w:cs="Times New Roman"/>
          <w:u w:val="single"/>
          <w:lang w:val="en-US" w:eastAsia="zh-CN"/>
        </w:rPr>
        <w:t>3.5.15</w:t>
      </w:r>
      <w:r>
        <w:rPr>
          <w:rFonts w:hint="default" w:ascii="Times New Roman" w:hAnsi="Times New Roman" w:cs="Times New Roman"/>
          <w:u w:val="single"/>
          <w:lang w:val="en-US" w:eastAsia="zh-CN"/>
        </w:rPr>
        <w:t>条</w:t>
      </w:r>
      <w:r>
        <w:rPr>
          <w:rFonts w:hint="default" w:ascii="Times New Roman" w:hAnsi="Times New Roman" w:cs="Times New Roman"/>
          <w:u w:val="single"/>
          <w:lang w:val="en-US" w:eastAsia="zh-CN"/>
        </w:rPr>
        <w:t xml:space="preserve"> 给水管道的管道过滤器设置应符合下列规定</w:t>
      </w:r>
      <w:r>
        <w:rPr>
          <w:rFonts w:hint="default" w:ascii="Times New Roman" w:hAnsi="Times New Roman" w:cs="Times New Roman"/>
          <w:u w:val="single"/>
          <w:lang w:val="en-US" w:eastAsia="zh-CN"/>
        </w:rPr>
        <w:t>：</w:t>
      </w:r>
      <w:r>
        <w:rPr>
          <w:rFonts w:hint="default" w:ascii="Times New Roman" w:hAnsi="Times New Roman" w:cs="Times New Roman"/>
          <w:u w:val="single"/>
          <w:lang w:val="en-US" w:eastAsia="zh-CN"/>
        </w:rPr>
        <w:t>3 过滤器的滤网应采用耐腐蚀材料</w:t>
      </w:r>
      <w:r>
        <w:rPr>
          <w:rFonts w:hint="default" w:ascii="Times New Roman" w:hAnsi="Times New Roman" w:cs="Times New Roman"/>
          <w:u w:val="single"/>
          <w:lang w:val="en-US" w:eastAsia="zh-CN"/>
        </w:rPr>
        <w:t>，</w:t>
      </w:r>
      <w:r>
        <w:rPr>
          <w:rFonts w:hint="default" w:ascii="Times New Roman" w:hAnsi="Times New Roman" w:cs="Times New Roman"/>
          <w:u w:val="single"/>
          <w:lang w:val="en-US" w:eastAsia="zh-CN"/>
        </w:rPr>
        <w:t>滤网网孔尺寸应按使用要求确定。</w:t>
      </w:r>
    </w:p>
    <w:p w14:paraId="0E3FCD2D">
      <w:pPr>
        <w:pStyle w:val="2"/>
        <w:pageBreakBefore w:val="0"/>
        <w:numPr>
          <w:ilvl w:val="0"/>
          <w:numId w:val="2"/>
        </w:numPr>
        <w:kinsoku/>
        <w:wordWrap/>
        <w:overflowPunct/>
        <w:topLinePunct w:val="0"/>
        <w:bidi w:val="0"/>
        <w:spacing w:before="240" w:after="156" w:afterLines="50"/>
        <w:ind w:left="0" w:right="0"/>
        <w:rPr>
          <w:rFonts w:hint="default" w:ascii="Times New Roman" w:hAnsi="Times New Roman" w:eastAsia="黑体" w:cs="Times New Roman"/>
          <w:spacing w:val="-2"/>
          <w:sz w:val="28"/>
          <w:szCs w:val="28"/>
          <w:lang w:eastAsia="zh-CN"/>
        </w:rPr>
      </w:pPr>
      <w:bookmarkStart w:id="10" w:name="9.第九章_防范措施与应急方案"/>
      <w:bookmarkEnd w:id="10"/>
      <w:bookmarkStart w:id="11" w:name="_bookmark2"/>
      <w:bookmarkEnd w:id="11"/>
      <w:bookmarkStart w:id="12" w:name="三、主要试验（或验证）的分析、综述报告，技术经济论证，预期的经济效果"/>
      <w:bookmarkEnd w:id="12"/>
      <w:bookmarkStart w:id="13" w:name="_Toc132723745"/>
      <w:r>
        <w:rPr>
          <w:rFonts w:hint="default" w:ascii="Times New Roman" w:hAnsi="Times New Roman" w:eastAsia="黑体" w:cs="Times New Roman"/>
          <w:spacing w:val="-2"/>
          <w:sz w:val="28"/>
          <w:szCs w:val="28"/>
          <w:lang w:eastAsia="zh-CN"/>
        </w:rPr>
        <w:t>综述报告、产品调研报告、主要试验（或验证）的分析</w:t>
      </w:r>
      <w:bookmarkEnd w:id="13"/>
    </w:p>
    <w:p w14:paraId="53CA185D">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eastAsia="zh-CN"/>
        </w:rPr>
      </w:pPr>
      <w:r>
        <w:rPr>
          <w:rFonts w:hint="default" w:ascii="Times New Roman" w:hAnsi="Times New Roman" w:eastAsia="黑体" w:cs="Times New Roman"/>
          <w:spacing w:val="-2"/>
          <w:sz w:val="28"/>
          <w:szCs w:val="28"/>
          <w:lang w:eastAsia="zh-CN"/>
        </w:rPr>
        <w:t>（</w:t>
      </w:r>
      <w:r>
        <w:rPr>
          <w:rFonts w:hint="default" w:ascii="Times New Roman" w:hAnsi="Times New Roman" w:eastAsia="黑体" w:cs="Times New Roman"/>
          <w:spacing w:val="-2"/>
          <w:sz w:val="28"/>
          <w:szCs w:val="28"/>
          <w:lang w:val="en-US" w:eastAsia="zh-CN"/>
        </w:rPr>
        <w:t>一</w:t>
      </w:r>
      <w:r>
        <w:rPr>
          <w:rFonts w:hint="default" w:ascii="Times New Roman" w:hAnsi="Times New Roman" w:eastAsia="黑体" w:cs="Times New Roman"/>
          <w:spacing w:val="-2"/>
          <w:sz w:val="28"/>
          <w:szCs w:val="28"/>
          <w:lang w:eastAsia="zh-CN"/>
        </w:rPr>
        <w:t>）引言</w:t>
      </w:r>
    </w:p>
    <w:p w14:paraId="44D8320F">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eastAsia="zh-CN"/>
        </w:rPr>
      </w:pPr>
      <w:r>
        <w:rPr>
          <w:rFonts w:hint="default" w:ascii="Times New Roman" w:hAnsi="Times New Roman" w:eastAsia="黑体" w:cs="Times New Roman"/>
          <w:spacing w:val="-2"/>
          <w:sz w:val="28"/>
          <w:szCs w:val="28"/>
          <w:lang w:val="en-US" w:eastAsia="zh-CN"/>
        </w:rPr>
        <w:t xml:space="preserve">1 </w:t>
      </w:r>
      <w:r>
        <w:rPr>
          <w:rFonts w:hint="default" w:ascii="Times New Roman" w:hAnsi="Times New Roman" w:eastAsia="黑体" w:cs="Times New Roman"/>
          <w:spacing w:val="-2"/>
          <w:sz w:val="28"/>
          <w:szCs w:val="28"/>
          <w:lang w:eastAsia="zh-CN"/>
        </w:rPr>
        <w:t>调研</w:t>
      </w:r>
      <w:r>
        <w:rPr>
          <w:rFonts w:hint="default" w:ascii="Times New Roman" w:hAnsi="Times New Roman" w:eastAsia="黑体" w:cs="Times New Roman"/>
          <w:spacing w:val="-2"/>
          <w:sz w:val="28"/>
          <w:szCs w:val="28"/>
          <w:lang w:val="en-US" w:eastAsia="zh-CN"/>
        </w:rPr>
        <w:t>目的</w:t>
      </w:r>
      <w:r>
        <w:rPr>
          <w:rFonts w:hint="default" w:ascii="Times New Roman" w:hAnsi="Times New Roman" w:eastAsia="黑体" w:cs="Times New Roman"/>
          <w:spacing w:val="-2"/>
          <w:sz w:val="28"/>
          <w:szCs w:val="28"/>
          <w:lang w:eastAsia="zh-CN"/>
        </w:rPr>
        <w:t>与意义</w:t>
      </w:r>
    </w:p>
    <w:p w14:paraId="36136EAC">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none"/>
          <w:lang w:val="en-US" w:eastAsia="zh-CN"/>
        </w:rPr>
      </w:pPr>
      <w:r>
        <w:rPr>
          <w:rFonts w:hint="default" w:ascii="Times New Roman" w:hAnsi="Times New Roman" w:cs="Times New Roman"/>
          <w:u w:val="none"/>
          <w:lang w:val="en-US" w:eastAsia="zh-CN"/>
        </w:rPr>
        <w:t>我国大多干散货码头作业仍采用通用作业工艺，作业模式粗放，散货由堆场或码头卸船取货出场，以及场内倒运时，大都采取汽运的方式，汽运车辆在行驶途中通常会产生物料洒落，同时，车轮或车身附着物料，行驶中掉落并碾轧成粉尘，极易造成严重的场路扬尘，构成干散货港口区域大气污染的主要来源。目前，主要通过车身加盖、场路出口设置洗车台、场路洒水、清扫等措施减少汽运车辆的扬尘污染。</w:t>
      </w:r>
    </w:p>
    <w:p w14:paraId="6054013B">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none"/>
          <w:lang w:val="en-US" w:eastAsia="zh-CN"/>
        </w:rPr>
      </w:pPr>
      <w:r>
        <w:rPr>
          <w:rFonts w:hint="default" w:ascii="Times New Roman" w:hAnsi="Times New Roman" w:cs="Times New Roman"/>
          <w:u w:val="none"/>
          <w:lang w:val="en-US" w:eastAsia="zh-CN"/>
        </w:rPr>
        <w:t>2020年3月，《排污许可证申请与核发技术规范 码头》发布实施，干散货码头行业正式纳入排污许可管理，该技术规范中明确了对于自卸机车可采用水力冲洗等污染防治措施。进入“十四五”期后，国家和行业对于干散货码头的环境管理已逐步从控制厂界达标过渡到全流程作业起尘节点的精细化控制，尤其是通用作业工艺中汽运车辆扬尘污染日益受到社会公众和环境管理部门的重视。</w:t>
      </w:r>
    </w:p>
    <w:p w14:paraId="3C548F80">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u w:val="none"/>
          <w:lang w:val="en-US" w:eastAsia="zh-CN"/>
        </w:rPr>
        <w:t>本次调研为落实《港口干散货运输车辆洗车平台要求》团体标准工作大纲评审意见的具体体现，编制单位在多年干散货码头通用作业工艺起尘机理与抑尘技术等相关研究的基础上，通过资料收集、电话咨询、实地调研、企业问谈等方法，了解国内各个港口洗车平台的特点及应用现状，厘清我国现阶段港口洗车平台应用存在的问题与可优化的方向。通过调研结果，为洗车平台团体标准的制定奠定基础，促进洗车平台团体标准发挥更好的指导作用，更好的在港口应用。</w:t>
      </w:r>
    </w:p>
    <w:p w14:paraId="0D2DA7F7">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r>
        <w:rPr>
          <w:rFonts w:hint="default" w:ascii="Times New Roman" w:hAnsi="Times New Roman" w:eastAsia="黑体" w:cs="Times New Roman"/>
          <w:spacing w:val="-2"/>
          <w:sz w:val="28"/>
          <w:szCs w:val="28"/>
          <w:lang w:val="en-US" w:eastAsia="zh-CN"/>
        </w:rPr>
        <w:t>2 调研目标</w:t>
      </w:r>
    </w:p>
    <w:p w14:paraId="37DA3F47">
      <w:pPr>
        <w:pStyle w:val="6"/>
        <w:pageBreakBefore w:val="0"/>
        <w:kinsoku/>
        <w:wordWrap/>
        <w:overflowPunct/>
        <w:topLinePunct w:val="0"/>
        <w:bidi w:val="0"/>
        <w:spacing w:line="362" w:lineRule="auto"/>
        <w:ind w:left="0" w:right="0" w:firstLine="480"/>
        <w:jc w:val="both"/>
        <w:rPr>
          <w:rFonts w:hint="default" w:ascii="Times New Roman" w:hAnsi="Times New Roman" w:cs="Times New Roman"/>
          <w:u w:val="none"/>
          <w:lang w:val="en-US" w:eastAsia="zh-CN"/>
        </w:rPr>
      </w:pPr>
      <w:r>
        <w:rPr>
          <w:rFonts w:hint="default" w:ascii="Times New Roman" w:hAnsi="Times New Roman" w:cs="Times New Roman"/>
          <w:u w:val="none"/>
          <w:lang w:val="en-US" w:eastAsia="zh-CN"/>
        </w:rPr>
        <w:t>本次调研为更好的编制团体标准而开展，目标聚焦洗车平台在港口中的具体实践，以期调研结果能直接支撑标准内容的制定，确保标准文件能够解决真实问题、反映行业共识、具备可操作性和前瞻性。</w:t>
      </w:r>
    </w:p>
    <w:p w14:paraId="159D159C">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u w:val="none"/>
          <w:lang w:val="en-US" w:eastAsia="zh-CN"/>
        </w:rPr>
        <w:t>本次调研的核心目标是精准识别干散货港口行业洗车平台当前面临的最紧迫痛点与真实需求。将重点调查：港口洗车平台普遍存在的技术瓶颈、操作风险、效率低下、质量不稳定、安全隐患等具体问题；这些问题对洗车平台实际应用造成的实际负面影响及其程度；导致这些问题的主要原因（如技术迭代快、规范缺</w:t>
      </w:r>
      <w:r>
        <w:rPr>
          <w:rFonts w:hint="default" w:ascii="Times New Roman" w:hAnsi="Times New Roman" w:cs="Times New Roman"/>
          <w:lang w:eastAsia="zh-CN"/>
        </w:rPr>
        <w:t>失、企业水平参差等）；以及现有解决方案（如企业自发实践、地方标准等）的不足之处。目标是明确团体标准应优先解决哪些关键问题，确保其制定的必要性和针对性。最终为港口优化洗车平台建设、提升污染防治能力、实现绿色低碳转型提供科学依据和可操作性建议，助力港口经济与生态环境协调发展。</w:t>
      </w:r>
    </w:p>
    <w:p w14:paraId="6FEA6F78">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r>
        <w:rPr>
          <w:rFonts w:hint="default" w:ascii="Times New Roman" w:hAnsi="Times New Roman" w:eastAsia="黑体" w:cs="Times New Roman"/>
          <w:spacing w:val="-2"/>
          <w:sz w:val="28"/>
          <w:szCs w:val="28"/>
          <w:lang w:val="en-US" w:eastAsia="zh-CN"/>
        </w:rPr>
        <w:t>3 调研方法与内容</w:t>
      </w:r>
    </w:p>
    <w:p w14:paraId="3A0BC59E">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eastAsia="zh-CN"/>
        </w:rPr>
      </w:pPr>
      <w:r>
        <w:rPr>
          <w:rFonts w:hint="default" w:ascii="Times New Roman" w:hAnsi="Times New Roman" w:cs="Times New Roman"/>
          <w:lang w:val="en-US" w:eastAsia="zh-CN"/>
        </w:rPr>
        <w:t>本次调研方法分别包括</w:t>
      </w:r>
      <w:r>
        <w:rPr>
          <w:rFonts w:hint="default" w:ascii="Times New Roman" w:hAnsi="Times New Roman" w:cs="Times New Roman"/>
          <w:lang w:eastAsia="zh-CN"/>
        </w:rPr>
        <w:t>资料收集、电话咨询、实地调研、企业</w:t>
      </w:r>
      <w:r>
        <w:rPr>
          <w:rFonts w:hint="default" w:ascii="Times New Roman" w:hAnsi="Times New Roman" w:cs="Times New Roman"/>
          <w:lang w:val="en-US" w:eastAsia="zh-CN"/>
        </w:rPr>
        <w:t>问谈等。</w:t>
      </w:r>
      <w:r>
        <w:rPr>
          <w:rFonts w:hint="default" w:ascii="Times New Roman" w:hAnsi="Times New Roman" w:cs="Times New Roman"/>
          <w:lang w:eastAsia="zh-CN"/>
        </w:rPr>
        <w:t>为确保本项目成果在全国</w:t>
      </w:r>
      <w:r>
        <w:rPr>
          <w:rFonts w:hint="default" w:ascii="Times New Roman" w:hAnsi="Times New Roman" w:cs="Times New Roman"/>
          <w:lang w:val="en-US" w:eastAsia="zh-CN"/>
        </w:rPr>
        <w:t>通用</w:t>
      </w:r>
      <w:r>
        <w:rPr>
          <w:rFonts w:hint="default" w:ascii="Times New Roman" w:hAnsi="Times New Roman" w:cs="Times New Roman"/>
          <w:lang w:eastAsia="zh-CN"/>
        </w:rPr>
        <w:t>干散货码头行业具有广泛的适用性，项目调研重点关注码头所处区域的代表性（南北方、沿海或内河）、</w:t>
      </w:r>
      <w:r>
        <w:rPr>
          <w:rFonts w:hint="default" w:ascii="Times New Roman" w:hAnsi="Times New Roman" w:cs="Times New Roman"/>
          <w:lang w:val="en-US" w:eastAsia="zh-CN"/>
        </w:rPr>
        <w:t>散货</w:t>
      </w:r>
      <w:r>
        <w:rPr>
          <w:rFonts w:hint="default" w:ascii="Times New Roman" w:hAnsi="Times New Roman" w:cs="Times New Roman"/>
          <w:lang w:eastAsia="zh-CN"/>
        </w:rPr>
        <w:t>货种的多样性（煤炭、矿石、矿建材料等），</w:t>
      </w:r>
      <w:r>
        <w:rPr>
          <w:rFonts w:hint="default" w:ascii="Times New Roman" w:hAnsi="Times New Roman" w:cs="Times New Roman"/>
          <w:lang w:val="en-US" w:eastAsia="zh-CN"/>
        </w:rPr>
        <w:t>调研范围包括国内南北方</w:t>
      </w:r>
      <w:r>
        <w:rPr>
          <w:rFonts w:hint="default" w:ascii="Times New Roman" w:hAnsi="Times New Roman" w:cs="Times New Roman"/>
          <w:lang w:eastAsia="zh-CN"/>
        </w:rPr>
        <w:t>重点</w:t>
      </w:r>
      <w:r>
        <w:rPr>
          <w:rFonts w:hint="default" w:ascii="Times New Roman" w:hAnsi="Times New Roman" w:cs="Times New Roman"/>
          <w:lang w:val="en-US" w:eastAsia="zh-CN"/>
        </w:rPr>
        <w:t>沿海、内河</w:t>
      </w:r>
      <w:r>
        <w:rPr>
          <w:rFonts w:hint="default" w:ascii="Times New Roman" w:hAnsi="Times New Roman" w:cs="Times New Roman"/>
          <w:lang w:eastAsia="zh-CN"/>
        </w:rPr>
        <w:t>港口等，</w:t>
      </w:r>
      <w:r>
        <w:rPr>
          <w:rFonts w:hint="default" w:ascii="Times New Roman" w:hAnsi="Times New Roman" w:cs="Times New Roman"/>
          <w:lang w:val="en-US" w:eastAsia="zh-CN"/>
        </w:rPr>
        <w:t>如唐山港、青岛港、日照港、烟台港、太仓武港</w:t>
      </w:r>
      <w:r>
        <w:rPr>
          <w:rFonts w:hint="default" w:ascii="Times New Roman" w:hAnsi="Times New Roman" w:cs="Times New Roman"/>
          <w:lang w:eastAsia="zh-CN"/>
        </w:rPr>
        <w:t>、</w:t>
      </w:r>
      <w:r>
        <w:rPr>
          <w:rFonts w:hint="default" w:ascii="Times New Roman" w:hAnsi="Times New Roman" w:cs="Times New Roman"/>
          <w:lang w:val="en-US" w:eastAsia="zh-CN"/>
        </w:rPr>
        <w:t>厦门港</w:t>
      </w:r>
      <w:r>
        <w:rPr>
          <w:rFonts w:hint="default" w:ascii="Times New Roman" w:hAnsi="Times New Roman" w:cs="Times New Roman"/>
          <w:lang w:eastAsia="zh-CN"/>
        </w:rPr>
        <w:t>等。</w:t>
      </w:r>
    </w:p>
    <w:p w14:paraId="241C4F94">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eastAsia="zh-CN"/>
        </w:rPr>
      </w:pPr>
      <w:r>
        <w:rPr>
          <w:rFonts w:hint="default" w:ascii="Times New Roman" w:hAnsi="Times New Roman" w:cs="Times New Roman"/>
          <w:lang w:eastAsia="zh-CN"/>
        </w:rPr>
        <w:t>本项目主要调研现阶段港</w:t>
      </w:r>
      <w:r>
        <w:rPr>
          <w:rFonts w:hint="default" w:ascii="Times New Roman" w:hAnsi="Times New Roman" w:cs="Times New Roman"/>
          <w:lang w:val="en-US" w:eastAsia="zh-CN"/>
        </w:rPr>
        <w:t>口</w:t>
      </w:r>
      <w:r>
        <w:rPr>
          <w:rFonts w:hint="default" w:ascii="Times New Roman" w:hAnsi="Times New Roman" w:cs="Times New Roman"/>
          <w:lang w:eastAsia="zh-CN"/>
        </w:rPr>
        <w:t>干散货</w:t>
      </w:r>
      <w:r>
        <w:rPr>
          <w:rFonts w:hint="default" w:ascii="Times New Roman" w:hAnsi="Times New Roman" w:cs="Times New Roman"/>
          <w:lang w:val="en-US" w:eastAsia="zh-CN"/>
        </w:rPr>
        <w:t>运输车辆洗车平台建设及</w:t>
      </w:r>
      <w:r>
        <w:rPr>
          <w:rFonts w:hint="default" w:ascii="Times New Roman" w:hAnsi="Times New Roman" w:cs="Times New Roman"/>
          <w:lang w:eastAsia="zh-CN"/>
        </w:rPr>
        <w:t>使用情况，包括建设类型、工艺流程、冲洗方式等，并</w:t>
      </w:r>
      <w:r>
        <w:rPr>
          <w:rFonts w:hint="default" w:ascii="Times New Roman" w:hAnsi="Times New Roman" w:cs="Times New Roman"/>
          <w:lang w:val="en-US" w:eastAsia="zh-CN"/>
        </w:rPr>
        <w:t>重点</w:t>
      </w:r>
      <w:r>
        <w:rPr>
          <w:rFonts w:hint="default" w:ascii="Times New Roman" w:hAnsi="Times New Roman" w:cs="Times New Roman"/>
          <w:lang w:eastAsia="zh-CN"/>
        </w:rPr>
        <w:t>征集企业管理人员、</w:t>
      </w:r>
      <w:r>
        <w:rPr>
          <w:rFonts w:hint="default" w:ascii="Times New Roman" w:hAnsi="Times New Roman" w:cs="Times New Roman"/>
          <w:lang w:val="en-US" w:eastAsia="zh-CN"/>
        </w:rPr>
        <w:t>流动</w:t>
      </w:r>
      <w:r>
        <w:rPr>
          <w:rFonts w:hint="default" w:ascii="Times New Roman" w:hAnsi="Times New Roman" w:cs="Times New Roman"/>
          <w:lang w:eastAsia="zh-CN"/>
        </w:rPr>
        <w:t>机械</w:t>
      </w:r>
      <w:r>
        <w:rPr>
          <w:rFonts w:hint="default" w:ascii="Times New Roman" w:hAnsi="Times New Roman" w:cs="Times New Roman"/>
          <w:lang w:val="en-US" w:eastAsia="zh-CN"/>
        </w:rPr>
        <w:t>和汽运车辆</w:t>
      </w:r>
      <w:r>
        <w:rPr>
          <w:rFonts w:hint="default" w:ascii="Times New Roman" w:hAnsi="Times New Roman" w:cs="Times New Roman"/>
          <w:lang w:eastAsia="zh-CN"/>
        </w:rPr>
        <w:t>驾驶人员对洗车平台规范性建设、</w:t>
      </w:r>
      <w:r>
        <w:rPr>
          <w:rFonts w:hint="default" w:ascii="Times New Roman" w:hAnsi="Times New Roman" w:cs="Times New Roman"/>
          <w:lang w:val="en-US" w:eastAsia="zh-CN"/>
        </w:rPr>
        <w:t>运用</w:t>
      </w:r>
      <w:r>
        <w:rPr>
          <w:rFonts w:hint="default" w:ascii="Times New Roman" w:hAnsi="Times New Roman" w:cs="Times New Roman"/>
          <w:lang w:eastAsia="zh-CN"/>
        </w:rPr>
        <w:t>的运行管理经验、意见或建议。</w:t>
      </w:r>
    </w:p>
    <w:p w14:paraId="7713F5B9">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r>
        <w:rPr>
          <w:rFonts w:hint="default" w:ascii="Times New Roman" w:hAnsi="Times New Roman" w:eastAsia="黑体" w:cs="Times New Roman"/>
          <w:spacing w:val="-2"/>
          <w:sz w:val="28"/>
          <w:szCs w:val="28"/>
          <w:lang w:val="en-US" w:eastAsia="zh-CN"/>
        </w:rPr>
        <w:t>（二）行业背景与发展现状</w:t>
      </w:r>
    </w:p>
    <w:p w14:paraId="5ABCB52B">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r>
        <w:rPr>
          <w:rFonts w:hint="default" w:ascii="Times New Roman" w:hAnsi="Times New Roman" w:eastAsia="黑体" w:cs="Times New Roman"/>
          <w:spacing w:val="-2"/>
          <w:sz w:val="28"/>
          <w:szCs w:val="28"/>
          <w:lang w:val="en-US" w:eastAsia="zh-CN"/>
        </w:rPr>
        <w:t>1 干散货运输行业概况</w:t>
      </w:r>
    </w:p>
    <w:p w14:paraId="53335B63">
      <w:pPr>
        <w:pStyle w:val="6"/>
        <w:pageBreakBefore w:val="0"/>
        <w:kinsoku/>
        <w:wordWrap/>
        <w:overflowPunct/>
        <w:topLinePunct w:val="0"/>
        <w:bidi w:val="0"/>
        <w:spacing w:line="362" w:lineRule="auto"/>
        <w:ind w:left="0" w:right="0" w:firstLine="480"/>
        <w:jc w:val="both"/>
        <w:outlineLvl w:val="9"/>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我国是一个人口大国、工业大国，在国民经济发展和综合运输体系中，对干散货的需求规模巨大。由于运输量大、运距长，干散货运输特别依赖水运，国家外贸进出口货物90%依靠水运完成。2022年全国港口吞吐量完成156.8亿吨，而干散货吞吐量达到92亿吨，占58.67%。干散货为主的港口及各港的干散货码头承载了中国经济和社会发展的历史重任。改革开放以来，以秦皇岛港、青岛港、唐山港、宁波港、湛江港、黄骅港为代表的大型化、高效率的新型干散货码头，走到了世界干散货港口的前列。唐山港成为中国最大的外贸进口铁矿石接卸港和煤炭能源输出港；青岛港率先在董家口港区建成中国第一个40万吨级矿石码头，配套建设堆存能力5500万吨级以上的世界最大堆场，开启国内沿海港口干散货作业的“大船时代”；大连港的40万吨级矿石码头已经成为分拨辐射日本、韩国的物流枢纽。</w:t>
      </w:r>
    </w:p>
    <w:p w14:paraId="1CA54CCB">
      <w:pPr>
        <w:pStyle w:val="6"/>
        <w:pageBreakBefore w:val="0"/>
        <w:kinsoku/>
        <w:wordWrap/>
        <w:overflowPunct/>
        <w:topLinePunct w:val="0"/>
        <w:bidi w:val="0"/>
        <w:spacing w:line="362" w:lineRule="auto"/>
        <w:ind w:left="0" w:right="0" w:firstLine="480"/>
        <w:jc w:val="both"/>
        <w:outlineLvl w:val="9"/>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进入21世纪，港口煤炭、矿石等大宗散货业务持续扩大。唐山港、黄骅港等大型矿石、煤炭港口都配置了先进的装卸工艺系统和一流的装卸设备，拥有面积巨大的堆场，显著提高了港口干散货装卸、中转、储存的能力。尤其是党的十八大以来，装船自动化技术、堆场装卸自动化技术、带式传输机技术日渐成熟，能够实现设备自动化运行、远程控制、整体流程的“一键控制”与“过程干预”相结合，以及设备状态在线监控和无人巡检等，以干散货为主要货种的港口的技术水平在世界港口中处于领先地位。但是，在我国部分内河/沿海港口及内陆中转枢纽，受限于铁路专用线建设滞后和航道通航条件制约，以及多式联运的最后一公里限制，煤炭、矿石等散货运输仍普遍采用传统汽运作业模式。该作业方式较为粗放，首要的污染效应就是产生大量扬尘，且由于运输车辆进出场频次高，污染较为持续。目前，针对汽运车辆产生的扬尘污染，采用洗车平台是最常见、最有效的污染防治措施。</w:t>
      </w:r>
    </w:p>
    <w:p w14:paraId="3B1A9305">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r>
        <w:rPr>
          <w:rFonts w:hint="default" w:ascii="Times New Roman" w:hAnsi="Times New Roman" w:eastAsia="黑体" w:cs="Times New Roman"/>
          <w:spacing w:val="-2"/>
          <w:sz w:val="28"/>
          <w:szCs w:val="28"/>
          <w:lang w:val="en-US" w:eastAsia="zh-CN"/>
        </w:rPr>
        <w:t>2 干散货运输车辆洗车平台</w:t>
      </w:r>
    </w:p>
    <w:p w14:paraId="2822D529">
      <w:pPr>
        <w:pStyle w:val="6"/>
        <w:pageBreakBefore w:val="0"/>
        <w:kinsoku/>
        <w:wordWrap/>
        <w:overflowPunct/>
        <w:topLinePunct w:val="0"/>
        <w:bidi w:val="0"/>
        <w:spacing w:line="362" w:lineRule="auto"/>
        <w:ind w:left="0" w:right="0" w:firstLine="480"/>
        <w:jc w:val="both"/>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港口干散货运输车辆洗车平台根据自动化程度可分为人工、半自动和全自动三种类型。人工清洗平台主要依赖工人手持高压水枪或工具进行作业，设备简单、灵活性高，适用于清洗频率低或车辆类型复杂的小型港口，但存在效率低、水资源浪费等问题。半自动清洗平台结合人工操作与机械喷淋装置，在中型港口应用较多，虽效率有所提升，但仍需较多人力参与。全自动清洗平台则通过智能控制系统实现全流程自动化，车辆从识别、喷淋到废水回收均无需人工干预，适用于大型港口等高流量场景，其节水节能效果显著，但初期投资和维护成本较高。</w:t>
      </w:r>
    </w:p>
    <w:p w14:paraId="385EEFDD">
      <w:pPr>
        <w:pStyle w:val="6"/>
        <w:pageBreakBefore w:val="0"/>
        <w:kinsoku/>
        <w:wordWrap/>
        <w:overflowPunct/>
        <w:topLinePunct w:val="0"/>
        <w:bidi w:val="0"/>
        <w:spacing w:line="362" w:lineRule="auto"/>
        <w:ind w:left="0" w:right="0" w:firstLine="480"/>
        <w:jc w:val="both"/>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从设备结构来看，常见类型包括隧道式连续洗车平台、连续洗车平台和小型洗车平台。隧道式连续洗车平台采用封闭式通道设计，车辆缓慢通过时由两侧（及底部、顶部）的喷嘴、喷头完成冲洗，适合堆场规模较大和运输车辆流量大的港口。连续洗车平台与隧道式连续洗车平台的主要区别在于缺少了车辆通道的顶棚，为露天布置形式，适用于冬季保温需求小及投资较小的情形。隧道式连续洗车平台和连续洗车平台通常搭载多个高压清洗喷头，冲洗通道长度较长，车辆冲洗时间长，车辆清洁效果较好。小型洗车平台适用于空间有限的港口区域，通常为小型自动洗车机等，适用于投资低的情形。</w:t>
      </w:r>
    </w:p>
    <w:p w14:paraId="1E5B373E">
      <w:pPr>
        <w:keepNext w:val="0"/>
        <w:keepLines w:val="0"/>
        <w:pageBreakBefore w:val="0"/>
        <w:widowControl w:val="0"/>
        <w:kinsoku/>
        <w:wordWrap/>
        <w:overflowPunct/>
        <w:topLinePunct w:val="0"/>
        <w:autoSpaceDE w:val="0"/>
        <w:autoSpaceDN w:val="0"/>
        <w:bidi w:val="0"/>
        <w:adjustRightInd/>
        <w:snapToGrid/>
        <w:spacing w:after="0" w:afterLines="50"/>
        <w:ind w:left="0" w:right="0"/>
        <w:jc w:val="center"/>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2520315" cy="1800225"/>
            <wp:effectExtent l="0" t="0" r="6985" b="3175"/>
            <wp:docPr id="15" name="图片 1" descr="IMG_256"/>
            <wp:cNvGraphicFramePr/>
            <a:graphic xmlns:a="http://schemas.openxmlformats.org/drawingml/2006/main">
              <a:graphicData uri="http://schemas.openxmlformats.org/drawingml/2006/picture">
                <pic:pic xmlns:pic="http://schemas.openxmlformats.org/drawingml/2006/picture">
                  <pic:nvPicPr>
                    <pic:cNvPr id="15" name="图片 1" descr="IMG_256"/>
                    <pic:cNvPicPr/>
                  </pic:nvPicPr>
                  <pic:blipFill>
                    <a:blip r:embed="rId12"/>
                    <a:srcRect b="7780"/>
                    <a:stretch>
                      <a:fillRect/>
                    </a:stretch>
                  </pic:blipFill>
                  <pic:spPr>
                    <a:xfrm>
                      <a:off x="0" y="0"/>
                      <a:ext cx="2520315" cy="1800225"/>
                    </a:xfrm>
                    <a:prstGeom prst="rect">
                      <a:avLst/>
                    </a:prstGeom>
                    <a:noFill/>
                    <a:ln w="9525">
                      <a:noFill/>
                    </a:ln>
                  </pic:spPr>
                </pic:pic>
              </a:graphicData>
            </a:graphic>
          </wp:inline>
        </w:drawing>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drawing>
          <wp:inline distT="0" distB="0" distL="114300" distR="114300">
            <wp:extent cx="2520315" cy="1800225"/>
            <wp:effectExtent l="0" t="0" r="6985" b="3175"/>
            <wp:docPr id="16" name="图片 2" descr="IMG_256"/>
            <wp:cNvGraphicFramePr/>
            <a:graphic xmlns:a="http://schemas.openxmlformats.org/drawingml/2006/main">
              <a:graphicData uri="http://schemas.openxmlformats.org/drawingml/2006/picture">
                <pic:pic xmlns:pic="http://schemas.openxmlformats.org/drawingml/2006/picture">
                  <pic:nvPicPr>
                    <pic:cNvPr id="16" name="图片 2" descr="IMG_256"/>
                    <pic:cNvPicPr/>
                  </pic:nvPicPr>
                  <pic:blipFill>
                    <a:blip r:embed="rId13"/>
                    <a:srcRect b="8113"/>
                    <a:stretch>
                      <a:fillRect/>
                    </a:stretch>
                  </pic:blipFill>
                  <pic:spPr>
                    <a:xfrm>
                      <a:off x="0" y="0"/>
                      <a:ext cx="2520315" cy="1800225"/>
                    </a:xfrm>
                    <a:prstGeom prst="rect">
                      <a:avLst/>
                    </a:prstGeom>
                    <a:noFill/>
                    <a:ln w="9525">
                      <a:noFill/>
                    </a:ln>
                  </pic:spPr>
                </pic:pic>
              </a:graphicData>
            </a:graphic>
          </wp:inline>
        </w:drawing>
      </w:r>
    </w:p>
    <w:p w14:paraId="7AF356E1">
      <w:pPr>
        <w:pageBreakBefore w:val="0"/>
        <w:kinsoku/>
        <w:wordWrap/>
        <w:overflowPunct/>
        <w:topLinePunct w:val="0"/>
        <w:bidi w:val="0"/>
        <w:ind w:left="0" w:right="0"/>
        <w:jc w:val="center"/>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1"/>
          <w:szCs w:val="21"/>
          <w:lang w:val="en-US" w:eastAsia="zh-CN"/>
        </w:rPr>
        <w:t>图</w:t>
      </w:r>
      <w:r>
        <w:rPr>
          <w:rFonts w:hint="eastAsia" w:ascii="Times New Roman" w:hAnsi="Times New Roman" w:cs="Times New Roman"/>
          <w:b/>
          <w:bCs/>
          <w:sz w:val="21"/>
          <w:szCs w:val="21"/>
          <w:lang w:val="en-US" w:eastAsia="zh-CN"/>
        </w:rPr>
        <w:t>3</w:t>
      </w:r>
      <w:r>
        <w:rPr>
          <w:rFonts w:hint="default" w:ascii="Times New Roman" w:hAnsi="Times New Roman" w:eastAsia="宋体" w:cs="Times New Roman"/>
          <w:b/>
          <w:bCs/>
          <w:sz w:val="21"/>
          <w:szCs w:val="21"/>
          <w:lang w:val="en-US" w:eastAsia="zh-CN"/>
        </w:rPr>
        <w:t xml:space="preserve">-1 </w:t>
      </w:r>
      <w:r>
        <w:rPr>
          <w:rFonts w:hint="default" w:ascii="Times New Roman" w:hAnsi="Times New Roman" w:eastAsia="宋体" w:cs="Times New Roman"/>
          <w:b/>
          <w:bCs/>
          <w:sz w:val="21"/>
          <w:szCs w:val="21"/>
        </w:rPr>
        <w:t>隧道式</w:t>
      </w:r>
      <w:r>
        <w:rPr>
          <w:rFonts w:hint="eastAsia" w:ascii="Times New Roman" w:hAnsi="Times New Roman" w:eastAsia="宋体" w:cs="Times New Roman"/>
          <w:b/>
          <w:bCs/>
          <w:sz w:val="21"/>
          <w:szCs w:val="21"/>
          <w:lang w:val="en-US" w:eastAsia="zh-CN"/>
        </w:rPr>
        <w:t>连续洗车</w:t>
      </w:r>
      <w:r>
        <w:rPr>
          <w:rFonts w:hint="default" w:ascii="Times New Roman" w:hAnsi="Times New Roman" w:eastAsia="宋体" w:cs="Times New Roman"/>
          <w:b/>
          <w:bCs/>
          <w:sz w:val="21"/>
          <w:szCs w:val="21"/>
          <w:lang w:val="en-US" w:eastAsia="zh-CN"/>
        </w:rPr>
        <w:t>平台外观</w:t>
      </w:r>
    </w:p>
    <w:p w14:paraId="715EF223">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r>
        <w:rPr>
          <w:rFonts w:hint="default" w:ascii="Times New Roman" w:hAnsi="Times New Roman" w:eastAsia="黑体" w:cs="Times New Roman"/>
          <w:spacing w:val="-2"/>
          <w:sz w:val="28"/>
          <w:szCs w:val="28"/>
          <w:lang w:val="en-US" w:eastAsia="zh-CN"/>
        </w:rPr>
        <w:t>3 洗车平台建设相关法规要求</w:t>
      </w:r>
    </w:p>
    <w:p w14:paraId="099C663A">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val="en-US" w:eastAsia="zh-CN"/>
        </w:rPr>
      </w:pPr>
      <w:r>
        <w:rPr>
          <w:rFonts w:hint="default" w:ascii="Times New Roman" w:hAnsi="Times New Roman" w:cs="Times New Roman"/>
          <w:lang w:val="en-US" w:eastAsia="zh-CN"/>
        </w:rPr>
        <w:t>我国</w:t>
      </w:r>
      <w:r>
        <w:rPr>
          <w:rFonts w:hint="default" w:ascii="Times New Roman" w:hAnsi="Times New Roman" w:cs="Times New Roman"/>
          <w:lang w:eastAsia="zh-CN"/>
        </w:rPr>
        <w:t>大气污染防治法</w:t>
      </w:r>
      <w:r>
        <w:rPr>
          <w:rFonts w:hint="default" w:ascii="Times New Roman" w:hAnsi="Times New Roman" w:cs="Times New Roman"/>
          <w:lang w:val="en-US" w:eastAsia="zh-CN"/>
        </w:rPr>
        <w:t>和部分省市污染防治条例或管理办法均提出应采取车辆清洗设施防治运输车辆扬尘，部分具体相关法律法规如下：</w:t>
      </w:r>
    </w:p>
    <w:p w14:paraId="73426014">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eastAsia="zh-CN"/>
        </w:rPr>
      </w:pPr>
      <w:r>
        <w:rPr>
          <w:rFonts w:hint="default" w:ascii="Times New Roman" w:hAnsi="Times New Roman" w:cs="Times New Roman"/>
          <w:lang w:eastAsia="zh-CN"/>
        </w:rPr>
        <w:t>《中华人民共和国大气污染防治法》第七十条</w:t>
      </w:r>
      <w:r>
        <w:rPr>
          <w:rFonts w:hint="default" w:ascii="Times New Roman" w:hAnsi="Times New Roman" w:cs="Times New Roman"/>
          <w:lang w:val="en-US" w:eastAsia="zh-CN"/>
        </w:rPr>
        <w:t xml:space="preserve">  </w:t>
      </w:r>
      <w:r>
        <w:rPr>
          <w:rFonts w:hint="default" w:ascii="Times New Roman" w:hAnsi="Times New Roman" w:cs="Times New Roman"/>
          <w:lang w:eastAsia="zh-CN"/>
        </w:rPr>
        <w:t>运输煤炭、垃圾、渣土、砂石、土方、灰浆等散装、流体物料的车辆应当采取密闭或者其他措施防止物料遗撒造成扬尘污染，并按照规定路线行驶。</w:t>
      </w:r>
    </w:p>
    <w:p w14:paraId="2113434C">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eastAsia="zh-CN"/>
        </w:rPr>
      </w:pPr>
      <w:r>
        <w:rPr>
          <w:rFonts w:hint="default" w:ascii="Times New Roman" w:hAnsi="Times New Roman" w:cs="Times New Roman"/>
          <w:lang w:eastAsia="zh-CN"/>
        </w:rPr>
        <w:t>《河北省港口污染防治条例》第二十一条  在码头堆放、装卸和运输易产生扬尘污染物料的，应当符合下列防尘要求：</w:t>
      </w:r>
    </w:p>
    <w:p w14:paraId="2353EA02">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eastAsia="zh-CN"/>
        </w:rPr>
      </w:pPr>
      <w:r>
        <w:rPr>
          <w:rFonts w:hint="default" w:ascii="Times New Roman" w:hAnsi="Times New Roman" w:cs="Times New Roman"/>
          <w:lang w:eastAsia="zh-CN"/>
        </w:rPr>
        <w:t>（六）码头堆场出口应当设置运输车辆清洗设施并保障正常运行，车辆清洗干净后方可驶出；</w:t>
      </w:r>
    </w:p>
    <w:p w14:paraId="3B20EA05">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eastAsia="zh-CN"/>
        </w:rPr>
      </w:pPr>
      <w:r>
        <w:rPr>
          <w:rFonts w:hint="default" w:ascii="Times New Roman" w:hAnsi="Times New Roman" w:cs="Times New Roman"/>
          <w:lang w:eastAsia="zh-CN"/>
        </w:rPr>
        <w:t>《山东省扬尘污染防治管理办法》第十四条  码头、堆场、露天仓库的物料堆存应当遵守下列防尘规定：</w:t>
      </w:r>
    </w:p>
    <w:p w14:paraId="567CF9C6">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eastAsia="zh-CN"/>
        </w:rPr>
      </w:pPr>
      <w:r>
        <w:rPr>
          <w:rFonts w:hint="eastAsia" w:cs="Times New Roman"/>
          <w:lang w:eastAsia="zh-CN"/>
        </w:rPr>
        <w:t>（</w:t>
      </w:r>
      <w:r>
        <w:rPr>
          <w:rFonts w:hint="default" w:ascii="Times New Roman" w:hAnsi="Times New Roman" w:cs="Times New Roman"/>
          <w:lang w:eastAsia="zh-CN"/>
        </w:rPr>
        <w:t>二</w:t>
      </w:r>
      <w:r>
        <w:rPr>
          <w:rFonts w:hint="eastAsia" w:cs="Times New Roman"/>
          <w:lang w:eastAsia="zh-CN"/>
        </w:rPr>
        <w:t>）</w:t>
      </w:r>
      <w:r>
        <w:rPr>
          <w:rFonts w:hint="default" w:ascii="Times New Roman" w:hAnsi="Times New Roman" w:cs="Times New Roman"/>
          <w:lang w:eastAsia="zh-CN"/>
        </w:rPr>
        <w:t>堆场周边应当配备高于堆存物料的围挡、防风抑尘网等设施；大型堆场应当配置车辆清洗专用设施；</w:t>
      </w:r>
    </w:p>
    <w:p w14:paraId="2103D896">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rPr>
      </w:pPr>
      <w:r>
        <w:rPr>
          <w:rFonts w:hint="default" w:ascii="Times New Roman" w:hAnsi="Times New Roman" w:cs="Times New Roman"/>
          <w:lang w:eastAsia="zh-CN"/>
        </w:rPr>
        <w:t>《福建省大气污染防治条例》第四十五条</w:t>
      </w:r>
      <w:r>
        <w:rPr>
          <w:rFonts w:hint="default" w:ascii="Times New Roman" w:hAnsi="Times New Roman" w:cs="Times New Roman"/>
          <w:lang w:val="en-US" w:eastAsia="zh-CN"/>
        </w:rPr>
        <w:t xml:space="preserve">  </w:t>
      </w:r>
      <w:r>
        <w:rPr>
          <w:rFonts w:hint="default" w:ascii="Times New Roman" w:hAnsi="Times New Roman" w:cs="Times New Roman"/>
          <w:lang w:eastAsia="zh-CN"/>
        </w:rPr>
        <w:t>物料堆放场所出口应当硬化地面并设置车辆清洗设施，运输车辆冲洗干净后方可驶出作业场所。物料堆放场所经营管理者应当及时清扫和冲洗出口处道路。</w:t>
      </w:r>
    </w:p>
    <w:p w14:paraId="6445969A">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r>
        <w:rPr>
          <w:rFonts w:hint="default" w:ascii="Times New Roman" w:hAnsi="Times New Roman" w:eastAsia="黑体" w:cs="Times New Roman"/>
          <w:spacing w:val="-2"/>
          <w:sz w:val="28"/>
          <w:szCs w:val="28"/>
          <w:lang w:val="en-US" w:eastAsia="zh-CN"/>
        </w:rPr>
        <w:t>（三）国内港口洗车平台应用情况</w:t>
      </w:r>
    </w:p>
    <w:p w14:paraId="695D3621">
      <w:pPr>
        <w:pStyle w:val="6"/>
        <w:pageBreakBefore w:val="0"/>
        <w:kinsoku/>
        <w:wordWrap/>
        <w:overflowPunct/>
        <w:topLinePunct w:val="0"/>
        <w:bidi w:val="0"/>
        <w:spacing w:line="362" w:lineRule="auto"/>
        <w:ind w:left="0" w:right="0" w:firstLine="480"/>
        <w:jc w:val="both"/>
        <w:outlineLvl w:val="9"/>
        <w:rPr>
          <w:rFonts w:hint="default" w:ascii="Times New Roman" w:hAnsi="Times New Roman" w:eastAsia="黑体" w:cs="Times New Roman"/>
          <w:spacing w:val="-2"/>
          <w:sz w:val="28"/>
          <w:szCs w:val="28"/>
          <w:lang w:val="en-US" w:eastAsia="zh-CN"/>
        </w:rPr>
      </w:pPr>
      <w:r>
        <w:rPr>
          <w:rFonts w:hint="default" w:ascii="Times New Roman" w:hAnsi="Times New Roman" w:cs="Times New Roman"/>
          <w:lang w:val="en-US" w:eastAsia="zh-CN"/>
        </w:rPr>
        <w:t>标准编写组本次共选择了国内南北方共计12家港口企业作为样本，样本港口企业分别包括唐山港集团股份有限公司煤炭码头公司、矿石码头公司、山东省港口集团有限公司青岛港董家口矿石码头、烟台港莱州港公司、日照港岚山公司、日照港海港装卸公司、太仓武港矿石码头有限公司，厦门港务集团石湖山码头有限公司、江苏连云港港口股份有限公司东方港务分公司、连云港新苏港码头有限公司、江苏盐城港响水港区港务公司及福建罗屿港。本章节首先对12家样本港口洗车平台进行介绍，在第四章对各个港口洗车平台展开总结分析。12家样本港口洗车平台基本情况如下：</w:t>
      </w:r>
    </w:p>
    <w:p w14:paraId="2DDAB94A">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14" w:name="_Toc24523"/>
      <w:r>
        <w:rPr>
          <w:rFonts w:hint="default" w:ascii="Times New Roman" w:hAnsi="Times New Roman" w:eastAsia="黑体" w:cs="Times New Roman"/>
          <w:spacing w:val="-2"/>
          <w:sz w:val="28"/>
          <w:szCs w:val="28"/>
          <w:lang w:val="en-US" w:eastAsia="zh-CN"/>
        </w:rPr>
        <w:t>1 唐山港集团股份有限公司矿石码头</w:t>
      </w:r>
      <w:bookmarkEnd w:id="14"/>
    </w:p>
    <w:p w14:paraId="67E66AAC">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（1）选址与布置</w:t>
      </w:r>
    </w:p>
    <w:p w14:paraId="3BC307E5">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val="en-US" w:eastAsia="zh-CN"/>
        </w:rPr>
      </w:pPr>
      <w:r>
        <w:rPr>
          <w:rFonts w:hint="default" w:ascii="Times New Roman" w:hAnsi="Times New Roman" w:cs="Times New Roman"/>
          <w:lang w:val="en-US" w:eastAsia="zh-CN"/>
        </w:rPr>
        <w:t>唐山港集团股份有限公司矿石码头洗车平台位于港区出口，为隧道式连续洗车平台，共设置了5个分区，分别为车辆导入区、高压粗洗区、侧喷洗车区、底喷洗车区和沥水风干区。矿石码头洗车平台，如图3</w:t>
      </w:r>
      <w:r>
        <w:rPr>
          <w:rFonts w:hint="eastAsia" w:ascii="Times New Roman" w:hAnsi="Times New Roman" w:cs="Times New Roman"/>
          <w:lang w:val="en-US" w:eastAsia="zh-CN"/>
        </w:rPr>
        <w:t>-2</w:t>
      </w:r>
      <w:r>
        <w:rPr>
          <w:rFonts w:hint="default" w:ascii="Times New Roman" w:hAnsi="Times New Roman" w:cs="Times New Roman"/>
          <w:lang w:val="en-US" w:eastAsia="zh-CN"/>
        </w:rPr>
        <w:t>所示。</w:t>
      </w:r>
    </w:p>
    <w:p w14:paraId="7433EFB7">
      <w:pPr>
        <w:pageBreakBefore w:val="0"/>
        <w:numPr>
          <w:ilvl w:val="0"/>
          <w:numId w:val="0"/>
        </w:numPr>
        <w:kinsoku/>
        <w:wordWrap/>
        <w:overflowPunct/>
        <w:topLinePunct w:val="0"/>
        <w:bidi w:val="0"/>
        <w:ind w:left="0" w:leftChars="0" w:right="0"/>
        <w:jc w:val="center"/>
        <w:rPr>
          <w:rFonts w:hint="default" w:ascii="Times New Roman" w:hAnsi="Times New Roman" w:cs="Times New Roman"/>
          <w:sz w:val="24"/>
          <w:szCs w:val="32"/>
          <w:lang w:val="en-US" w:eastAsia="zh-CN"/>
        </w:rPr>
      </w:pPr>
      <w:r>
        <w:rPr>
          <w:rFonts w:hint="default" w:ascii="Times New Roman" w:hAnsi="Times New Roman" w:eastAsia="宋体" w:cs="Times New Roman"/>
          <w:sz w:val="24"/>
          <w:szCs w:val="24"/>
        </w:rPr>
        <w:drawing>
          <wp:inline distT="0" distB="0" distL="114300" distR="114300">
            <wp:extent cx="2520315" cy="1419860"/>
            <wp:effectExtent l="0" t="0" r="13335" b="8890"/>
            <wp:docPr id="61"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 descr="IMG_256"/>
                    <pic:cNvPicPr>
                      <a:picLocks noChangeAspect="1"/>
                    </pic:cNvPicPr>
                  </pic:nvPicPr>
                  <pic:blipFill>
                    <a:blip r:embed="rId14"/>
                    <a:srcRect t="11830"/>
                    <a:stretch>
                      <a:fillRect/>
                    </a:stretch>
                  </pic:blipFill>
                  <pic:spPr>
                    <a:xfrm>
                      <a:off x="0" y="0"/>
                      <a:ext cx="2520315" cy="1419860"/>
                    </a:xfrm>
                    <a:prstGeom prst="rect">
                      <a:avLst/>
                    </a:prstGeom>
                    <a:noFill/>
                    <a:ln w="9525">
                      <a:noFill/>
                    </a:ln>
                  </pic:spPr>
                </pic:pic>
              </a:graphicData>
            </a:graphic>
          </wp:inline>
        </w:drawing>
      </w:r>
      <w:r>
        <w:rPr>
          <w:rFonts w:hint="default" w:ascii="Times New Roman" w:hAnsi="Times New Roman" w:cs="Times New Roman"/>
          <w:lang w:val="en-US" w:eastAsia="zh-CN"/>
        </w:rPr>
        <w:t xml:space="preserve"> </w:t>
      </w:r>
      <w:r>
        <w:rPr>
          <w:rFonts w:hint="default" w:ascii="Times New Roman" w:hAnsi="Times New Roman" w:cs="Times New Roman"/>
          <w:sz w:val="24"/>
          <w:szCs w:val="32"/>
          <w:lang w:val="en-US" w:eastAsia="zh-CN"/>
        </w:rPr>
        <w:drawing>
          <wp:inline distT="0" distB="0" distL="114300" distR="114300">
            <wp:extent cx="2520315" cy="1418590"/>
            <wp:effectExtent l="0" t="0" r="13335" b="10160"/>
            <wp:docPr id="28" name="图片 28" descr="1733895777674"/>
            <wp:cNvGraphicFramePr/>
            <a:graphic xmlns:a="http://schemas.openxmlformats.org/drawingml/2006/main">
              <a:graphicData uri="http://schemas.openxmlformats.org/drawingml/2006/picture">
                <pic:pic xmlns:pic="http://schemas.openxmlformats.org/drawingml/2006/picture">
                  <pic:nvPicPr>
                    <pic:cNvPr id="28" name="图片 28" descr="1733895777674"/>
                    <pic:cNvPicPr/>
                  </pic:nvPicPr>
                  <pic:blipFill>
                    <a:blip r:embed="rId15"/>
                    <a:stretch>
                      <a:fillRect/>
                    </a:stretch>
                  </pic:blipFill>
                  <pic:spPr>
                    <a:xfrm>
                      <a:off x="0" y="0"/>
                      <a:ext cx="2520315" cy="1418590"/>
                    </a:xfrm>
                    <a:prstGeom prst="rect">
                      <a:avLst/>
                    </a:prstGeom>
                  </pic:spPr>
                </pic:pic>
              </a:graphicData>
            </a:graphic>
          </wp:inline>
        </w:drawing>
      </w:r>
    </w:p>
    <w:p w14:paraId="21E5EBB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sz w:val="24"/>
          <w:szCs w:val="32"/>
          <w:lang w:val="en-US" w:eastAsia="zh-CN"/>
        </w:rPr>
      </w:pPr>
      <w:r>
        <w:rPr>
          <w:rFonts w:hint="default" w:ascii="Times New Roman" w:hAnsi="Times New Roman" w:eastAsia="宋体" w:cs="Times New Roman"/>
          <w:b/>
          <w:bCs/>
          <w:sz w:val="21"/>
          <w:szCs w:val="21"/>
          <w:lang w:val="en-US" w:eastAsia="zh-CN"/>
        </w:rPr>
        <w:t>图3-</w:t>
      </w:r>
      <w:r>
        <w:rPr>
          <w:rFonts w:hint="eastAsia" w:ascii="Times New Roman" w:hAnsi="Times New Roman" w:cs="Times New Roman"/>
          <w:b/>
          <w:bCs/>
          <w:sz w:val="21"/>
          <w:szCs w:val="21"/>
          <w:lang w:val="en-US" w:eastAsia="zh-CN"/>
        </w:rPr>
        <w:t>2</w:t>
      </w:r>
      <w:r>
        <w:rPr>
          <w:rFonts w:hint="default" w:ascii="Times New Roman" w:hAnsi="Times New Roman" w:eastAsia="宋体" w:cs="Times New Roman"/>
          <w:b/>
          <w:bCs/>
          <w:sz w:val="21"/>
          <w:szCs w:val="21"/>
          <w:lang w:val="en-US" w:eastAsia="zh-CN"/>
        </w:rPr>
        <w:t xml:space="preserve"> 唐山港集团股份有限公司矿石码头洗车平台</w:t>
      </w:r>
    </w:p>
    <w:p w14:paraId="1B5BD21B">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（2）建设材质、规格及形式</w:t>
      </w:r>
    </w:p>
    <w:p w14:paraId="0B3D0F88">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val="en-US" w:eastAsia="zh-CN"/>
        </w:rPr>
      </w:pPr>
      <w:r>
        <w:rPr>
          <w:rFonts w:hint="default" w:ascii="Times New Roman" w:hAnsi="Times New Roman" w:cs="Times New Roman"/>
          <w:lang w:val="en-US" w:eastAsia="zh-CN"/>
        </w:rPr>
        <w:t>矿石码头洗车平台基础采用钢筋混凝土结构，共设置2个车道，在每个车道两侧均设置挡墙，防止污水飞溅。洗车平台总长度为128m，包括车轮清洗区30m，粗洗区40m，精洗区28m，吹干区30m。</w:t>
      </w:r>
    </w:p>
    <w:p w14:paraId="71952E75">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（3）相关设施、设备组成</w:t>
      </w:r>
    </w:p>
    <w:p w14:paraId="2AC71D87">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val="en-US" w:eastAsia="zh-CN"/>
        </w:rPr>
      </w:pPr>
      <w:r>
        <w:rPr>
          <w:rFonts w:hint="default" w:ascii="Times New Roman" w:hAnsi="Times New Roman" w:cs="Times New Roman"/>
          <w:lang w:val="en-US" w:eastAsia="zh-CN"/>
        </w:rPr>
        <w:t>唐山港集团股份有限公司洗车平台主要由车辆识别感应单元、封闭保温单元、洗车系统单元、风干系统单元、污水收集处理单元、污泥处理单元、中水存储单元等组成。</w:t>
      </w:r>
    </w:p>
    <w:p w14:paraId="7EC25FD9">
      <w:pPr>
        <w:pStyle w:val="6"/>
        <w:pageBreakBefore w:val="0"/>
        <w:kinsoku/>
        <w:wordWrap/>
        <w:overflowPunct/>
        <w:topLinePunct w:val="0"/>
        <w:bidi w:val="0"/>
        <w:spacing w:line="362" w:lineRule="auto"/>
        <w:ind w:left="0" w:right="0" w:firstLine="480"/>
        <w:jc w:val="both"/>
        <w:outlineLvl w:val="9"/>
        <w:rPr>
          <w:rFonts w:hint="default" w:ascii="Times New Roman" w:hAnsi="Times New Roman" w:eastAsia="宋体" w:cs="Times New Roman"/>
          <w:kern w:val="2"/>
          <w:sz w:val="24"/>
          <w:szCs w:val="22"/>
          <w:lang w:val="en-US" w:eastAsia="zh-CN"/>
        </w:rPr>
      </w:pPr>
      <w:r>
        <w:rPr>
          <w:rFonts w:hint="default" w:ascii="Times New Roman" w:hAnsi="Times New Roman" w:cs="Times New Roman"/>
          <w:lang w:val="en-US" w:eastAsia="zh-CN"/>
        </w:rPr>
        <w:t>车辆识别感应单元主要包括车辆识别装置、道闸、PLC控制装置、光电传感器。在车辆导入区、高压粗洗区和沥水风干区前，分别安装车辆识别装置及道闸，每个车道设置3组道闸，通过控制车辆进入及离开的时间，控制车速，实现车辆清洗、风干时间不少于1min。封闭保温单元主要为防风保温罩棚，实现防风、保温的作用。罩棚采用钢结构框架，侧面采用彩钢板包覆，顶部采用间断性彩钢板、阳光板敷设，保证洗车平台的采光需求。洗车系统单元由管路、喷嘴、电磁阀及保温伴热装置等组成。风干系统单元由高压风机、管道、吹干风刀机、吹干鼓风机等组成。污水收集处理单元由四级沉淀池、一体化混凝反应沉淀池等组成。污泥处理单元由压滤机房、污泥抓斗机、皮带机、漏斗、管道等组成。中水存储单元包括保温增压水箱、变频增压泵组（2用1备），通过箱体保温材料及电伴热、加热棒、太阳能加热、空气能加热等辅助电加热装置，实现对水箱内水温的控制，满足全年生产作业洗车平台用水需求（加热、调节、增压等）。</w:t>
      </w:r>
    </w:p>
    <w:p w14:paraId="6908F2E6">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（4）冲洗系统</w:t>
      </w:r>
    </w:p>
    <w:p w14:paraId="25219D36">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val="en-US" w:eastAsia="zh-CN"/>
        </w:rPr>
      </w:pPr>
      <w:r>
        <w:rPr>
          <w:rFonts w:hint="default" w:ascii="Times New Roman" w:hAnsi="Times New Roman" w:cs="Times New Roman"/>
          <w:lang w:val="en-US" w:eastAsia="zh-CN"/>
        </w:rPr>
        <w:t>唐山港集团股份有限公司洗车平台冲洗系统在通道内设置了底喷和侧喷，洗车喷水道由车轮冲洗区14m（低）+车厢冲洗区7m（高）组成，侧喷喷头采用万向连接件，安装在洗车喷水道两侧，对车辆轮胎和底盘侧面进行冲洗。每条洗车喷水道设置单独的供水管道。水源来自清水箱，供水管路前设置管道式过滤装置，具备粗滤和精滤功能。每条排水沟内设置冲洗装置，保证沟内淤泥能够自动清理。同时，洗车喷水道沿线两侧布置手动冲洗箱，用于对洗车喷水道的临时冲洗，需满足整个喷水道全覆盖。</w:t>
      </w:r>
    </w:p>
    <w:p w14:paraId="1EB2FD33">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b/>
          <w:bCs/>
          <w:sz w:val="24"/>
          <w:szCs w:val="32"/>
          <w:lang w:val="en-US" w:eastAsia="zh-CN"/>
        </w:rPr>
      </w:pPr>
      <w:r>
        <w:rPr>
          <w:rFonts w:hint="default" w:ascii="Times New Roman" w:hAnsi="Times New Roman" w:cs="Times New Roman"/>
          <w:lang w:val="en-US" w:eastAsia="zh-CN"/>
        </w:rPr>
        <w:t>洗车平台冲洗原理为车辆进入此区域自动触发车辆识别传感器以启动整套系统工作，系统恒压供水泵组启动，每组底喷、侧喷依据车辆识别传感器延时启动，利于节约用水。车辆匀速前进，每组喷嘴依次工作，对车辆的轮胎和底盘集中冲洗，车辆驶出洗车喷水道，保证轮胎和底盘附带的泥沙被去除。</w:t>
      </w:r>
    </w:p>
    <w:p w14:paraId="23465345">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（5）污水处置与利用</w:t>
      </w:r>
    </w:p>
    <w:p w14:paraId="0CDF7EEF">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val="en-US" w:eastAsia="zh-CN"/>
        </w:rPr>
      </w:pPr>
      <w:r>
        <w:rPr>
          <w:rFonts w:hint="default" w:ascii="Times New Roman" w:hAnsi="Times New Roman" w:cs="Times New Roman"/>
          <w:lang w:val="en-US" w:eastAsia="zh-CN"/>
        </w:rPr>
        <w:t>唐山港集团股份有限公司洗车平台每条车道敷设6组钢结构格栅板用于洗车污水收集，每组格栅板长度不低于6m，宽度不低于1.5m，高度不低于0.3m，分两侧布置。喷水道钢格栅底部设置排水沟，深度和宽度保证排水通畅，排水沟底部设置光滑面，污水自动流向预沉调节池。设置自清洁系统，可在洗车作业间隙，通过手动/自动（可预设时间间隔）的方式开启，通过自清洗喷头水力助排，防止积泥堵塞，对喷水道及其底部导流板自我清洁，减少人工清污的工作量，保证沟内淤泥能够自动清理。</w:t>
      </w:r>
    </w:p>
    <w:p w14:paraId="07B067A3">
      <w:pPr>
        <w:pStyle w:val="6"/>
        <w:bidi w:val="0"/>
        <w:rPr>
          <w:rFonts w:hint="default"/>
          <w:lang w:val="en-US" w:eastAsia="zh-CN"/>
        </w:rPr>
      </w:pPr>
      <w:r>
        <w:rPr>
          <w:rFonts w:hint="default"/>
          <w:lang w:val="en-US" w:eastAsia="zh-CN"/>
        </w:rPr>
        <w:t>产生的污水收集到预沉调节池，上清液通过滗水器进入上清液池，上清液池设置搅拌功能，防止沉积，上清液经过加药处理后进入一体化污水处理设备，处理后设置返回清水箱回用。预沉调节池底层污泥通过刮吸泥机进入集泥池，集泥池设置搅拌功能，防止沉积，污泥通过柱塞泵进入压滤机进行压滤处理，产出的泥饼通过输送机收集至集泥斗集中处置。</w:t>
      </w:r>
    </w:p>
    <w:p w14:paraId="49E1CC4D">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15" w:name="_Toc2876"/>
      <w:r>
        <w:rPr>
          <w:rFonts w:hint="default" w:ascii="Times New Roman" w:hAnsi="Times New Roman" w:eastAsia="黑体" w:cs="Times New Roman"/>
          <w:spacing w:val="-2"/>
          <w:sz w:val="28"/>
          <w:szCs w:val="28"/>
          <w:lang w:val="en-US" w:eastAsia="zh-CN"/>
        </w:rPr>
        <w:t>2 唐山港集团股份有限公司煤炭码头</w:t>
      </w:r>
      <w:bookmarkEnd w:id="15"/>
    </w:p>
    <w:p w14:paraId="37347C6C">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（1）选址与布置</w:t>
      </w:r>
    </w:p>
    <w:p w14:paraId="5B3CFF58">
      <w:pPr>
        <w:pStyle w:val="6"/>
        <w:bidi w:val="0"/>
        <w:rPr>
          <w:rFonts w:hint="default"/>
          <w:lang w:val="en-US" w:eastAsia="zh-CN"/>
        </w:rPr>
      </w:pPr>
      <w:r>
        <w:rPr>
          <w:rFonts w:hint="default"/>
          <w:lang w:val="en-US" w:eastAsia="zh-CN"/>
        </w:rPr>
        <w:t>唐山港集团股份有限公司矿石码头洗车平台同样设置于港区出口，为隧道式连续洗车平台，如图3-</w:t>
      </w:r>
      <w:r>
        <w:rPr>
          <w:rFonts w:hint="eastAsia"/>
          <w:lang w:val="en-US" w:eastAsia="zh-CN"/>
        </w:rPr>
        <w:t>3</w:t>
      </w:r>
      <w:r>
        <w:rPr>
          <w:rFonts w:hint="default"/>
          <w:lang w:val="en-US" w:eastAsia="zh-CN"/>
        </w:rPr>
        <w:t>所示。</w:t>
      </w:r>
    </w:p>
    <w:p w14:paraId="7D7E9334">
      <w:pPr>
        <w:pageBreakBefore w:val="0"/>
        <w:numPr>
          <w:ilvl w:val="0"/>
          <w:numId w:val="0"/>
        </w:numPr>
        <w:kinsoku/>
        <w:wordWrap/>
        <w:overflowPunct/>
        <w:topLinePunct w:val="0"/>
        <w:bidi w:val="0"/>
        <w:ind w:left="0" w:leftChars="0" w:right="0"/>
        <w:jc w:val="center"/>
        <w:rPr>
          <w:rFonts w:hint="default" w:ascii="Times New Roman" w:hAnsi="Times New Roman" w:cs="Times New Roman"/>
          <w:sz w:val="24"/>
          <w:szCs w:val="32"/>
          <w:lang w:val="en-US" w:eastAsia="zh-CN"/>
        </w:rPr>
      </w:pPr>
      <w:r>
        <w:rPr>
          <w:rFonts w:hint="default" w:ascii="Times New Roman" w:hAnsi="Times New Roman" w:cs="Times New Roman"/>
          <w:sz w:val="24"/>
          <w:szCs w:val="32"/>
          <w:lang w:val="en-US" w:eastAsia="zh-CN"/>
        </w:rPr>
        <w:drawing>
          <wp:inline distT="0" distB="0" distL="114300" distR="114300">
            <wp:extent cx="2520315" cy="1417955"/>
            <wp:effectExtent l="0" t="0" r="13335" b="10795"/>
            <wp:docPr id="29" name="图片 29" descr="1497431fd7c9f7478743aa3a5d071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497431fd7c9f7478743aa3a5d0717f"/>
                    <pic:cNvPicPr>
                      <a:picLocks noChangeAspect="1"/>
                    </pic:cNvPicPr>
                  </pic:nvPicPr>
                  <pic:blipFill>
                    <a:blip r:embed="rId16"/>
                    <a:stretch>
                      <a:fillRect/>
                    </a:stretch>
                  </pic:blipFill>
                  <pic:spPr>
                    <a:xfrm>
                      <a:off x="0" y="0"/>
                      <a:ext cx="2520315" cy="1417955"/>
                    </a:xfrm>
                    <a:prstGeom prst="rect">
                      <a:avLst/>
                    </a:prstGeom>
                  </pic:spPr>
                </pic:pic>
              </a:graphicData>
            </a:graphic>
          </wp:inline>
        </w:drawing>
      </w:r>
      <w:r>
        <w:rPr>
          <w:rFonts w:hint="default" w:ascii="Times New Roman" w:hAnsi="Times New Roman" w:cs="Times New Roman"/>
          <w:sz w:val="24"/>
          <w:szCs w:val="32"/>
          <w:lang w:val="en-US" w:eastAsia="zh-CN"/>
        </w:rPr>
        <w:t xml:space="preserve"> </w:t>
      </w:r>
      <w:r>
        <w:rPr>
          <w:rFonts w:hint="default" w:ascii="Times New Roman" w:hAnsi="Times New Roman" w:cs="Times New Roman"/>
          <w:sz w:val="24"/>
          <w:szCs w:val="32"/>
          <w:lang w:val="en-US" w:eastAsia="zh-CN"/>
        </w:rPr>
        <w:drawing>
          <wp:inline distT="0" distB="0" distL="114300" distR="114300">
            <wp:extent cx="2520315" cy="1417955"/>
            <wp:effectExtent l="0" t="0" r="13335" b="10795"/>
            <wp:docPr id="30" name="图片 30" descr="1ca7891a8df5082f492f768ec7bdc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ca7891a8df5082f492f768ec7bdc49"/>
                    <pic:cNvPicPr>
                      <a:picLocks noChangeAspect="1"/>
                    </pic:cNvPicPr>
                  </pic:nvPicPr>
                  <pic:blipFill>
                    <a:blip r:embed="rId17"/>
                    <a:stretch>
                      <a:fillRect/>
                    </a:stretch>
                  </pic:blipFill>
                  <pic:spPr>
                    <a:xfrm>
                      <a:off x="0" y="0"/>
                      <a:ext cx="2520315" cy="1417955"/>
                    </a:xfrm>
                    <a:prstGeom prst="rect">
                      <a:avLst/>
                    </a:prstGeom>
                  </pic:spPr>
                </pic:pic>
              </a:graphicData>
            </a:graphic>
          </wp:inline>
        </w:drawing>
      </w:r>
    </w:p>
    <w:p w14:paraId="162C1F2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图3-</w:t>
      </w:r>
      <w:r>
        <w:rPr>
          <w:rFonts w:hint="eastAsia" w:ascii="Times New Roman" w:hAnsi="Times New Roman" w:cs="Times New Roman"/>
          <w:b/>
          <w:bCs/>
          <w:sz w:val="21"/>
          <w:szCs w:val="21"/>
          <w:lang w:val="en-US" w:eastAsia="zh-CN"/>
        </w:rPr>
        <w:t>3</w:t>
      </w:r>
      <w:r>
        <w:rPr>
          <w:rFonts w:hint="default" w:ascii="Times New Roman" w:hAnsi="Times New Roman" w:eastAsia="宋体" w:cs="Times New Roman"/>
          <w:b/>
          <w:bCs/>
          <w:sz w:val="21"/>
          <w:szCs w:val="21"/>
          <w:lang w:val="en-US" w:eastAsia="zh-CN"/>
        </w:rPr>
        <w:t xml:space="preserve"> 唐山港集团股份有限公司煤炭码头洗车平台</w:t>
      </w:r>
    </w:p>
    <w:p w14:paraId="07D9DA37">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（2）建设材质、规格及形式</w:t>
      </w:r>
    </w:p>
    <w:p w14:paraId="0C795AD6">
      <w:pPr>
        <w:pStyle w:val="6"/>
        <w:bidi w:val="0"/>
        <w:rPr>
          <w:rFonts w:hint="default"/>
          <w:lang w:val="en-US" w:eastAsia="zh-CN"/>
        </w:rPr>
      </w:pPr>
      <w:r>
        <w:rPr>
          <w:rFonts w:hint="default"/>
          <w:lang w:val="en-US" w:eastAsia="zh-CN"/>
        </w:rPr>
        <w:t>煤炭码头洗车平台总长56m，两条车道净宽9.6m，分为喷水冲洗车道21m（车轮冲洗区14m（低）+车厢冲洗区7m（高））和自然沥水14m+喷气道21m，底部喷水系统每条车道敷设6组钢结构格栅板（长6m，宽度1.5m），分两侧布置，钢结构格栅板采用热浸锌方式加工，承重能力150</w:t>
      </w:r>
      <w:r>
        <w:rPr>
          <w:rFonts w:hint="eastAsia"/>
          <w:lang w:val="en-US" w:eastAsia="zh-CN"/>
        </w:rPr>
        <w:t>t</w:t>
      </w:r>
      <w:r>
        <w:rPr>
          <w:rFonts w:hint="default"/>
          <w:lang w:val="en-US" w:eastAsia="zh-CN"/>
        </w:rPr>
        <w:t>，满足疏港车辆正常通行。</w:t>
      </w:r>
    </w:p>
    <w:p w14:paraId="0BD27EEE">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（3）相关设施、设备组成</w:t>
      </w:r>
    </w:p>
    <w:p w14:paraId="65E2D7EF">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val="en-US" w:eastAsia="zh-CN"/>
        </w:rPr>
      </w:pPr>
      <w:r>
        <w:rPr>
          <w:rFonts w:hint="default" w:ascii="Times New Roman" w:hAnsi="Times New Roman" w:cs="Times New Roman"/>
          <w:lang w:val="en-US" w:eastAsia="zh-CN"/>
        </w:rPr>
        <w:t>同3.1章节 矿石码头。</w:t>
      </w:r>
    </w:p>
    <w:p w14:paraId="2AB7F4A0">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（4）冲洗系统</w:t>
      </w:r>
    </w:p>
    <w:p w14:paraId="0E33DD04">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val="en-US" w:eastAsia="zh-CN"/>
        </w:rPr>
      </w:pPr>
      <w:r>
        <w:rPr>
          <w:rFonts w:hint="default" w:ascii="Times New Roman" w:hAnsi="Times New Roman" w:cs="Times New Roman"/>
          <w:lang w:val="en-US" w:eastAsia="zh-CN"/>
        </w:rPr>
        <w:t>同3.1章节 矿石码头。</w:t>
      </w:r>
    </w:p>
    <w:p w14:paraId="37F8B566">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（5）污水处置与利用</w:t>
      </w:r>
    </w:p>
    <w:p w14:paraId="582F5FB0">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val="en-US" w:eastAsia="zh-CN"/>
        </w:rPr>
      </w:pPr>
      <w:r>
        <w:rPr>
          <w:rFonts w:hint="default" w:ascii="Times New Roman" w:hAnsi="Times New Roman" w:cs="Times New Roman"/>
          <w:lang w:val="en-US" w:eastAsia="zh-CN"/>
        </w:rPr>
        <w:t>同3.1章节 矿石码头。</w:t>
      </w:r>
    </w:p>
    <w:p w14:paraId="31544E3B">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16" w:name="_Toc14586"/>
      <w:r>
        <w:rPr>
          <w:rFonts w:hint="default" w:ascii="Times New Roman" w:hAnsi="Times New Roman" w:eastAsia="黑体" w:cs="Times New Roman"/>
          <w:spacing w:val="-2"/>
          <w:sz w:val="28"/>
          <w:szCs w:val="28"/>
          <w:lang w:val="en-US" w:eastAsia="zh-CN"/>
        </w:rPr>
        <w:t>3 山东港口青岛港董家口矿石码头</w:t>
      </w:r>
      <w:bookmarkEnd w:id="16"/>
    </w:p>
    <w:p w14:paraId="6EFB4B60">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（1）选址与布置</w:t>
      </w:r>
    </w:p>
    <w:p w14:paraId="5E53497C">
      <w:pPr>
        <w:pStyle w:val="6"/>
        <w:bidi w:val="0"/>
        <w:rPr>
          <w:rFonts w:hint="default"/>
          <w:lang w:val="en-US" w:eastAsia="zh-CN"/>
        </w:rPr>
      </w:pPr>
      <w:r>
        <w:rPr>
          <w:rFonts w:hint="default"/>
          <w:lang w:val="en-US" w:eastAsia="zh-CN"/>
        </w:rPr>
        <w:t>山东港口青岛港董家口矿石码头在堆场建设两座洗车平台，分别位于码头前沿搬倒区域，以及汽运车辆出港通道，如图3-</w:t>
      </w:r>
      <w:r>
        <w:rPr>
          <w:rFonts w:hint="eastAsia"/>
          <w:lang w:val="en-US" w:eastAsia="zh-CN"/>
        </w:rPr>
        <w:t>4</w:t>
      </w:r>
      <w:r>
        <w:rPr>
          <w:rFonts w:hint="default"/>
          <w:lang w:val="en-US" w:eastAsia="zh-CN"/>
        </w:rPr>
        <w:t>所示。</w:t>
      </w:r>
    </w:p>
    <w:p w14:paraId="10C985A3">
      <w:pPr>
        <w:pageBreakBefore w:val="0"/>
        <w:numPr>
          <w:ilvl w:val="0"/>
          <w:numId w:val="0"/>
        </w:numPr>
        <w:kinsoku/>
        <w:wordWrap/>
        <w:overflowPunct/>
        <w:topLinePunct w:val="0"/>
        <w:bidi w:val="0"/>
        <w:ind w:left="0" w:leftChars="0" w:right="0"/>
        <w:jc w:val="center"/>
        <w:rPr>
          <w:rFonts w:hint="default" w:ascii="Times New Roman" w:hAnsi="Times New Roman" w:cs="Times New Roman"/>
          <w:sz w:val="28"/>
          <w:szCs w:val="24"/>
        </w:rPr>
      </w:pPr>
      <w:r>
        <w:rPr>
          <w:rFonts w:hint="default" w:ascii="Times New Roman" w:hAnsi="Times New Roman" w:cs="Times New Roman"/>
          <w:sz w:val="28"/>
          <w:szCs w:val="24"/>
        </w:rPr>
        <w:drawing>
          <wp:inline distT="0" distB="0" distL="114300" distR="114300">
            <wp:extent cx="2520315" cy="1418590"/>
            <wp:effectExtent l="0" t="0" r="13335" b="10160"/>
            <wp:docPr id="4" name="图片 1"/>
            <wp:cNvGraphicFramePr/>
            <a:graphic xmlns:a="http://schemas.openxmlformats.org/drawingml/2006/main">
              <a:graphicData uri="http://schemas.openxmlformats.org/drawingml/2006/picture">
                <pic:pic xmlns:pic="http://schemas.openxmlformats.org/drawingml/2006/picture">
                  <pic:nvPicPr>
                    <pic:cNvPr id="4" name="图片 1"/>
                    <pic:cNvPicPr/>
                  </pic:nvPicPr>
                  <pic:blipFill>
                    <a:blip r:embed="rId18"/>
                    <a:srcRect t="7723" b="13432"/>
                    <a:stretch>
                      <a:fillRect/>
                    </a:stretch>
                  </pic:blipFill>
                  <pic:spPr>
                    <a:xfrm>
                      <a:off x="0" y="0"/>
                      <a:ext cx="2520315" cy="1418590"/>
                    </a:xfrm>
                    <a:prstGeom prst="rect">
                      <a:avLst/>
                    </a:prstGeom>
                    <a:noFill/>
                    <a:ln>
                      <a:noFill/>
                    </a:ln>
                  </pic:spPr>
                </pic:pic>
              </a:graphicData>
            </a:graphic>
          </wp:inline>
        </w:drawing>
      </w:r>
      <w:r>
        <w:rPr>
          <w:rFonts w:hint="default" w:ascii="Times New Roman" w:hAnsi="Times New Roman" w:cs="Times New Roman"/>
          <w:sz w:val="28"/>
          <w:szCs w:val="24"/>
          <w:lang w:val="en-US" w:eastAsia="zh-CN"/>
        </w:rPr>
        <w:t xml:space="preserve"> </w:t>
      </w:r>
      <w:r>
        <w:rPr>
          <w:rFonts w:hint="default" w:ascii="Times New Roman" w:hAnsi="Times New Roman" w:cs="Times New Roman"/>
          <w:sz w:val="28"/>
          <w:szCs w:val="24"/>
        </w:rPr>
        <w:drawing>
          <wp:inline distT="0" distB="0" distL="114300" distR="114300">
            <wp:extent cx="2520315" cy="1418590"/>
            <wp:effectExtent l="0" t="0" r="13335" b="10160"/>
            <wp:docPr id="5" name="图片 2"/>
            <wp:cNvGraphicFramePr/>
            <a:graphic xmlns:a="http://schemas.openxmlformats.org/drawingml/2006/main">
              <a:graphicData uri="http://schemas.openxmlformats.org/drawingml/2006/picture">
                <pic:pic xmlns:pic="http://schemas.openxmlformats.org/drawingml/2006/picture">
                  <pic:nvPicPr>
                    <pic:cNvPr id="5" name="图片 2"/>
                    <pic:cNvPicPr/>
                  </pic:nvPicPr>
                  <pic:blipFill>
                    <a:blip r:embed="rId19"/>
                    <a:srcRect t="10745" b="10175"/>
                    <a:stretch>
                      <a:fillRect/>
                    </a:stretch>
                  </pic:blipFill>
                  <pic:spPr>
                    <a:xfrm>
                      <a:off x="0" y="0"/>
                      <a:ext cx="2520315" cy="1418590"/>
                    </a:xfrm>
                    <a:prstGeom prst="rect">
                      <a:avLst/>
                    </a:prstGeom>
                    <a:noFill/>
                    <a:ln>
                      <a:noFill/>
                    </a:ln>
                  </pic:spPr>
                </pic:pic>
              </a:graphicData>
            </a:graphic>
          </wp:inline>
        </w:drawing>
      </w:r>
    </w:p>
    <w:p w14:paraId="3954A1A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图3-</w:t>
      </w:r>
      <w:r>
        <w:rPr>
          <w:rFonts w:hint="eastAsia" w:ascii="Times New Roman" w:hAnsi="Times New Roman" w:cs="Times New Roman"/>
          <w:b/>
          <w:bCs/>
          <w:sz w:val="21"/>
          <w:szCs w:val="21"/>
          <w:lang w:val="en-US" w:eastAsia="zh-CN"/>
        </w:rPr>
        <w:t>4</w:t>
      </w:r>
      <w:r>
        <w:rPr>
          <w:rFonts w:hint="default" w:ascii="Times New Roman" w:hAnsi="Times New Roman" w:eastAsia="宋体" w:cs="Times New Roman"/>
          <w:b/>
          <w:bCs/>
          <w:sz w:val="21"/>
          <w:szCs w:val="21"/>
          <w:lang w:val="en-US" w:eastAsia="zh-CN"/>
        </w:rPr>
        <w:t xml:space="preserve"> 青岛港董家口矿石码头洗车平台</w:t>
      </w:r>
    </w:p>
    <w:p w14:paraId="157DF161">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（2）建设材质、规格及形式</w:t>
      </w:r>
    </w:p>
    <w:p w14:paraId="7CD5BDF3">
      <w:pPr>
        <w:pStyle w:val="6"/>
        <w:bidi w:val="0"/>
        <w:rPr>
          <w:rFonts w:hint="default" w:ascii="Times New Roman" w:hAnsi="Times New Roman" w:cs="Times New Roman"/>
          <w:lang w:val="en-US" w:eastAsia="zh-CN"/>
        </w:rPr>
      </w:pP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山东省港口集团有限公司青岛港董家口矿石码头洗车平台均为通道式洗车平台，基础采用钢筋混凝土结构，码头前沿场内倒运出入口洗车平台未设置挡墙，在通道两侧设置独立的废水收集口来收集废水；出港通道洗车平台在每个车道两侧均设置挡墙，防止污水飞溅，同时在通道中央敷设钢结构格栅板用于洗车废水收集，两处洗车平台外观，</w:t>
      </w:r>
      <w:r>
        <w:rPr>
          <w:rFonts w:hint="default" w:ascii="Times New Roman" w:hAnsi="Times New Roman" w:cs="Times New Roman"/>
          <w:lang w:val="en-US" w:eastAsia="zh-CN"/>
        </w:rPr>
        <w:t>如图3</w:t>
      </w:r>
      <w:r>
        <w:rPr>
          <w:rFonts w:hint="eastAsia" w:ascii="Times New Roman" w:hAnsi="Times New Roman" w:cs="Times New Roman"/>
          <w:lang w:val="en-US" w:eastAsia="zh-CN"/>
        </w:rPr>
        <w:t>-5</w:t>
      </w:r>
      <w:r>
        <w:rPr>
          <w:rFonts w:hint="default" w:ascii="Times New Roman" w:hAnsi="Times New Roman" w:cs="Times New Roman"/>
          <w:lang w:val="en-US" w:eastAsia="zh-CN"/>
        </w:rPr>
        <w:t>所示。</w:t>
      </w:r>
    </w:p>
    <w:p w14:paraId="7B7CEB01">
      <w:pPr>
        <w:pageBreakBefore w:val="0"/>
        <w:numPr>
          <w:ilvl w:val="0"/>
          <w:numId w:val="0"/>
        </w:numPr>
        <w:kinsoku/>
        <w:wordWrap/>
        <w:overflowPunct/>
        <w:topLinePunct w:val="0"/>
        <w:bidi w:val="0"/>
        <w:ind w:left="0" w:leftChars="0" w:right="0"/>
        <w:jc w:val="center"/>
        <w:rPr>
          <w:rFonts w:hint="default" w:ascii="Times New Roman" w:hAnsi="Times New Roman" w:cs="Times New Roman"/>
          <w:sz w:val="28"/>
          <w:szCs w:val="24"/>
        </w:rPr>
      </w:pPr>
      <w:r>
        <w:rPr>
          <w:rFonts w:hint="default" w:ascii="Times New Roman" w:hAnsi="Times New Roman" w:cs="Times New Roman"/>
          <w:sz w:val="28"/>
          <w:szCs w:val="24"/>
          <w:highlight w:val="none"/>
          <w:lang w:val="en-US" w:eastAsia="zh-CN"/>
        </w:rPr>
        <w:drawing>
          <wp:inline distT="0" distB="0" distL="114300" distR="114300">
            <wp:extent cx="2520315" cy="1418590"/>
            <wp:effectExtent l="0" t="0" r="13335" b="10160"/>
            <wp:docPr id="1" name="图片 1" descr="IMG_9251"/>
            <wp:cNvGraphicFramePr/>
            <a:graphic xmlns:a="http://schemas.openxmlformats.org/drawingml/2006/main">
              <a:graphicData uri="http://schemas.openxmlformats.org/drawingml/2006/picture">
                <pic:pic xmlns:pic="http://schemas.openxmlformats.org/drawingml/2006/picture">
                  <pic:nvPicPr>
                    <pic:cNvPr id="1" name="图片 1" descr="IMG_9251"/>
                    <pic:cNvPicPr/>
                  </pic:nvPicPr>
                  <pic:blipFill>
                    <a:blip r:embed="rId20"/>
                    <a:srcRect b="18475"/>
                    <a:stretch>
                      <a:fillRect/>
                    </a:stretch>
                  </pic:blipFill>
                  <pic:spPr>
                    <a:xfrm>
                      <a:off x="0" y="0"/>
                      <a:ext cx="2520315" cy="1418590"/>
                    </a:xfrm>
                    <a:prstGeom prst="rect">
                      <a:avLst/>
                    </a:prstGeom>
                  </pic:spPr>
                </pic:pic>
              </a:graphicData>
            </a:graphic>
          </wp:inline>
        </w:drawing>
      </w:r>
      <w:r>
        <w:rPr>
          <w:rFonts w:hint="default" w:ascii="Times New Roman" w:hAnsi="Times New Roman" w:cs="Times New Roman"/>
          <w:sz w:val="28"/>
          <w:szCs w:val="24"/>
          <w:highlight w:val="none"/>
          <w:lang w:val="en-US" w:eastAsia="zh-CN"/>
        </w:rPr>
        <w:t xml:space="preserve"> </w:t>
      </w:r>
      <w:r>
        <w:rPr>
          <w:rFonts w:hint="default" w:ascii="Times New Roman" w:hAnsi="Times New Roman" w:cs="Times New Roman"/>
          <w:sz w:val="28"/>
          <w:szCs w:val="24"/>
        </w:rPr>
        <w:drawing>
          <wp:inline distT="0" distB="0" distL="114300" distR="114300">
            <wp:extent cx="2520315" cy="1418590"/>
            <wp:effectExtent l="0" t="0" r="13335" b="10160"/>
            <wp:docPr id="39" name="图片 39" descr="9fb45d63119c42d1313cb0624545e2b"/>
            <wp:cNvGraphicFramePr/>
            <a:graphic xmlns:a="http://schemas.openxmlformats.org/drawingml/2006/main">
              <a:graphicData uri="http://schemas.openxmlformats.org/drawingml/2006/picture">
                <pic:pic xmlns:pic="http://schemas.openxmlformats.org/drawingml/2006/picture">
                  <pic:nvPicPr>
                    <pic:cNvPr id="39" name="图片 39" descr="9fb45d63119c42d1313cb0624545e2b"/>
                    <pic:cNvPicPr/>
                  </pic:nvPicPr>
                  <pic:blipFill>
                    <a:blip r:embed="rId21"/>
                    <a:srcRect t="25966"/>
                    <a:stretch>
                      <a:fillRect/>
                    </a:stretch>
                  </pic:blipFill>
                  <pic:spPr>
                    <a:xfrm>
                      <a:off x="0" y="0"/>
                      <a:ext cx="2520315" cy="1418590"/>
                    </a:xfrm>
                    <a:prstGeom prst="rect">
                      <a:avLst/>
                    </a:prstGeom>
                  </pic:spPr>
                </pic:pic>
              </a:graphicData>
            </a:graphic>
          </wp:inline>
        </w:drawing>
      </w:r>
    </w:p>
    <w:p w14:paraId="0E62ACE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图3</w:t>
      </w:r>
      <w:r>
        <w:rPr>
          <w:rFonts w:hint="eastAsia" w:ascii="Times New Roman" w:hAnsi="Times New Roman" w:cs="Times New Roman"/>
          <w:b/>
          <w:bCs/>
          <w:sz w:val="21"/>
          <w:szCs w:val="21"/>
          <w:lang w:val="en-US" w:eastAsia="zh-CN"/>
        </w:rPr>
        <w:t>-5</w:t>
      </w:r>
      <w:r>
        <w:rPr>
          <w:rFonts w:hint="default" w:ascii="Times New Roman" w:hAnsi="Times New Roman" w:eastAsia="宋体" w:cs="Times New Roman"/>
          <w:b/>
          <w:bCs/>
          <w:sz w:val="21"/>
          <w:szCs w:val="21"/>
          <w:lang w:val="en-US" w:eastAsia="zh-CN"/>
        </w:rPr>
        <w:t xml:space="preserve"> 青岛港董家口矿石码头洗车平台</w:t>
      </w:r>
    </w:p>
    <w:p w14:paraId="6BAD0BB0">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（3）相关设施、设备组成</w:t>
      </w:r>
    </w:p>
    <w:p w14:paraId="68845F4D">
      <w:pPr>
        <w:pStyle w:val="6"/>
        <w:bidi w:val="0"/>
        <w:rPr>
          <w:rFonts w:hint="default" w:ascii="Times New Roman" w:hAnsi="Times New Roman" w:eastAsia="宋体" w:cs="Times New Roman"/>
          <w:kern w:val="2"/>
          <w:sz w:val="24"/>
          <w:szCs w:val="22"/>
          <w:lang w:val="en-US" w:eastAsia="zh-CN"/>
        </w:rPr>
      </w:pPr>
      <w:r>
        <w:rPr>
          <w:rFonts w:hint="default" w:ascii="Times New Roman" w:hAnsi="Times New Roman" w:cs="Times New Roman"/>
          <w:lang w:val="en-US" w:eastAsia="zh-CN"/>
        </w:rPr>
        <w:t>山东省港口集团有限公司青岛港董家口矿石码头洗车平台与唐山港股份有限公司洗车平台类似，</w:t>
      </w:r>
      <w:r>
        <w:rPr>
          <w:rFonts w:hint="default" w:ascii="Times New Roman" w:hAnsi="Times New Roman" w:eastAsia="宋体" w:cs="Times New Roman"/>
          <w:kern w:val="2"/>
          <w:sz w:val="24"/>
          <w:szCs w:val="22"/>
          <w:lang w:val="en-US" w:eastAsia="zh-CN"/>
        </w:rPr>
        <w:t>主要由车辆识别感应单元、洗车系统单元、污水收集处理单元、污泥处理单元等组成。</w:t>
      </w:r>
    </w:p>
    <w:p w14:paraId="3981124B">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（4）冲洗系统</w:t>
      </w:r>
    </w:p>
    <w:p w14:paraId="1FADCDF7">
      <w:pPr>
        <w:pStyle w:val="6"/>
        <w:bidi w:val="0"/>
        <w:rPr>
          <w:rFonts w:hint="default" w:ascii="Times New Roman" w:hAnsi="Times New Roman" w:eastAsia="宋体" w:cs="Times New Roman"/>
          <w:kern w:val="2"/>
          <w:sz w:val="24"/>
          <w:szCs w:val="22"/>
          <w:lang w:val="en-US" w:eastAsia="zh-CN"/>
        </w:rPr>
      </w:pPr>
      <w:r>
        <w:rPr>
          <w:rFonts w:hint="default" w:ascii="Times New Roman" w:hAnsi="Times New Roman" w:cs="Times New Roman"/>
          <w:lang w:val="en-US" w:eastAsia="zh-CN"/>
        </w:rPr>
        <w:t>山东省港口集团有限公司青岛港董家口矿石码头洗车平台冲洗系统在通道内设置了</w:t>
      </w:r>
      <w:r>
        <w:rPr>
          <w:rFonts w:hint="default" w:ascii="Times New Roman" w:hAnsi="Times New Roman" w:eastAsia="宋体" w:cs="Times New Roman"/>
          <w:kern w:val="2"/>
          <w:sz w:val="24"/>
          <w:szCs w:val="22"/>
          <w:lang w:val="en-US" w:eastAsia="zh-CN"/>
        </w:rPr>
        <w:t>侧喷，侧喷喷头安装在洗车喷水道两侧，对车辆轮胎侧面进行冲洗。每条洗车喷水道设置单独的供水管道。洗车平台冲洗原理为车辆进入此区域自动触发车辆识别传感器以启动整套系统工作，系统恒压供水泵组启动，每组底喷、侧喷依据车辆识别传感器延时启动，利于节约用水。车辆匀速前进，每组喷嘴依次工作，对车辆的轮胎和底盘集中冲洗，车辆驶出洗车喷水道，保证轮胎和底盘附带的泥沙被去除。</w:t>
      </w:r>
    </w:p>
    <w:p w14:paraId="64A6F00E">
      <w:pPr>
        <w:pageBreakBefore w:val="0"/>
        <w:numPr>
          <w:ilvl w:val="0"/>
          <w:numId w:val="0"/>
        </w:numPr>
        <w:kinsoku/>
        <w:wordWrap/>
        <w:overflowPunct/>
        <w:topLinePunct w:val="0"/>
        <w:bidi w:val="0"/>
        <w:ind w:left="0" w:right="0"/>
        <w:rPr>
          <w:rFonts w:hint="default" w:ascii="Times New Roman" w:hAnsi="Times New Roman" w:eastAsia="宋体" w:cs="Times New Roman"/>
          <w:kern w:val="2"/>
          <w:sz w:val="24"/>
          <w:szCs w:val="22"/>
          <w:lang w:val="en-US" w:eastAsia="zh-CN"/>
        </w:rPr>
      </w:pPr>
      <w:r>
        <w:rPr>
          <w:rFonts w:hint="default" w:ascii="Times New Roman" w:hAnsi="Times New Roman" w:eastAsia="宋体" w:cs="Times New Roman"/>
          <w:kern w:val="2"/>
          <w:sz w:val="24"/>
          <w:szCs w:val="22"/>
          <w:lang w:val="en-US" w:eastAsia="zh-CN"/>
        </w:rPr>
        <w:drawing>
          <wp:inline distT="0" distB="0" distL="114300" distR="114300">
            <wp:extent cx="2520315" cy="1418590"/>
            <wp:effectExtent l="0" t="0" r="13335" b="10160"/>
            <wp:docPr id="37" name="图片 37" descr="8234d4aeed1e16f495b9f6ae7be117a"/>
            <wp:cNvGraphicFramePr/>
            <a:graphic xmlns:a="http://schemas.openxmlformats.org/drawingml/2006/main">
              <a:graphicData uri="http://schemas.openxmlformats.org/drawingml/2006/picture">
                <pic:pic xmlns:pic="http://schemas.openxmlformats.org/drawingml/2006/picture">
                  <pic:nvPicPr>
                    <pic:cNvPr id="37" name="图片 37" descr="8234d4aeed1e16f495b9f6ae7be117a"/>
                    <pic:cNvPicPr/>
                  </pic:nvPicPr>
                  <pic:blipFill>
                    <a:blip r:embed="rId22"/>
                    <a:srcRect b="14108"/>
                    <a:stretch>
                      <a:fillRect/>
                    </a:stretch>
                  </pic:blipFill>
                  <pic:spPr>
                    <a:xfrm>
                      <a:off x="0" y="0"/>
                      <a:ext cx="2520315" cy="1418590"/>
                    </a:xfrm>
                    <a:prstGeom prst="rect">
                      <a:avLst/>
                    </a:prstGeom>
                  </pic:spPr>
                </pic:pic>
              </a:graphicData>
            </a:graphic>
          </wp:inline>
        </w:drawing>
      </w:r>
      <w:r>
        <w:rPr>
          <w:rFonts w:hint="default" w:ascii="Times New Roman" w:hAnsi="Times New Roman" w:eastAsia="宋体" w:cs="Times New Roman"/>
          <w:kern w:val="2"/>
          <w:sz w:val="24"/>
          <w:szCs w:val="22"/>
          <w:lang w:val="en-US" w:eastAsia="zh-CN"/>
        </w:rPr>
        <w:t xml:space="preserve"> </w:t>
      </w:r>
      <w:r>
        <w:rPr>
          <w:rFonts w:hint="default" w:ascii="Times New Roman" w:hAnsi="Times New Roman" w:eastAsia="宋体" w:cs="Times New Roman"/>
          <w:kern w:val="2"/>
          <w:sz w:val="24"/>
          <w:szCs w:val="22"/>
          <w:lang w:val="en-US" w:eastAsia="zh-CN"/>
        </w:rPr>
        <w:drawing>
          <wp:inline distT="0" distB="0" distL="114300" distR="114300">
            <wp:extent cx="2520315" cy="1418590"/>
            <wp:effectExtent l="0" t="0" r="13335" b="10160"/>
            <wp:docPr id="38" name="图片 38" descr="4bfa1a9c9a1518d0e90b96c4def7553"/>
            <wp:cNvGraphicFramePr/>
            <a:graphic xmlns:a="http://schemas.openxmlformats.org/drawingml/2006/main">
              <a:graphicData uri="http://schemas.openxmlformats.org/drawingml/2006/picture">
                <pic:pic xmlns:pic="http://schemas.openxmlformats.org/drawingml/2006/picture">
                  <pic:nvPicPr>
                    <pic:cNvPr id="38" name="图片 38" descr="4bfa1a9c9a1518d0e90b96c4def7553"/>
                    <pic:cNvPicPr/>
                  </pic:nvPicPr>
                  <pic:blipFill>
                    <a:blip r:embed="rId23"/>
                    <a:srcRect b="16191"/>
                    <a:stretch>
                      <a:fillRect/>
                    </a:stretch>
                  </pic:blipFill>
                  <pic:spPr>
                    <a:xfrm>
                      <a:off x="0" y="0"/>
                      <a:ext cx="2520315" cy="1418590"/>
                    </a:xfrm>
                    <a:prstGeom prst="rect">
                      <a:avLst/>
                    </a:prstGeom>
                  </pic:spPr>
                </pic:pic>
              </a:graphicData>
            </a:graphic>
          </wp:inline>
        </w:drawing>
      </w:r>
    </w:p>
    <w:p w14:paraId="23C5423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kern w:val="2"/>
          <w:sz w:val="24"/>
          <w:szCs w:val="22"/>
          <w:lang w:val="en-US" w:eastAsia="zh-CN"/>
        </w:rPr>
      </w:pPr>
      <w:r>
        <w:rPr>
          <w:rFonts w:hint="default" w:ascii="Times New Roman" w:hAnsi="Times New Roman" w:eastAsia="宋体" w:cs="Times New Roman"/>
          <w:b/>
          <w:bCs/>
          <w:sz w:val="21"/>
          <w:szCs w:val="21"/>
          <w:lang w:val="en-US" w:eastAsia="zh-CN"/>
        </w:rPr>
        <w:t>图3</w:t>
      </w:r>
      <w:r>
        <w:rPr>
          <w:rFonts w:hint="eastAsia" w:ascii="Times New Roman" w:hAnsi="Times New Roman" w:cs="Times New Roman"/>
          <w:b/>
          <w:bCs/>
          <w:sz w:val="21"/>
          <w:szCs w:val="21"/>
          <w:lang w:val="en-US" w:eastAsia="zh-CN"/>
        </w:rPr>
        <w:t>-6</w:t>
      </w:r>
      <w:r>
        <w:rPr>
          <w:rFonts w:hint="default" w:ascii="Times New Roman" w:hAnsi="Times New Roman" w:eastAsia="宋体" w:cs="Times New Roman"/>
          <w:b/>
          <w:bCs/>
          <w:sz w:val="21"/>
          <w:szCs w:val="21"/>
          <w:lang w:val="en-US" w:eastAsia="zh-CN"/>
        </w:rPr>
        <w:t xml:space="preserve"> 山东港口青岛港董家口矿石码头出港通道洗车平台冲洗效果</w:t>
      </w:r>
    </w:p>
    <w:p w14:paraId="4D693A86">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（5）污水处置与利用</w:t>
      </w:r>
    </w:p>
    <w:p w14:paraId="1B6D3B1E">
      <w:pPr>
        <w:pStyle w:val="6"/>
        <w:bidi w:val="0"/>
        <w:rPr>
          <w:rFonts w:hint="default"/>
          <w:lang w:val="en-US" w:eastAsia="zh-CN"/>
        </w:rPr>
      </w:pPr>
      <w:r>
        <w:rPr>
          <w:rFonts w:hint="default"/>
          <w:lang w:val="en-US" w:eastAsia="zh-CN"/>
        </w:rPr>
        <w:t>山东省港口集团有限公司青岛港董家口矿石码头洗车平台在通道内建设了污水收集沟，沟槽顶部加盖了雨水篦子，采用重力流方式实现污水的收集，收集的污水进入沉淀池进行处理后回用。青岛港董家口矿石码头洗车平台污水收集设施及沉淀池现状如图3</w:t>
      </w:r>
      <w:r>
        <w:rPr>
          <w:rFonts w:hint="eastAsia"/>
          <w:lang w:val="en-US" w:eastAsia="zh-CN"/>
        </w:rPr>
        <w:t>-7</w:t>
      </w:r>
      <w:r>
        <w:rPr>
          <w:rFonts w:hint="default"/>
          <w:lang w:val="en-US" w:eastAsia="zh-CN"/>
        </w:rPr>
        <w:t>、3</w:t>
      </w:r>
      <w:r>
        <w:rPr>
          <w:rFonts w:hint="eastAsia"/>
          <w:lang w:val="en-US" w:eastAsia="zh-CN"/>
        </w:rPr>
        <w:t>-8</w:t>
      </w:r>
      <w:r>
        <w:rPr>
          <w:rFonts w:hint="default"/>
          <w:lang w:val="en-US" w:eastAsia="zh-CN"/>
        </w:rPr>
        <w:t>所示。</w:t>
      </w:r>
    </w:p>
    <w:p w14:paraId="7BBECD05">
      <w:pPr>
        <w:pageBreakBefore w:val="0"/>
        <w:kinsoku/>
        <w:wordWrap/>
        <w:overflowPunct/>
        <w:topLinePunct w:val="0"/>
        <w:bidi w:val="0"/>
        <w:ind w:left="0" w:right="0"/>
        <w:rPr>
          <w:rFonts w:hint="default" w:ascii="Times New Roman" w:hAnsi="Times New Roman" w:cs="Times New Roman" w:eastAsiaTheme="minorEastAsia"/>
          <w:lang w:val="en-US" w:eastAsia="zh-CN"/>
        </w:rPr>
      </w:pPr>
      <w:r>
        <w:rPr>
          <w:rFonts w:hint="default" w:ascii="Times New Roman" w:hAnsi="Times New Roman" w:cs="Times New Roman"/>
          <w:sz w:val="28"/>
          <w:szCs w:val="24"/>
        </w:rPr>
        <w:drawing>
          <wp:inline distT="0" distB="0" distL="114300" distR="114300">
            <wp:extent cx="2520315" cy="1418590"/>
            <wp:effectExtent l="0" t="0" r="13335" b="10160"/>
            <wp:docPr id="10" name="图片 5"/>
            <wp:cNvGraphicFramePr/>
            <a:graphic xmlns:a="http://schemas.openxmlformats.org/drawingml/2006/main">
              <a:graphicData uri="http://schemas.openxmlformats.org/drawingml/2006/picture">
                <pic:pic xmlns:pic="http://schemas.openxmlformats.org/drawingml/2006/picture">
                  <pic:nvPicPr>
                    <pic:cNvPr id="10" name="图片 5"/>
                    <pic:cNvPicPr/>
                  </pic:nvPicPr>
                  <pic:blipFill>
                    <a:blip r:embed="rId24"/>
                    <a:srcRect t="12021"/>
                    <a:stretch>
                      <a:fillRect/>
                    </a:stretch>
                  </pic:blipFill>
                  <pic:spPr>
                    <a:xfrm>
                      <a:off x="0" y="0"/>
                      <a:ext cx="2520315" cy="1418590"/>
                    </a:xfrm>
                    <a:prstGeom prst="rect">
                      <a:avLst/>
                    </a:prstGeom>
                    <a:noFill/>
                    <a:ln>
                      <a:noFill/>
                    </a:ln>
                  </pic:spPr>
                </pic:pic>
              </a:graphicData>
            </a:graphic>
          </wp:inline>
        </w:drawing>
      </w:r>
      <w:r>
        <w:rPr>
          <w:rFonts w:hint="default" w:ascii="Times New Roman" w:hAnsi="Times New Roman" w:cs="Times New Roman"/>
          <w:sz w:val="28"/>
          <w:szCs w:val="24"/>
          <w:lang w:val="en-US" w:eastAsia="zh-CN"/>
        </w:rPr>
        <w:t xml:space="preserve"> </w:t>
      </w:r>
      <w:r>
        <w:rPr>
          <w:rFonts w:hint="default" w:ascii="Times New Roman" w:hAnsi="Times New Roman" w:cs="Times New Roman"/>
          <w:sz w:val="28"/>
          <w:szCs w:val="24"/>
        </w:rPr>
        <w:drawing>
          <wp:inline distT="0" distB="0" distL="114300" distR="114300">
            <wp:extent cx="2520315" cy="1418590"/>
            <wp:effectExtent l="0" t="0" r="13335" b="10160"/>
            <wp:docPr id="11" name="图片 6"/>
            <wp:cNvGraphicFramePr/>
            <a:graphic xmlns:a="http://schemas.openxmlformats.org/drawingml/2006/main">
              <a:graphicData uri="http://schemas.openxmlformats.org/drawingml/2006/picture">
                <pic:pic xmlns:pic="http://schemas.openxmlformats.org/drawingml/2006/picture">
                  <pic:nvPicPr>
                    <pic:cNvPr id="11" name="图片 6"/>
                    <pic:cNvPicPr/>
                  </pic:nvPicPr>
                  <pic:blipFill>
                    <a:blip r:embed="rId18"/>
                    <a:srcRect t="47838"/>
                    <a:stretch>
                      <a:fillRect/>
                    </a:stretch>
                  </pic:blipFill>
                  <pic:spPr>
                    <a:xfrm>
                      <a:off x="0" y="0"/>
                      <a:ext cx="2520315" cy="1418590"/>
                    </a:xfrm>
                    <a:prstGeom prst="rect">
                      <a:avLst/>
                    </a:prstGeom>
                    <a:noFill/>
                    <a:ln>
                      <a:noFill/>
                    </a:ln>
                  </pic:spPr>
                </pic:pic>
              </a:graphicData>
            </a:graphic>
          </wp:inline>
        </w:drawing>
      </w:r>
    </w:p>
    <w:p w14:paraId="5215CBC2">
      <w:pPr>
        <w:pageBreakBefore w:val="0"/>
        <w:kinsoku/>
        <w:wordWrap/>
        <w:overflowPunct/>
        <w:topLinePunct w:val="0"/>
        <w:bidi w:val="0"/>
        <w:ind w:left="0" w:right="0"/>
        <w:jc w:val="center"/>
        <w:rPr>
          <w:rFonts w:hint="default" w:ascii="Times New Roman" w:hAnsi="Times New Roman" w:cs="Times New Roman"/>
          <w:lang w:val="en-US" w:eastAsia="zh-CN"/>
        </w:rPr>
      </w:pPr>
      <w:r>
        <w:rPr>
          <w:rFonts w:hint="default" w:ascii="Times New Roman" w:hAnsi="Times New Roman" w:eastAsia="宋体" w:cs="Times New Roman"/>
          <w:b/>
          <w:bCs/>
          <w:sz w:val="21"/>
          <w:szCs w:val="21"/>
          <w:lang w:val="en-US" w:eastAsia="zh-CN"/>
        </w:rPr>
        <w:t>图3</w:t>
      </w:r>
      <w:r>
        <w:rPr>
          <w:rFonts w:hint="eastAsia" w:ascii="Times New Roman" w:hAnsi="Times New Roman" w:cs="Times New Roman"/>
          <w:b/>
          <w:bCs/>
          <w:sz w:val="21"/>
          <w:szCs w:val="21"/>
          <w:lang w:val="en-US" w:eastAsia="zh-CN"/>
        </w:rPr>
        <w:t>-7</w:t>
      </w:r>
      <w:r>
        <w:rPr>
          <w:rFonts w:hint="default" w:ascii="Times New Roman" w:hAnsi="Times New Roman" w:eastAsia="宋体" w:cs="Times New Roman"/>
          <w:b/>
          <w:bCs/>
          <w:sz w:val="21"/>
          <w:szCs w:val="21"/>
          <w:lang w:val="en-US" w:eastAsia="zh-CN"/>
        </w:rPr>
        <w:t xml:space="preserve"> 青岛港董家口矿石码头洗车平台洗车污水收集设施</w:t>
      </w:r>
    </w:p>
    <w:p w14:paraId="340E38A8">
      <w:pPr>
        <w:pageBreakBefore w:val="0"/>
        <w:kinsoku/>
        <w:wordWrap/>
        <w:overflowPunct/>
        <w:topLinePunct w:val="0"/>
        <w:bidi w:val="0"/>
        <w:ind w:left="0" w:right="0"/>
        <w:rPr>
          <w:rFonts w:hint="default" w:ascii="Times New Roman" w:hAnsi="Times New Roman" w:cs="Times New Roman"/>
          <w:lang w:val="en-US" w:eastAsia="zh-CN"/>
        </w:rPr>
      </w:pPr>
      <w:r>
        <w:rPr>
          <w:rFonts w:hint="default" w:ascii="Times New Roman" w:hAnsi="Times New Roman" w:cs="Times New Roman"/>
          <w:sz w:val="28"/>
          <w:szCs w:val="24"/>
        </w:rPr>
        <w:drawing>
          <wp:inline distT="0" distB="0" distL="114300" distR="114300">
            <wp:extent cx="2520315" cy="1418590"/>
            <wp:effectExtent l="0" t="0" r="13335" b="10160"/>
            <wp:docPr id="8" name="图片 3"/>
            <wp:cNvGraphicFramePr/>
            <a:graphic xmlns:a="http://schemas.openxmlformats.org/drawingml/2006/main">
              <a:graphicData uri="http://schemas.openxmlformats.org/drawingml/2006/picture">
                <pic:pic xmlns:pic="http://schemas.openxmlformats.org/drawingml/2006/picture">
                  <pic:nvPicPr>
                    <pic:cNvPr id="8" name="图片 3"/>
                    <pic:cNvPicPr/>
                  </pic:nvPicPr>
                  <pic:blipFill>
                    <a:blip r:embed="rId25"/>
                    <a:srcRect t="15225" b="8226"/>
                    <a:stretch>
                      <a:fillRect/>
                    </a:stretch>
                  </pic:blipFill>
                  <pic:spPr>
                    <a:xfrm>
                      <a:off x="0" y="0"/>
                      <a:ext cx="2520315" cy="1418590"/>
                    </a:xfrm>
                    <a:prstGeom prst="rect">
                      <a:avLst/>
                    </a:prstGeom>
                    <a:noFill/>
                    <a:ln>
                      <a:noFill/>
                    </a:ln>
                  </pic:spPr>
                </pic:pic>
              </a:graphicData>
            </a:graphic>
          </wp:inline>
        </w:drawing>
      </w:r>
      <w:r>
        <w:rPr>
          <w:rFonts w:hint="default" w:ascii="Times New Roman" w:hAnsi="Times New Roman" w:cs="Times New Roman"/>
          <w:sz w:val="28"/>
          <w:szCs w:val="24"/>
          <w:lang w:val="en-US" w:eastAsia="zh-CN"/>
        </w:rPr>
        <w:t xml:space="preserve"> </w:t>
      </w:r>
      <w:r>
        <w:rPr>
          <w:rFonts w:hint="default" w:ascii="Times New Roman" w:hAnsi="Times New Roman" w:cs="Times New Roman"/>
          <w:lang w:val="en-US" w:eastAsia="zh-CN"/>
        </w:rPr>
        <w:drawing>
          <wp:inline distT="0" distB="0" distL="114300" distR="114300">
            <wp:extent cx="2520315" cy="1418590"/>
            <wp:effectExtent l="0" t="0" r="13335" b="10160"/>
            <wp:docPr id="40" name="图片 40" descr="eceebf42158bf27158a8b1940cdbba8"/>
            <wp:cNvGraphicFramePr/>
            <a:graphic xmlns:a="http://schemas.openxmlformats.org/drawingml/2006/main">
              <a:graphicData uri="http://schemas.openxmlformats.org/drawingml/2006/picture">
                <pic:pic xmlns:pic="http://schemas.openxmlformats.org/drawingml/2006/picture">
                  <pic:nvPicPr>
                    <pic:cNvPr id="40" name="图片 40" descr="eceebf42158bf27158a8b1940cdbba8"/>
                    <pic:cNvPicPr/>
                  </pic:nvPicPr>
                  <pic:blipFill>
                    <a:blip r:embed="rId26"/>
                    <a:srcRect t="19617"/>
                    <a:stretch>
                      <a:fillRect/>
                    </a:stretch>
                  </pic:blipFill>
                  <pic:spPr>
                    <a:xfrm>
                      <a:off x="0" y="0"/>
                      <a:ext cx="2520315" cy="1418590"/>
                    </a:xfrm>
                    <a:prstGeom prst="rect">
                      <a:avLst/>
                    </a:prstGeom>
                  </pic:spPr>
                </pic:pic>
              </a:graphicData>
            </a:graphic>
          </wp:inline>
        </w:drawing>
      </w:r>
    </w:p>
    <w:p w14:paraId="181DF16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图3</w:t>
      </w:r>
      <w:r>
        <w:rPr>
          <w:rFonts w:hint="eastAsia" w:ascii="Times New Roman" w:hAnsi="Times New Roman" w:cs="Times New Roman"/>
          <w:b/>
          <w:bCs/>
          <w:sz w:val="21"/>
          <w:szCs w:val="21"/>
          <w:lang w:val="en-US" w:eastAsia="zh-CN"/>
        </w:rPr>
        <w:t>-8</w:t>
      </w:r>
      <w:r>
        <w:rPr>
          <w:rFonts w:hint="default" w:ascii="Times New Roman" w:hAnsi="Times New Roman" w:eastAsia="宋体" w:cs="Times New Roman"/>
          <w:b/>
          <w:bCs/>
          <w:sz w:val="21"/>
          <w:szCs w:val="21"/>
          <w:lang w:val="en-US" w:eastAsia="zh-CN"/>
        </w:rPr>
        <w:t xml:space="preserve"> 青岛港董家口矿石码头洗车平台配套建设的沉淀池</w:t>
      </w:r>
    </w:p>
    <w:p w14:paraId="082A368B">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17" w:name="_Toc7102"/>
      <w:r>
        <w:rPr>
          <w:rFonts w:hint="default" w:ascii="Times New Roman" w:hAnsi="Times New Roman" w:eastAsia="黑体" w:cs="Times New Roman"/>
          <w:spacing w:val="-2"/>
          <w:sz w:val="28"/>
          <w:szCs w:val="28"/>
          <w:lang w:val="en-US" w:eastAsia="zh-CN"/>
        </w:rPr>
        <w:t>4 山东港口烟台港莱州港公司</w:t>
      </w:r>
      <w:bookmarkEnd w:id="17"/>
    </w:p>
    <w:p w14:paraId="4F8130AF">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（1）选址与布置</w:t>
      </w:r>
    </w:p>
    <w:p w14:paraId="16864533">
      <w:pPr>
        <w:pStyle w:val="6"/>
        <w:bidi w:val="0"/>
        <w:rPr>
          <w:rFonts w:hint="default"/>
          <w:lang w:val="en-US" w:eastAsia="zh-CN"/>
        </w:rPr>
      </w:pPr>
      <w:r>
        <w:rPr>
          <w:rFonts w:hint="default"/>
          <w:lang w:val="en-US" w:eastAsia="zh-CN"/>
        </w:rPr>
        <w:t>山东港口烟台港莱州港公司在堆场出入口设置了</w:t>
      </w:r>
      <w:r>
        <w:rPr>
          <w:rFonts w:hint="eastAsia"/>
          <w:lang w:val="en-US" w:eastAsia="zh-CN"/>
        </w:rPr>
        <w:t>洗车平台，</w:t>
      </w:r>
      <w:r>
        <w:rPr>
          <w:rFonts w:hint="default"/>
          <w:lang w:val="en-US" w:eastAsia="zh-CN"/>
        </w:rPr>
        <w:t>如图3</w:t>
      </w:r>
      <w:r>
        <w:rPr>
          <w:rFonts w:hint="eastAsia"/>
          <w:lang w:val="en-US" w:eastAsia="zh-CN"/>
        </w:rPr>
        <w:t>-9</w:t>
      </w:r>
      <w:r>
        <w:rPr>
          <w:rFonts w:hint="default"/>
          <w:lang w:val="en-US" w:eastAsia="zh-CN"/>
        </w:rPr>
        <w:t>所示。</w:t>
      </w:r>
    </w:p>
    <w:p w14:paraId="5A17FE39">
      <w:pPr>
        <w:pageBreakBefore w:val="0"/>
        <w:numPr>
          <w:ilvl w:val="0"/>
          <w:numId w:val="0"/>
        </w:numPr>
        <w:kinsoku/>
        <w:wordWrap/>
        <w:overflowPunct/>
        <w:topLinePunct w:val="0"/>
        <w:bidi w:val="0"/>
        <w:ind w:left="0" w:right="0"/>
        <w:jc w:val="both"/>
        <w:rPr>
          <w:rFonts w:hint="default" w:ascii="Times New Roman" w:hAnsi="Times New Roman" w:eastAsia="宋体" w:cs="Times New Roman"/>
          <w:lang w:val="en-US" w:eastAsia="zh-CN"/>
        </w:rPr>
      </w:pPr>
      <w:r>
        <w:rPr>
          <w:rFonts w:hint="default" w:ascii="Times New Roman" w:hAnsi="Times New Roman" w:eastAsia="宋体" w:cs="Times New Roman"/>
          <w:sz w:val="24"/>
          <w:szCs w:val="24"/>
        </w:rPr>
        <w:drawing>
          <wp:inline distT="0" distB="0" distL="114300" distR="114300">
            <wp:extent cx="2520315" cy="1418590"/>
            <wp:effectExtent l="0" t="0" r="13335" b="10160"/>
            <wp:docPr id="21" name="图片 1" descr="IMG_256"/>
            <wp:cNvGraphicFramePr/>
            <a:graphic xmlns:a="http://schemas.openxmlformats.org/drawingml/2006/main">
              <a:graphicData uri="http://schemas.openxmlformats.org/drawingml/2006/picture">
                <pic:pic xmlns:pic="http://schemas.openxmlformats.org/drawingml/2006/picture">
                  <pic:nvPicPr>
                    <pic:cNvPr id="21" name="图片 1" descr="IMG_256"/>
                    <pic:cNvPicPr/>
                  </pic:nvPicPr>
                  <pic:blipFill>
                    <a:blip r:embed="rId27"/>
                    <a:srcRect b="31406"/>
                    <a:stretch>
                      <a:fillRect/>
                    </a:stretch>
                  </pic:blipFill>
                  <pic:spPr>
                    <a:xfrm>
                      <a:off x="0" y="0"/>
                      <a:ext cx="2520315" cy="1418590"/>
                    </a:xfrm>
                    <a:prstGeom prst="rect">
                      <a:avLst/>
                    </a:prstGeom>
                    <a:noFill/>
                    <a:ln w="9525">
                      <a:noFill/>
                    </a:ln>
                  </pic:spPr>
                </pic:pic>
              </a:graphicData>
            </a:graphic>
          </wp:inline>
        </w:drawing>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lang w:val="en-US" w:eastAsia="zh-CN"/>
        </w:rPr>
        <w:drawing>
          <wp:inline distT="0" distB="0" distL="114300" distR="114300">
            <wp:extent cx="2520315" cy="1397000"/>
            <wp:effectExtent l="0" t="0" r="13335" b="12700"/>
            <wp:docPr id="22" name="图片 22" descr="火狐截图_2025-05-18T09-42-15.931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火狐截图_2025-05-18T09-42-15.931Z"/>
                    <pic:cNvPicPr>
                      <a:picLocks noChangeAspect="1"/>
                    </pic:cNvPicPr>
                  </pic:nvPicPr>
                  <pic:blipFill>
                    <a:blip r:embed="rId28"/>
                    <a:srcRect l="34278" t="42494" r="34133" b="20932"/>
                    <a:stretch>
                      <a:fillRect/>
                    </a:stretch>
                  </pic:blipFill>
                  <pic:spPr>
                    <a:xfrm>
                      <a:off x="0" y="0"/>
                      <a:ext cx="2520315" cy="1397000"/>
                    </a:xfrm>
                    <a:prstGeom prst="rect">
                      <a:avLst/>
                    </a:prstGeom>
                  </pic:spPr>
                </pic:pic>
              </a:graphicData>
            </a:graphic>
          </wp:inline>
        </w:drawing>
      </w:r>
    </w:p>
    <w:p w14:paraId="46B2DB2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图3</w:t>
      </w:r>
      <w:r>
        <w:rPr>
          <w:rFonts w:hint="eastAsia" w:ascii="Times New Roman" w:hAnsi="Times New Roman" w:cs="Times New Roman"/>
          <w:b/>
          <w:bCs/>
          <w:sz w:val="21"/>
          <w:szCs w:val="21"/>
          <w:lang w:val="en-US" w:eastAsia="zh-CN"/>
        </w:rPr>
        <w:t>-9</w:t>
      </w:r>
      <w:r>
        <w:rPr>
          <w:rFonts w:hint="default" w:ascii="Times New Roman" w:hAnsi="Times New Roman" w:eastAsia="宋体" w:cs="Times New Roman"/>
          <w:b/>
          <w:bCs/>
          <w:sz w:val="21"/>
          <w:szCs w:val="21"/>
          <w:lang w:val="en-US" w:eastAsia="zh-CN"/>
        </w:rPr>
        <w:t xml:space="preserve"> 烟台港莱州港公司堆场洗车平台</w:t>
      </w:r>
    </w:p>
    <w:p w14:paraId="6711DC1E">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（2）建设材质、规格及形式</w:t>
      </w:r>
    </w:p>
    <w:p w14:paraId="7BE66349">
      <w:pPr>
        <w:pStyle w:val="6"/>
        <w:bidi w:val="0"/>
        <w:rPr>
          <w:rFonts w:hint="default"/>
          <w:lang w:val="en-US" w:eastAsia="zh-CN"/>
        </w:rPr>
      </w:pPr>
      <w:r>
        <w:rPr>
          <w:rFonts w:hint="default"/>
          <w:lang w:val="en-US" w:eastAsia="zh-CN"/>
        </w:rPr>
        <w:t>山东港口烟台港莱州港公司洗车平台为自主设计建设，形式类似于自动洗车机</w:t>
      </w:r>
      <w:r>
        <w:rPr>
          <w:rFonts w:hint="eastAsia"/>
          <w:lang w:val="en-US" w:eastAsia="zh-CN"/>
        </w:rPr>
        <w:t>。</w:t>
      </w:r>
    </w:p>
    <w:p w14:paraId="26E808FF">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（3）相关设施、设备组成</w:t>
      </w:r>
    </w:p>
    <w:p w14:paraId="1FEB5F7F">
      <w:pPr>
        <w:pStyle w:val="6"/>
        <w:bidi w:val="0"/>
        <w:rPr>
          <w:rFonts w:hint="default"/>
          <w:lang w:val="en-US" w:eastAsia="zh-CN"/>
        </w:rPr>
      </w:pPr>
      <w:r>
        <w:rPr>
          <w:rFonts w:hint="default"/>
          <w:lang w:val="en-US" w:eastAsia="zh-CN"/>
        </w:rPr>
        <w:t>山东港口烟台港莱州港公司洗车平台由感应控制系统（毫米波雷达传感器和PLC控制系统）、洗车设备（水泵、清洗管路及喷头）、清洗池等组成。</w:t>
      </w:r>
    </w:p>
    <w:p w14:paraId="7A73D3FE">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（4）冲洗系统</w:t>
      </w:r>
    </w:p>
    <w:p w14:paraId="446BC9D9">
      <w:pPr>
        <w:pStyle w:val="6"/>
        <w:bidi w:val="0"/>
        <w:rPr>
          <w:rFonts w:hint="default"/>
          <w:lang w:val="en-US" w:eastAsia="zh-CN"/>
        </w:rPr>
      </w:pPr>
      <w:r>
        <w:rPr>
          <w:rFonts w:hint="default"/>
          <w:lang w:val="en-US" w:eastAsia="zh-CN"/>
        </w:rPr>
        <w:t>山东港口烟台港莱州港公司洗车平台配备全自动感应设备，车辆进入后自动清洗、自动吹干，每次冲洗时间约40s。</w:t>
      </w:r>
    </w:p>
    <w:p w14:paraId="6490557D">
      <w:pPr>
        <w:pageBreakBefore w:val="0"/>
        <w:widowControl w:val="0"/>
        <w:numPr>
          <w:ilvl w:val="0"/>
          <w:numId w:val="0"/>
        </w:numPr>
        <w:kinsoku/>
        <w:wordWrap/>
        <w:overflowPunct/>
        <w:topLinePunct w:val="0"/>
        <w:bidi w:val="0"/>
        <w:spacing w:line="360" w:lineRule="auto"/>
        <w:ind w:left="0" w:right="0"/>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drawing>
          <wp:inline distT="0" distB="0" distL="114300" distR="114300">
            <wp:extent cx="2520315" cy="1418590"/>
            <wp:effectExtent l="0" t="0" r="13335" b="10160"/>
            <wp:docPr id="19" name="图片 2" descr="IMG_256"/>
            <wp:cNvGraphicFramePr/>
            <a:graphic xmlns:a="http://schemas.openxmlformats.org/drawingml/2006/main">
              <a:graphicData uri="http://schemas.openxmlformats.org/drawingml/2006/picture">
                <pic:pic xmlns:pic="http://schemas.openxmlformats.org/drawingml/2006/picture">
                  <pic:nvPicPr>
                    <pic:cNvPr id="19" name="图片 2" descr="IMG_256"/>
                    <pic:cNvPicPr/>
                  </pic:nvPicPr>
                  <pic:blipFill>
                    <a:blip r:embed="rId29"/>
                    <a:stretch>
                      <a:fillRect/>
                    </a:stretch>
                  </pic:blipFill>
                  <pic:spPr>
                    <a:xfrm>
                      <a:off x="0" y="0"/>
                      <a:ext cx="2520315" cy="1418590"/>
                    </a:xfrm>
                    <a:prstGeom prst="rect">
                      <a:avLst/>
                    </a:prstGeom>
                    <a:noFill/>
                    <a:ln w="9525">
                      <a:noFill/>
                    </a:ln>
                  </pic:spPr>
                </pic:pic>
              </a:graphicData>
            </a:graphic>
          </wp:inline>
        </w:drawing>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drawing>
          <wp:inline distT="0" distB="0" distL="114300" distR="114300">
            <wp:extent cx="2520315" cy="1418590"/>
            <wp:effectExtent l="0" t="0" r="13335" b="10160"/>
            <wp:docPr id="20" name="图片 3" descr="IMG_256"/>
            <wp:cNvGraphicFramePr/>
            <a:graphic xmlns:a="http://schemas.openxmlformats.org/drawingml/2006/main">
              <a:graphicData uri="http://schemas.openxmlformats.org/drawingml/2006/picture">
                <pic:pic xmlns:pic="http://schemas.openxmlformats.org/drawingml/2006/picture">
                  <pic:nvPicPr>
                    <pic:cNvPr id="20" name="图片 3" descr="IMG_256"/>
                    <pic:cNvPicPr/>
                  </pic:nvPicPr>
                  <pic:blipFill>
                    <a:blip r:embed="rId30"/>
                    <a:srcRect t="11906"/>
                    <a:stretch>
                      <a:fillRect/>
                    </a:stretch>
                  </pic:blipFill>
                  <pic:spPr>
                    <a:xfrm>
                      <a:off x="0" y="0"/>
                      <a:ext cx="2520315" cy="1418590"/>
                    </a:xfrm>
                    <a:prstGeom prst="rect">
                      <a:avLst/>
                    </a:prstGeom>
                    <a:noFill/>
                    <a:ln w="9525">
                      <a:noFill/>
                    </a:ln>
                  </pic:spPr>
                </pic:pic>
              </a:graphicData>
            </a:graphic>
          </wp:inline>
        </w:drawing>
      </w:r>
    </w:p>
    <w:p w14:paraId="74B32DB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图3</w:t>
      </w:r>
      <w:r>
        <w:rPr>
          <w:rFonts w:hint="eastAsia" w:ascii="Times New Roman" w:hAnsi="Times New Roman" w:cs="Times New Roman"/>
          <w:b/>
          <w:bCs/>
          <w:sz w:val="21"/>
          <w:szCs w:val="21"/>
          <w:lang w:val="en-US" w:eastAsia="zh-CN"/>
        </w:rPr>
        <w:t>-10</w:t>
      </w:r>
      <w:r>
        <w:rPr>
          <w:rFonts w:hint="default" w:ascii="Times New Roman" w:hAnsi="Times New Roman" w:eastAsia="宋体" w:cs="Times New Roman"/>
          <w:b/>
          <w:bCs/>
          <w:sz w:val="21"/>
          <w:szCs w:val="21"/>
          <w:lang w:val="en-US" w:eastAsia="zh-CN"/>
        </w:rPr>
        <w:t xml:space="preserve"> 山东港口烟台港莱州港公司洗车平台冲洗效果</w:t>
      </w:r>
    </w:p>
    <w:p w14:paraId="069D5773">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（5）污水处置与利用</w:t>
      </w:r>
    </w:p>
    <w:p w14:paraId="5F31B765">
      <w:pPr>
        <w:pStyle w:val="6"/>
        <w:bidi w:val="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kern w:val="2"/>
          <w:sz w:val="24"/>
          <w:szCs w:val="22"/>
          <w:lang w:val="en-US" w:eastAsia="zh-CN"/>
        </w:rPr>
        <w:t>山东港口烟台港莱州港公司</w:t>
      </w:r>
      <w:r>
        <w:rPr>
          <w:rFonts w:hint="eastAsia" w:ascii="Times New Roman" w:hAnsi="Times New Roman" w:cs="Times New Roman"/>
          <w:lang w:val="en-US" w:eastAsia="zh-CN"/>
        </w:rPr>
        <w:t>洗车平台</w:t>
      </w:r>
      <w:r>
        <w:rPr>
          <w:rFonts w:hint="default" w:ascii="Times New Roman" w:hAnsi="Times New Roman" w:cs="Times New Roman"/>
          <w:lang w:val="en-US" w:eastAsia="zh-CN"/>
        </w:rPr>
        <w:t>均在底部配套了</w:t>
      </w:r>
      <w:r>
        <w:rPr>
          <w:rFonts w:hint="default" w:ascii="Times New Roman" w:hAnsi="Times New Roman" w:cs="Times New Roman"/>
          <w:vertAlign w:val="baseline"/>
          <w:lang w:val="en-US" w:eastAsia="zh-CN"/>
        </w:rPr>
        <w:t>污水收集池，污水直接通过</w:t>
      </w:r>
      <w:r>
        <w:rPr>
          <w:rFonts w:hint="eastAsia" w:ascii="Times New Roman" w:hAnsi="Times New Roman" w:cs="Times New Roman"/>
          <w:vertAlign w:val="baseline"/>
          <w:lang w:val="en-US" w:eastAsia="zh-CN"/>
        </w:rPr>
        <w:t>格栅板</w:t>
      </w:r>
      <w:r>
        <w:rPr>
          <w:rFonts w:hint="default" w:ascii="Times New Roman" w:hAnsi="Times New Roman" w:cs="Times New Roman"/>
          <w:vertAlign w:val="baseline"/>
          <w:lang w:val="en-US" w:eastAsia="zh-CN"/>
        </w:rPr>
        <w:t>自流至收集池，定期进行清理。</w:t>
      </w:r>
    </w:p>
    <w:p w14:paraId="12FD6B96">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18" w:name="_Toc31468"/>
      <w:r>
        <w:rPr>
          <w:rFonts w:hint="default" w:ascii="Times New Roman" w:hAnsi="Times New Roman" w:eastAsia="黑体" w:cs="Times New Roman"/>
          <w:spacing w:val="-2"/>
          <w:sz w:val="28"/>
          <w:szCs w:val="28"/>
          <w:lang w:val="en-US" w:eastAsia="zh-CN"/>
        </w:rPr>
        <w:t>5 山东港口日照港岚山公司</w:t>
      </w:r>
      <w:bookmarkEnd w:id="18"/>
    </w:p>
    <w:p w14:paraId="5A942DCF">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（1）选址与布置</w:t>
      </w:r>
    </w:p>
    <w:p w14:paraId="117EA329">
      <w:pPr>
        <w:pStyle w:val="6"/>
        <w:bidi w:val="0"/>
        <w:rPr>
          <w:rFonts w:hint="default"/>
        </w:rPr>
      </w:pPr>
      <w:r>
        <w:rPr>
          <w:rFonts w:hint="default"/>
          <w:lang w:val="en-US" w:eastAsia="zh-CN"/>
        </w:rPr>
        <w:t>山东港口日照港岚山公司洗车平台为双通道隧道式洗车平台，位于堆场出入口，如图3</w:t>
      </w:r>
      <w:r>
        <w:rPr>
          <w:rFonts w:hint="eastAsia"/>
          <w:lang w:val="en-US" w:eastAsia="zh-CN"/>
        </w:rPr>
        <w:t>-11</w:t>
      </w:r>
      <w:r>
        <w:rPr>
          <w:rFonts w:hint="default"/>
          <w:lang w:val="en-US" w:eastAsia="zh-CN"/>
        </w:rPr>
        <w:t>所示。</w:t>
      </w:r>
    </w:p>
    <w:p w14:paraId="3182E657">
      <w:pPr>
        <w:pageBreakBefore w:val="0"/>
        <w:numPr>
          <w:ilvl w:val="0"/>
          <w:numId w:val="0"/>
        </w:numPr>
        <w:kinsoku/>
        <w:wordWrap/>
        <w:overflowPunct/>
        <w:topLinePunct w:val="0"/>
        <w:bidi w:val="0"/>
        <w:ind w:left="0" w:right="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2520315" cy="1418590"/>
            <wp:effectExtent l="0" t="0" r="13335" b="10160"/>
            <wp:docPr id="23" name="图片 4" descr="IMG_256"/>
            <wp:cNvGraphicFramePr/>
            <a:graphic xmlns:a="http://schemas.openxmlformats.org/drawingml/2006/main">
              <a:graphicData uri="http://schemas.openxmlformats.org/drawingml/2006/picture">
                <pic:pic xmlns:pic="http://schemas.openxmlformats.org/drawingml/2006/picture">
                  <pic:nvPicPr>
                    <pic:cNvPr id="23" name="图片 4" descr="IMG_256"/>
                    <pic:cNvPicPr/>
                  </pic:nvPicPr>
                  <pic:blipFill>
                    <a:blip r:embed="rId31"/>
                    <a:stretch>
                      <a:fillRect/>
                    </a:stretch>
                  </pic:blipFill>
                  <pic:spPr>
                    <a:xfrm>
                      <a:off x="0" y="0"/>
                      <a:ext cx="2520315" cy="1418590"/>
                    </a:xfrm>
                    <a:prstGeom prst="rect">
                      <a:avLst/>
                    </a:prstGeom>
                    <a:noFill/>
                    <a:ln w="9525">
                      <a:noFill/>
                    </a:ln>
                  </pic:spPr>
                </pic:pic>
              </a:graphicData>
            </a:graphic>
          </wp:inline>
        </w:drawing>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drawing>
          <wp:inline distT="0" distB="0" distL="114300" distR="114300">
            <wp:extent cx="2520315" cy="1418590"/>
            <wp:effectExtent l="0" t="0" r="13335" b="10160"/>
            <wp:docPr id="24" name="图片 5" descr="IMG_256"/>
            <wp:cNvGraphicFramePr/>
            <a:graphic xmlns:a="http://schemas.openxmlformats.org/drawingml/2006/main">
              <a:graphicData uri="http://schemas.openxmlformats.org/drawingml/2006/picture">
                <pic:pic xmlns:pic="http://schemas.openxmlformats.org/drawingml/2006/picture">
                  <pic:nvPicPr>
                    <pic:cNvPr id="24" name="图片 5" descr="IMG_256"/>
                    <pic:cNvPicPr/>
                  </pic:nvPicPr>
                  <pic:blipFill>
                    <a:blip r:embed="rId32"/>
                    <a:srcRect b="19116"/>
                    <a:stretch>
                      <a:fillRect/>
                    </a:stretch>
                  </pic:blipFill>
                  <pic:spPr>
                    <a:xfrm>
                      <a:off x="0" y="0"/>
                      <a:ext cx="2520315" cy="1418590"/>
                    </a:xfrm>
                    <a:prstGeom prst="rect">
                      <a:avLst/>
                    </a:prstGeom>
                    <a:noFill/>
                    <a:ln w="9525">
                      <a:noFill/>
                    </a:ln>
                  </pic:spPr>
                </pic:pic>
              </a:graphicData>
            </a:graphic>
          </wp:inline>
        </w:drawing>
      </w:r>
    </w:p>
    <w:p w14:paraId="47C8D1B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sz w:val="28"/>
          <w:szCs w:val="24"/>
        </w:rPr>
      </w:pPr>
      <w:r>
        <w:rPr>
          <w:rFonts w:hint="default" w:ascii="Times New Roman" w:hAnsi="Times New Roman" w:eastAsia="宋体" w:cs="Times New Roman"/>
          <w:b/>
          <w:bCs/>
          <w:sz w:val="21"/>
          <w:szCs w:val="21"/>
          <w:lang w:val="en-US" w:eastAsia="zh-CN"/>
        </w:rPr>
        <w:t>图3</w:t>
      </w:r>
      <w:r>
        <w:rPr>
          <w:rFonts w:hint="eastAsia" w:ascii="Times New Roman" w:hAnsi="Times New Roman" w:cs="Times New Roman"/>
          <w:b/>
          <w:bCs/>
          <w:sz w:val="21"/>
          <w:szCs w:val="21"/>
          <w:lang w:val="en-US" w:eastAsia="zh-CN"/>
        </w:rPr>
        <w:t>-11</w:t>
      </w:r>
      <w:r>
        <w:rPr>
          <w:rFonts w:hint="default" w:ascii="Times New Roman" w:hAnsi="Times New Roman" w:eastAsia="宋体" w:cs="Times New Roman"/>
          <w:b/>
          <w:bCs/>
          <w:sz w:val="21"/>
          <w:szCs w:val="21"/>
          <w:lang w:val="en-US" w:eastAsia="zh-CN"/>
        </w:rPr>
        <w:t xml:space="preserve"> 日照港岚山公司双通道隧道式洗车平台</w:t>
      </w:r>
    </w:p>
    <w:p w14:paraId="167A8638">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（2）建设材质、规格及形式</w:t>
      </w:r>
    </w:p>
    <w:p w14:paraId="7B643B78">
      <w:pPr>
        <w:pStyle w:val="6"/>
        <w:bidi w:val="0"/>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sz w:val="24"/>
          <w:szCs w:val="24"/>
          <w:lang w:val="en-US" w:eastAsia="zh-CN"/>
        </w:rPr>
        <w:t>山东港口日照港岚山公司洗车平台为双通道隧道式</w:t>
      </w:r>
      <w:r>
        <w:rPr>
          <w:rFonts w:hint="eastAsia" w:ascii="Times New Roman" w:hAnsi="Times New Roman" w:eastAsia="宋体" w:cs="Times New Roman"/>
          <w:sz w:val="24"/>
          <w:szCs w:val="24"/>
          <w:lang w:val="en-US" w:eastAsia="zh-CN"/>
        </w:rPr>
        <w:t>连续</w:t>
      </w:r>
      <w:r>
        <w:rPr>
          <w:rFonts w:hint="default" w:ascii="Times New Roman" w:hAnsi="Times New Roman" w:eastAsia="宋体" w:cs="Times New Roman"/>
          <w:sz w:val="24"/>
          <w:szCs w:val="24"/>
          <w:lang w:val="en-US" w:eastAsia="zh-CN"/>
        </w:rPr>
        <w:t>洗车平台，洗车平台冲洗通道长34m、宽3.4m，</w:t>
      </w:r>
      <w:r>
        <w:rPr>
          <w:rFonts w:hint="default" w:ascii="Times New Roman" w:hAnsi="Times New Roman" w:eastAsia="宋体" w:cs="Times New Roman"/>
          <w:sz w:val="24"/>
          <w:szCs w:val="24"/>
        </w:rPr>
        <w:t>承重能力高达150</w:t>
      </w:r>
      <w:r>
        <w:rPr>
          <w:rFonts w:hint="eastAsia" w:ascii="Times New Roman" w:hAnsi="Times New Roman" w:eastAsia="宋体" w:cs="Times New Roman"/>
          <w:sz w:val="24"/>
          <w:szCs w:val="24"/>
          <w:lang w:val="en-US" w:eastAsia="zh-CN"/>
        </w:rPr>
        <w:t>t</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rPr>
        <w:t>单日最大车辆清洗能力可达3000台次。</w:t>
      </w:r>
    </w:p>
    <w:p w14:paraId="26C066F1">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（3）相关设施、设备组成</w:t>
      </w:r>
    </w:p>
    <w:p w14:paraId="4FA21D3B">
      <w:pPr>
        <w:pStyle w:val="6"/>
        <w:bidi w:val="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rPr>
        <w:t>山东港口日照港岚山公司洗车</w:t>
      </w:r>
      <w:r>
        <w:rPr>
          <w:rFonts w:hint="default" w:ascii="Times New Roman" w:hAnsi="Times New Roman" w:eastAsia="宋体" w:cs="Times New Roman"/>
          <w:sz w:val="24"/>
          <w:szCs w:val="24"/>
          <w:lang w:val="en-US" w:eastAsia="zh-CN"/>
        </w:rPr>
        <w:t>平</w:t>
      </w:r>
      <w:r>
        <w:rPr>
          <w:rFonts w:hint="default" w:ascii="Times New Roman" w:hAnsi="Times New Roman" w:eastAsia="宋体" w:cs="Times New Roman"/>
          <w:sz w:val="24"/>
          <w:szCs w:val="24"/>
        </w:rPr>
        <w:t>台</w:t>
      </w:r>
      <w:r>
        <w:rPr>
          <w:rFonts w:hint="default" w:ascii="Times New Roman" w:hAnsi="Times New Roman" w:eastAsia="宋体" w:cs="Times New Roman"/>
          <w:sz w:val="24"/>
          <w:szCs w:val="24"/>
          <w:lang w:val="en-US" w:eastAsia="zh-CN"/>
        </w:rPr>
        <w:t>车辆</w:t>
      </w:r>
      <w:r>
        <w:rPr>
          <w:rFonts w:hint="default" w:ascii="Times New Roman" w:hAnsi="Times New Roman" w:eastAsia="宋体" w:cs="Times New Roman"/>
          <w:sz w:val="24"/>
          <w:szCs w:val="24"/>
        </w:rPr>
        <w:t>通道出口处安装了车辆沥水装置，该装置集震动、沥水和集水功能于一体，并具备自动喷水自洁功能。车辆经过全方位清洗后，会进入</w:t>
      </w:r>
      <w:r>
        <w:rPr>
          <w:rFonts w:hint="default" w:ascii="Times New Roman" w:hAnsi="Times New Roman" w:eastAsia="宋体" w:cs="Times New Roman"/>
          <w:sz w:val="24"/>
          <w:szCs w:val="24"/>
          <w:lang w:val="en-US" w:eastAsia="zh-CN"/>
        </w:rPr>
        <w:t>该沥水</w:t>
      </w:r>
      <w:r>
        <w:rPr>
          <w:rFonts w:hint="default" w:ascii="Times New Roman" w:hAnsi="Times New Roman" w:eastAsia="宋体" w:cs="Times New Roman"/>
          <w:sz w:val="24"/>
          <w:szCs w:val="24"/>
        </w:rPr>
        <w:t>风干区域。</w:t>
      </w:r>
      <w:r>
        <w:rPr>
          <w:rFonts w:hint="default" w:ascii="Times New Roman" w:hAnsi="Times New Roman" w:eastAsia="宋体" w:cs="Times New Roman"/>
          <w:sz w:val="24"/>
          <w:szCs w:val="24"/>
          <w:lang w:val="en-US" w:eastAsia="zh-CN"/>
        </w:rPr>
        <w:t>该区域</w:t>
      </w:r>
      <w:r>
        <w:rPr>
          <w:rFonts w:hint="default" w:ascii="Times New Roman" w:hAnsi="Times New Roman" w:eastAsia="宋体" w:cs="Times New Roman"/>
          <w:sz w:val="24"/>
          <w:szCs w:val="24"/>
        </w:rPr>
        <w:t>通道两侧</w:t>
      </w:r>
      <w:r>
        <w:rPr>
          <w:rFonts w:hint="default" w:ascii="Times New Roman" w:hAnsi="Times New Roman" w:eastAsia="宋体" w:cs="Times New Roman"/>
          <w:sz w:val="24"/>
          <w:szCs w:val="24"/>
          <w:lang w:val="en-US" w:eastAsia="zh-CN"/>
        </w:rPr>
        <w:t>设置有</w:t>
      </w:r>
      <w:r>
        <w:rPr>
          <w:rFonts w:hint="default" w:ascii="Times New Roman" w:hAnsi="Times New Roman" w:eastAsia="宋体" w:cs="Times New Roman"/>
          <w:sz w:val="24"/>
          <w:szCs w:val="24"/>
        </w:rPr>
        <w:t>风干机，配备了独立感应及控制系统，具备智能延时启动功能。这些风干机能够迅速吹落车体表面的大部分水珠，</w:t>
      </w:r>
      <w:r>
        <w:rPr>
          <w:rFonts w:hint="default" w:ascii="Times New Roman" w:hAnsi="Times New Roman" w:eastAsia="宋体" w:cs="Times New Roman"/>
          <w:sz w:val="24"/>
          <w:szCs w:val="24"/>
          <w:lang w:val="en-US" w:eastAsia="zh-CN"/>
        </w:rPr>
        <w:t>进一步利用沥水</w:t>
      </w:r>
      <w:r>
        <w:rPr>
          <w:rFonts w:hint="default" w:ascii="Times New Roman" w:hAnsi="Times New Roman" w:eastAsia="宋体" w:cs="Times New Roman"/>
          <w:sz w:val="24"/>
          <w:szCs w:val="24"/>
        </w:rPr>
        <w:t>风干区</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车辆沥水钢结构，车身残留存水</w:t>
      </w:r>
      <w:r>
        <w:rPr>
          <w:rFonts w:hint="default" w:ascii="Times New Roman" w:hAnsi="Times New Roman" w:eastAsia="宋体" w:cs="Times New Roman"/>
          <w:sz w:val="24"/>
          <w:szCs w:val="24"/>
          <w:lang w:val="en-US" w:eastAsia="zh-CN"/>
        </w:rPr>
        <w:t>迅速去除</w:t>
      </w:r>
      <w:r>
        <w:rPr>
          <w:rFonts w:hint="default" w:ascii="Times New Roman" w:hAnsi="Times New Roman" w:eastAsia="宋体" w:cs="Times New Roman"/>
          <w:sz w:val="24"/>
          <w:szCs w:val="24"/>
        </w:rPr>
        <w:t>，从而减少对路面的二次污染</w:t>
      </w:r>
      <w:r>
        <w:rPr>
          <w:rFonts w:hint="default" w:ascii="Times New Roman" w:hAnsi="Times New Roman" w:eastAsia="宋体" w:cs="Times New Roman"/>
          <w:sz w:val="24"/>
          <w:szCs w:val="24"/>
          <w:lang w:eastAsia="zh-CN"/>
        </w:rPr>
        <w:t>。</w:t>
      </w:r>
    </w:p>
    <w:p w14:paraId="58ECE42B">
      <w:pPr>
        <w:pageBreakBefore w:val="0"/>
        <w:widowControl w:val="0"/>
        <w:numPr>
          <w:ilvl w:val="0"/>
          <w:numId w:val="0"/>
        </w:numPr>
        <w:kinsoku/>
        <w:wordWrap/>
        <w:overflowPunct/>
        <w:topLinePunct w:val="0"/>
        <w:bidi w:val="0"/>
        <w:spacing w:line="360" w:lineRule="auto"/>
        <w:ind w:left="0" w:right="0"/>
        <w:jc w:val="both"/>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2520315" cy="1418590"/>
            <wp:effectExtent l="0" t="0" r="13335" b="10160"/>
            <wp:docPr id="27" name="图片 8" descr="IMG_256"/>
            <wp:cNvGraphicFramePr/>
            <a:graphic xmlns:a="http://schemas.openxmlformats.org/drawingml/2006/main">
              <a:graphicData uri="http://schemas.openxmlformats.org/drawingml/2006/picture">
                <pic:pic xmlns:pic="http://schemas.openxmlformats.org/drawingml/2006/picture">
                  <pic:nvPicPr>
                    <pic:cNvPr id="27" name="图片 8" descr="IMG_256"/>
                    <pic:cNvPicPr/>
                  </pic:nvPicPr>
                  <pic:blipFill>
                    <a:blip r:embed="rId32"/>
                    <a:srcRect t="22242" b="5534"/>
                    <a:stretch>
                      <a:fillRect/>
                    </a:stretch>
                  </pic:blipFill>
                  <pic:spPr>
                    <a:xfrm>
                      <a:off x="0" y="0"/>
                      <a:ext cx="2520315" cy="1418590"/>
                    </a:xfrm>
                    <a:prstGeom prst="rect">
                      <a:avLst/>
                    </a:prstGeom>
                    <a:noFill/>
                    <a:ln w="9525">
                      <a:noFill/>
                    </a:ln>
                  </pic:spPr>
                </pic:pic>
              </a:graphicData>
            </a:graphic>
          </wp:inline>
        </w:drawing>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drawing>
          <wp:inline distT="0" distB="0" distL="114300" distR="114300">
            <wp:extent cx="2520315" cy="1418590"/>
            <wp:effectExtent l="0" t="0" r="13335" b="10160"/>
            <wp:docPr id="26" name="图片 7" descr="IMG_256"/>
            <wp:cNvGraphicFramePr/>
            <a:graphic xmlns:a="http://schemas.openxmlformats.org/drawingml/2006/main">
              <a:graphicData uri="http://schemas.openxmlformats.org/drawingml/2006/picture">
                <pic:pic xmlns:pic="http://schemas.openxmlformats.org/drawingml/2006/picture">
                  <pic:nvPicPr>
                    <pic:cNvPr id="26" name="图片 7" descr="IMG_256"/>
                    <pic:cNvPicPr/>
                  </pic:nvPicPr>
                  <pic:blipFill>
                    <a:blip r:embed="rId33"/>
                    <a:stretch>
                      <a:fillRect/>
                    </a:stretch>
                  </pic:blipFill>
                  <pic:spPr>
                    <a:xfrm>
                      <a:off x="0" y="0"/>
                      <a:ext cx="2520315" cy="1418590"/>
                    </a:xfrm>
                    <a:prstGeom prst="rect">
                      <a:avLst/>
                    </a:prstGeom>
                    <a:noFill/>
                    <a:ln w="9525">
                      <a:noFill/>
                    </a:ln>
                  </pic:spPr>
                </pic:pic>
              </a:graphicData>
            </a:graphic>
          </wp:inline>
        </w:drawing>
      </w:r>
    </w:p>
    <w:p w14:paraId="4187A30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bCs/>
          <w:sz w:val="21"/>
          <w:szCs w:val="21"/>
          <w:lang w:val="en-US" w:eastAsia="zh-CN"/>
        </w:rPr>
        <w:t>图3</w:t>
      </w:r>
      <w:r>
        <w:rPr>
          <w:rFonts w:hint="eastAsia" w:ascii="Times New Roman" w:hAnsi="Times New Roman" w:cs="Times New Roman"/>
          <w:b/>
          <w:bCs/>
          <w:sz w:val="21"/>
          <w:szCs w:val="21"/>
          <w:lang w:val="en-US" w:eastAsia="zh-CN"/>
        </w:rPr>
        <w:t>-12</w:t>
      </w:r>
      <w:r>
        <w:rPr>
          <w:rFonts w:hint="default" w:ascii="Times New Roman" w:hAnsi="Times New Roman" w:eastAsia="宋体" w:cs="Times New Roman"/>
          <w:b/>
          <w:bCs/>
          <w:sz w:val="21"/>
          <w:szCs w:val="21"/>
          <w:lang w:val="en-US" w:eastAsia="zh-CN"/>
        </w:rPr>
        <w:t xml:space="preserve"> 山东港口日照港岚山公司洗车平台沥水风干区域</w:t>
      </w:r>
    </w:p>
    <w:p w14:paraId="56AA25A0">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（4）冲洗系统</w:t>
      </w:r>
    </w:p>
    <w:p w14:paraId="6AF6043D">
      <w:pPr>
        <w:pStyle w:val="6"/>
        <w:bidi w:val="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sz w:val="24"/>
          <w:szCs w:val="24"/>
        </w:rPr>
        <w:t>山东港口日照港岚山公司洗车</w:t>
      </w:r>
      <w:r>
        <w:rPr>
          <w:rFonts w:hint="default" w:ascii="Times New Roman" w:hAnsi="Times New Roman" w:eastAsia="宋体" w:cs="Times New Roman"/>
          <w:sz w:val="24"/>
          <w:szCs w:val="24"/>
          <w:lang w:val="en-US" w:eastAsia="zh-CN"/>
        </w:rPr>
        <w:t>平</w:t>
      </w:r>
      <w:r>
        <w:rPr>
          <w:rFonts w:hint="default" w:ascii="Times New Roman" w:hAnsi="Times New Roman" w:eastAsia="宋体" w:cs="Times New Roman"/>
          <w:sz w:val="24"/>
          <w:szCs w:val="24"/>
        </w:rPr>
        <w:t>台采用了先进的清洗技术，包括清洗区侧喷、底喷和上喷，共计850道水柱，冲洗面覆盖车辆底部、裙边、车轮内外侧及轮胎缝隙等。</w:t>
      </w:r>
      <w:r>
        <w:rPr>
          <w:rFonts w:hint="default" w:ascii="Times New Roman" w:hAnsi="Times New Roman" w:eastAsia="宋体" w:cs="Times New Roman"/>
          <w:sz w:val="24"/>
          <w:szCs w:val="24"/>
          <w:lang w:val="en-US" w:eastAsia="zh-CN"/>
        </w:rPr>
        <w:t>该洗车平台设置了</w:t>
      </w:r>
      <w:r>
        <w:rPr>
          <w:rFonts w:hint="default" w:ascii="Times New Roman" w:hAnsi="Times New Roman" w:eastAsia="宋体" w:cs="Times New Roman"/>
          <w:sz w:val="24"/>
          <w:szCs w:val="24"/>
        </w:rPr>
        <w:t>红外感应器自动检测车辆，一旦车辆驶入清洗通道，电控系统便会精准控制水泵的开启，对车辆进行全方位冲洗</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清洗完成后，电控系统会自动关闭水泵。</w:t>
      </w:r>
    </w:p>
    <w:p w14:paraId="6FF2F8EC">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（5）污水处置与利用</w:t>
      </w:r>
    </w:p>
    <w:p w14:paraId="1B1EB127">
      <w:pPr>
        <w:pStyle w:val="6"/>
        <w:bidi w:val="0"/>
        <w:rPr>
          <w:rFonts w:hint="default" w:ascii="Times New Roman" w:hAnsi="Times New Roman" w:eastAsia="宋体" w:cs="Times New Roman"/>
          <w:lang w:val="en-US" w:eastAsia="zh-CN"/>
        </w:rPr>
      </w:pPr>
      <w:r>
        <w:rPr>
          <w:rFonts w:hint="default" w:ascii="Times New Roman" w:hAnsi="Times New Roman" w:eastAsia="宋体" w:cs="Times New Roman"/>
          <w:sz w:val="24"/>
          <w:szCs w:val="24"/>
        </w:rPr>
        <w:t>山东港口日照港岚山公司洗车平台</w:t>
      </w:r>
      <w:r>
        <w:rPr>
          <w:rFonts w:hint="default" w:ascii="Times New Roman" w:hAnsi="Times New Roman" w:eastAsia="宋体" w:cs="Times New Roman"/>
          <w:sz w:val="24"/>
          <w:szCs w:val="24"/>
          <w:lang w:val="en-US" w:eastAsia="zh-CN"/>
        </w:rPr>
        <w:t>配套</w:t>
      </w:r>
      <w:r>
        <w:rPr>
          <w:rFonts w:hint="default" w:ascii="Times New Roman" w:hAnsi="Times New Roman" w:eastAsia="宋体" w:cs="Times New Roman"/>
          <w:sz w:val="24"/>
          <w:szCs w:val="24"/>
        </w:rPr>
        <w:t>了三级沉淀过滤循环用水系统。清洗后的</w:t>
      </w:r>
      <w:r>
        <w:rPr>
          <w:rFonts w:hint="default" w:ascii="Times New Roman" w:hAnsi="Times New Roman" w:eastAsia="宋体" w:cs="Times New Roman"/>
          <w:sz w:val="24"/>
          <w:szCs w:val="24"/>
          <w:lang w:val="en-US" w:eastAsia="zh-CN"/>
        </w:rPr>
        <w:t>污</w:t>
      </w:r>
      <w:r>
        <w:rPr>
          <w:rFonts w:hint="default" w:ascii="Times New Roman" w:hAnsi="Times New Roman" w:eastAsia="宋体" w:cs="Times New Roman"/>
          <w:sz w:val="24"/>
          <w:szCs w:val="24"/>
        </w:rPr>
        <w:t>水会</w:t>
      </w:r>
      <w:r>
        <w:rPr>
          <w:rFonts w:hint="default" w:ascii="Times New Roman" w:hAnsi="Times New Roman" w:eastAsia="宋体" w:cs="Times New Roman"/>
          <w:sz w:val="24"/>
          <w:szCs w:val="24"/>
          <w:lang w:val="en-US" w:eastAsia="zh-CN"/>
        </w:rPr>
        <w:t>通过</w:t>
      </w:r>
      <w:r>
        <w:rPr>
          <w:rFonts w:hint="default" w:ascii="Times New Roman" w:hAnsi="Times New Roman" w:eastAsia="宋体" w:cs="Times New Roman"/>
          <w:sz w:val="24"/>
          <w:szCs w:val="24"/>
        </w:rPr>
        <w:t>收集结构和回流沟流入循环沉淀池。在沉淀池中，水经过一段时间的自然沉淀和净化后，又会重新回到泵室，从而实现对后续车辆的再次清洗。日照港岚山公司洗车平台</w:t>
      </w:r>
      <w:r>
        <w:rPr>
          <w:rFonts w:hint="default" w:ascii="Times New Roman" w:hAnsi="Times New Roman" w:eastAsia="宋体" w:cs="Times New Roman"/>
          <w:sz w:val="24"/>
          <w:szCs w:val="24"/>
          <w:lang w:val="en-US" w:eastAsia="zh-CN"/>
        </w:rPr>
        <w:t>三级沉淀池如图3</w:t>
      </w:r>
      <w:r>
        <w:rPr>
          <w:rFonts w:hint="eastAsia" w:ascii="Times New Roman" w:hAnsi="Times New Roman" w:eastAsia="宋体" w:cs="Times New Roman"/>
          <w:sz w:val="24"/>
          <w:szCs w:val="24"/>
          <w:lang w:val="en-US" w:eastAsia="zh-CN"/>
        </w:rPr>
        <w:t>-13</w:t>
      </w:r>
      <w:r>
        <w:rPr>
          <w:rFonts w:hint="default" w:ascii="Times New Roman" w:hAnsi="Times New Roman" w:eastAsia="宋体" w:cs="Times New Roman"/>
          <w:sz w:val="24"/>
          <w:szCs w:val="24"/>
          <w:lang w:val="en-US" w:eastAsia="zh-CN"/>
        </w:rPr>
        <w:t>所示。</w:t>
      </w:r>
    </w:p>
    <w:p w14:paraId="4F6ED35C">
      <w:pPr>
        <w:pageBreakBefore w:val="0"/>
        <w:kinsoku/>
        <w:wordWrap/>
        <w:overflowPunct/>
        <w:topLinePunct w:val="0"/>
        <w:bidi w:val="0"/>
        <w:ind w:left="0" w:right="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2520315" cy="1418590"/>
            <wp:effectExtent l="0" t="0" r="13335" b="10160"/>
            <wp:docPr id="25" name="图片 6" descr="IMG_256"/>
            <wp:cNvGraphicFramePr/>
            <a:graphic xmlns:a="http://schemas.openxmlformats.org/drawingml/2006/main">
              <a:graphicData uri="http://schemas.openxmlformats.org/drawingml/2006/picture">
                <pic:pic xmlns:pic="http://schemas.openxmlformats.org/drawingml/2006/picture">
                  <pic:nvPicPr>
                    <pic:cNvPr id="25" name="图片 6" descr="IMG_256"/>
                    <pic:cNvPicPr/>
                  </pic:nvPicPr>
                  <pic:blipFill>
                    <a:blip r:embed="rId34"/>
                    <a:stretch>
                      <a:fillRect/>
                    </a:stretch>
                  </pic:blipFill>
                  <pic:spPr>
                    <a:xfrm>
                      <a:off x="0" y="0"/>
                      <a:ext cx="2520315" cy="1418590"/>
                    </a:xfrm>
                    <a:prstGeom prst="rect">
                      <a:avLst/>
                    </a:prstGeom>
                    <a:noFill/>
                    <a:ln w="9525">
                      <a:noFill/>
                    </a:ln>
                  </pic:spPr>
                </pic:pic>
              </a:graphicData>
            </a:graphic>
          </wp:inline>
        </w:drawing>
      </w:r>
    </w:p>
    <w:p w14:paraId="1CF7B44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b/>
          <w:bCs/>
          <w:sz w:val="21"/>
          <w:szCs w:val="21"/>
          <w:lang w:val="en-US" w:eastAsia="zh-CN"/>
        </w:rPr>
        <w:t>图3</w:t>
      </w:r>
      <w:r>
        <w:rPr>
          <w:rFonts w:hint="eastAsia" w:ascii="Times New Roman" w:hAnsi="Times New Roman" w:cs="Times New Roman"/>
          <w:b/>
          <w:bCs/>
          <w:sz w:val="21"/>
          <w:szCs w:val="21"/>
          <w:lang w:val="en-US" w:eastAsia="zh-CN"/>
        </w:rPr>
        <w:t>-13</w:t>
      </w:r>
      <w:r>
        <w:rPr>
          <w:rFonts w:hint="default" w:ascii="Times New Roman" w:hAnsi="Times New Roman" w:eastAsia="宋体" w:cs="Times New Roman"/>
          <w:b/>
          <w:bCs/>
          <w:sz w:val="21"/>
          <w:szCs w:val="21"/>
          <w:lang w:val="en-US" w:eastAsia="zh-CN"/>
        </w:rPr>
        <w:t xml:space="preserve"> 山东港口日照港岚山公司洗车平台配套建设的沉淀池</w:t>
      </w:r>
    </w:p>
    <w:p w14:paraId="5EC66C40">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19" w:name="_Toc9374"/>
      <w:r>
        <w:rPr>
          <w:rFonts w:hint="default" w:ascii="Times New Roman" w:hAnsi="Times New Roman" w:eastAsia="黑体" w:cs="Times New Roman"/>
          <w:spacing w:val="-2"/>
          <w:sz w:val="28"/>
          <w:szCs w:val="28"/>
          <w:lang w:val="en-US" w:eastAsia="zh-CN"/>
        </w:rPr>
        <w:t>6 山东港口日照港海港装卸公司</w:t>
      </w:r>
      <w:bookmarkEnd w:id="19"/>
    </w:p>
    <w:p w14:paraId="04A40AE3">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（1）选址与布置</w:t>
      </w:r>
    </w:p>
    <w:p w14:paraId="68A9B9C1">
      <w:pPr>
        <w:pStyle w:val="6"/>
        <w:bidi w:val="0"/>
        <w:rPr>
          <w:rFonts w:hint="default"/>
          <w:lang w:val="en-US" w:eastAsia="zh-CN"/>
        </w:rPr>
      </w:pPr>
      <w:r>
        <w:rPr>
          <w:rFonts w:hint="default"/>
          <w:lang w:val="en-US" w:eastAsia="zh-CN"/>
        </w:rPr>
        <w:t>山东港口日照港海港装卸公司在港区出口设置了一座双通道洗车平台，洗车平台如图3</w:t>
      </w:r>
      <w:r>
        <w:rPr>
          <w:rFonts w:hint="eastAsia"/>
          <w:lang w:val="en-US" w:eastAsia="zh-CN"/>
        </w:rPr>
        <w:t>-14</w:t>
      </w:r>
      <w:r>
        <w:rPr>
          <w:rFonts w:hint="default"/>
          <w:lang w:val="en-US" w:eastAsia="zh-CN"/>
        </w:rPr>
        <w:t>所示。</w:t>
      </w:r>
    </w:p>
    <w:p w14:paraId="687C84B8">
      <w:pPr>
        <w:pageBreakBefore w:val="0"/>
        <w:kinsoku/>
        <w:wordWrap/>
        <w:overflowPunct/>
        <w:topLinePunct w:val="0"/>
        <w:bidi w:val="0"/>
        <w:ind w:left="0" w:right="0"/>
        <w:rPr>
          <w:rFonts w:hint="default" w:ascii="Times New Roman" w:hAnsi="Times New Roman" w:cs="Times New Roman"/>
          <w:lang w:val="en-US" w:eastAsia="zh-CN"/>
        </w:rPr>
      </w:pPr>
      <w:r>
        <w:rPr>
          <w:rFonts w:hint="default" w:ascii="Times New Roman" w:hAnsi="Times New Roman" w:cs="Times New Roman"/>
          <w:lang w:val="en-US" w:eastAsia="zh-CN"/>
        </w:rPr>
        <w:drawing>
          <wp:inline distT="0" distB="0" distL="114300" distR="114300">
            <wp:extent cx="2520315" cy="1418590"/>
            <wp:effectExtent l="0" t="0" r="13335" b="10160"/>
            <wp:docPr id="75" name="图片 75" descr="d9d82dbc480f2468fb578c23781c9430"/>
            <wp:cNvGraphicFramePr/>
            <a:graphic xmlns:a="http://schemas.openxmlformats.org/drawingml/2006/main">
              <a:graphicData uri="http://schemas.openxmlformats.org/drawingml/2006/picture">
                <pic:pic xmlns:pic="http://schemas.openxmlformats.org/drawingml/2006/picture">
                  <pic:nvPicPr>
                    <pic:cNvPr id="75" name="图片 75" descr="d9d82dbc480f2468fb578c23781c9430"/>
                    <pic:cNvPicPr/>
                  </pic:nvPicPr>
                  <pic:blipFill>
                    <a:blip r:embed="rId35"/>
                    <a:srcRect t="7146" b="6541"/>
                    <a:stretch>
                      <a:fillRect/>
                    </a:stretch>
                  </pic:blipFill>
                  <pic:spPr>
                    <a:xfrm>
                      <a:off x="0" y="0"/>
                      <a:ext cx="2520315" cy="1418590"/>
                    </a:xfrm>
                    <a:prstGeom prst="rect">
                      <a:avLst/>
                    </a:prstGeom>
                  </pic:spPr>
                </pic:pic>
              </a:graphicData>
            </a:graphic>
          </wp:inline>
        </w:drawing>
      </w:r>
      <w:r>
        <w:rPr>
          <w:rFonts w:hint="default" w:ascii="Times New Roman" w:hAnsi="Times New Roman" w:cs="Times New Roman"/>
          <w:lang w:val="en-US" w:eastAsia="zh-CN"/>
        </w:rPr>
        <w:t xml:space="preserve"> </w:t>
      </w:r>
      <w:r>
        <w:rPr>
          <w:rFonts w:hint="default" w:ascii="Times New Roman" w:hAnsi="Times New Roman" w:cs="Times New Roman"/>
          <w:lang w:val="en-US" w:eastAsia="zh-CN"/>
        </w:rPr>
        <w:drawing>
          <wp:inline distT="0" distB="0" distL="114300" distR="114300">
            <wp:extent cx="2520315" cy="1418590"/>
            <wp:effectExtent l="0" t="0" r="13335" b="10160"/>
            <wp:docPr id="76" name="图片 76" descr="e91dd6a701f22aacc68644ab3816bc5f"/>
            <wp:cNvGraphicFramePr/>
            <a:graphic xmlns:a="http://schemas.openxmlformats.org/drawingml/2006/main">
              <a:graphicData uri="http://schemas.openxmlformats.org/drawingml/2006/picture">
                <pic:pic xmlns:pic="http://schemas.openxmlformats.org/drawingml/2006/picture">
                  <pic:nvPicPr>
                    <pic:cNvPr id="76" name="图片 76" descr="e91dd6a701f22aacc68644ab3816bc5f"/>
                    <pic:cNvPicPr/>
                  </pic:nvPicPr>
                  <pic:blipFill>
                    <a:blip r:embed="rId36"/>
                    <a:srcRect t="6853"/>
                    <a:stretch>
                      <a:fillRect/>
                    </a:stretch>
                  </pic:blipFill>
                  <pic:spPr>
                    <a:xfrm>
                      <a:off x="0" y="0"/>
                      <a:ext cx="2520315" cy="1418590"/>
                    </a:xfrm>
                    <a:prstGeom prst="rect">
                      <a:avLst/>
                    </a:prstGeom>
                  </pic:spPr>
                </pic:pic>
              </a:graphicData>
            </a:graphic>
          </wp:inline>
        </w:drawing>
      </w:r>
    </w:p>
    <w:p w14:paraId="7D14142C">
      <w:pPr>
        <w:pageBreakBefore w:val="0"/>
        <w:kinsoku/>
        <w:wordWrap/>
        <w:overflowPunct/>
        <w:topLinePunct w:val="0"/>
        <w:bidi w:val="0"/>
        <w:ind w:left="0" w:right="0"/>
        <w:jc w:val="center"/>
        <w:rPr>
          <w:rFonts w:hint="default" w:ascii="Times New Roman" w:hAnsi="Times New Roman" w:cs="Times New Roman"/>
          <w:b/>
          <w:bCs/>
          <w:sz w:val="21"/>
          <w:szCs w:val="24"/>
          <w:lang w:val="en-US" w:eastAsia="zh-CN"/>
        </w:rPr>
      </w:pPr>
      <w:r>
        <w:rPr>
          <w:rFonts w:hint="default" w:ascii="Times New Roman" w:hAnsi="Times New Roman" w:cs="Times New Roman"/>
          <w:b/>
          <w:bCs/>
          <w:sz w:val="21"/>
          <w:szCs w:val="24"/>
          <w:lang w:val="en-US" w:eastAsia="zh-CN"/>
        </w:rPr>
        <w:t>图3</w:t>
      </w:r>
      <w:r>
        <w:rPr>
          <w:rFonts w:hint="eastAsia" w:ascii="Times New Roman" w:hAnsi="Times New Roman" w:cs="Times New Roman"/>
          <w:b/>
          <w:bCs/>
          <w:sz w:val="21"/>
          <w:szCs w:val="24"/>
          <w:lang w:val="en-US" w:eastAsia="zh-CN"/>
        </w:rPr>
        <w:t>-14</w:t>
      </w:r>
      <w:r>
        <w:rPr>
          <w:rFonts w:hint="default" w:ascii="Times New Roman" w:hAnsi="Times New Roman" w:cs="Times New Roman"/>
          <w:b/>
          <w:bCs/>
          <w:sz w:val="21"/>
          <w:szCs w:val="24"/>
          <w:lang w:val="en-US" w:eastAsia="zh-CN"/>
        </w:rPr>
        <w:t xml:space="preserve"> </w:t>
      </w:r>
      <w:r>
        <w:rPr>
          <w:rFonts w:hint="default" w:ascii="Times New Roman" w:hAnsi="Times New Roman" w:cs="Times New Roman"/>
          <w:b/>
          <w:bCs/>
          <w:sz w:val="21"/>
          <w:szCs w:val="21"/>
          <w:lang w:val="en-US" w:eastAsia="zh-CN"/>
        </w:rPr>
        <w:t>山东港口日照港海港装卸公司</w:t>
      </w:r>
      <w:r>
        <w:rPr>
          <w:rFonts w:hint="default" w:ascii="Times New Roman" w:hAnsi="Times New Roman" w:cs="Times New Roman"/>
          <w:b/>
          <w:bCs/>
          <w:sz w:val="21"/>
          <w:szCs w:val="24"/>
          <w:lang w:val="en-US" w:eastAsia="zh-CN"/>
        </w:rPr>
        <w:t>洗车平台</w:t>
      </w:r>
    </w:p>
    <w:p w14:paraId="03F69F12">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（2）建设材质、规格及形式</w:t>
      </w:r>
    </w:p>
    <w:p w14:paraId="509B6700">
      <w:pPr>
        <w:pStyle w:val="6"/>
        <w:bidi w:val="0"/>
        <w:rPr>
          <w:rFonts w:hint="default"/>
          <w:lang w:val="en-US" w:eastAsia="zh-CN"/>
        </w:rPr>
      </w:pPr>
      <w:r>
        <w:rPr>
          <w:rFonts w:hint="default"/>
          <w:lang w:val="en-US" w:eastAsia="zh-CN"/>
        </w:rPr>
        <w:t>山东港口日照港海港装卸公司洗车平台主体结构材质为钢结构，总长约10m，可通行总吨150</w:t>
      </w:r>
      <w:r>
        <w:rPr>
          <w:rFonts w:hint="eastAsia"/>
          <w:lang w:val="en-US" w:eastAsia="zh-CN"/>
        </w:rPr>
        <w:t>t</w:t>
      </w:r>
      <w:r>
        <w:rPr>
          <w:rFonts w:hint="default"/>
          <w:lang w:val="en-US" w:eastAsia="zh-CN"/>
        </w:rPr>
        <w:t>以下的汽运车辆，整体为露天布置形式。该洗车平台通过能力达10万台次/月，清洗车辆能力可达150辆/h。</w:t>
      </w:r>
    </w:p>
    <w:p w14:paraId="43CD1A6C">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（3）相关设施、设备组成</w:t>
      </w:r>
    </w:p>
    <w:p w14:paraId="2965B3F7">
      <w:pPr>
        <w:pStyle w:val="6"/>
        <w:bidi w:val="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lang w:val="en-US" w:eastAsia="zh-CN"/>
        </w:rPr>
        <w:t>山东港口日照港海港装卸公司洗车平台</w:t>
      </w:r>
      <w:r>
        <w:rPr>
          <w:rFonts w:hint="default" w:ascii="Times New Roman" w:hAnsi="Times New Roman" w:eastAsia="宋体" w:cs="Times New Roman"/>
          <w:kern w:val="0"/>
          <w:sz w:val="24"/>
          <w:szCs w:val="24"/>
          <w:lang w:val="en-US" w:eastAsia="zh-CN" w:bidi="ar"/>
        </w:rPr>
        <w:t>配备了沥水、水循环等智能系统和循环水池等设施设备。</w:t>
      </w:r>
    </w:p>
    <w:p w14:paraId="65F537F5">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（4）冲洗系统</w:t>
      </w:r>
    </w:p>
    <w:p w14:paraId="64BE6D3D">
      <w:pPr>
        <w:pStyle w:val="6"/>
        <w:bidi w:val="0"/>
        <w:rPr>
          <w:rFonts w:hint="default"/>
          <w:lang w:val="en-US" w:eastAsia="zh-CN"/>
        </w:rPr>
      </w:pPr>
      <w:r>
        <w:rPr>
          <w:rFonts w:hint="default"/>
          <w:lang w:val="en-US" w:eastAsia="zh-CN"/>
        </w:rPr>
        <w:t>山东港口日照港海港装卸公司洗车平台冲洗系统设置了侧喷和底喷喷头，全方位冲刷车辆底盘和轮胎，水源为大流量低水压的循环水。</w:t>
      </w:r>
    </w:p>
    <w:p w14:paraId="214739E5">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（5）污水处置与利用</w:t>
      </w:r>
    </w:p>
    <w:p w14:paraId="27242B31">
      <w:pPr>
        <w:pStyle w:val="6"/>
        <w:bidi w:val="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lang w:val="en-US" w:eastAsia="zh-CN"/>
        </w:rPr>
        <w:t>山东港口日照港海港装卸公司洗车平台</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污水收集处置采用沉淀池，</w:t>
      </w:r>
      <w:r>
        <w:rPr>
          <w:rFonts w:hint="default" w:ascii="Times New Roman" w:hAnsi="Times New Roman" w:cs="Times New Roman"/>
          <w:vertAlign w:val="baseline"/>
          <w:lang w:val="en-US" w:eastAsia="zh-CN"/>
        </w:rPr>
        <w:t>污水污泥直接通过底板自流至收集池，定期进行清理。</w:t>
      </w:r>
    </w:p>
    <w:p w14:paraId="62F26DDD">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20" w:name="_Toc30913"/>
      <w:r>
        <w:rPr>
          <w:rFonts w:hint="default" w:ascii="Times New Roman" w:hAnsi="Times New Roman" w:eastAsia="黑体" w:cs="Times New Roman"/>
          <w:spacing w:val="-2"/>
          <w:sz w:val="28"/>
          <w:szCs w:val="28"/>
          <w:lang w:val="en-US" w:eastAsia="zh-CN"/>
        </w:rPr>
        <w:t>7 太仓武港矿石码头有限公司</w:t>
      </w:r>
      <w:bookmarkEnd w:id="20"/>
    </w:p>
    <w:p w14:paraId="15B8099D">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（1）选址与布置</w:t>
      </w:r>
    </w:p>
    <w:p w14:paraId="5D600E0F">
      <w:pPr>
        <w:pStyle w:val="6"/>
        <w:bidi w:val="0"/>
        <w:rPr>
          <w:rFonts w:hint="default"/>
          <w:lang w:val="en-US" w:eastAsia="zh-CN"/>
        </w:rPr>
      </w:pPr>
      <w:r>
        <w:rPr>
          <w:rFonts w:hint="default"/>
          <w:lang w:val="en-US" w:eastAsia="zh-CN"/>
        </w:rPr>
        <w:t>太仓武港矿石码头有限公司在散货堆场出入口设置</w:t>
      </w:r>
      <w:r>
        <w:rPr>
          <w:rFonts w:hint="eastAsia"/>
          <w:lang w:val="en-US" w:eastAsia="zh-CN"/>
        </w:rPr>
        <w:t>小型洗车平台</w:t>
      </w:r>
      <w:r>
        <w:rPr>
          <w:rFonts w:hint="default"/>
          <w:lang w:val="en-US" w:eastAsia="zh-CN"/>
        </w:rPr>
        <w:t>，如图3</w:t>
      </w:r>
      <w:r>
        <w:rPr>
          <w:rFonts w:hint="eastAsia"/>
          <w:lang w:val="en-US" w:eastAsia="zh-CN"/>
        </w:rPr>
        <w:t>-15</w:t>
      </w:r>
      <w:r>
        <w:rPr>
          <w:rFonts w:hint="default"/>
          <w:lang w:val="en-US" w:eastAsia="zh-CN"/>
        </w:rPr>
        <w:t>所示。</w:t>
      </w:r>
    </w:p>
    <w:p w14:paraId="4AE7D683">
      <w:pPr>
        <w:pageBreakBefore w:val="0"/>
        <w:kinsoku/>
        <w:wordWrap/>
        <w:overflowPunct/>
        <w:topLinePunct w:val="0"/>
        <w:bidi w:val="0"/>
        <w:ind w:left="0" w:right="0"/>
        <w:rPr>
          <w:rFonts w:hint="default" w:ascii="Times New Roman" w:hAnsi="Times New Roman" w:eastAsia="宋体" w:cs="Times New Roman"/>
          <w:bCs/>
          <w:color w:val="A6A6A6" w:themeColor="background1" w:themeShade="A6"/>
          <w:sz w:val="22"/>
          <w:szCs w:val="21"/>
          <w:highlight w:val="none"/>
          <w:lang w:val="en-US" w:eastAsia="zh-CN"/>
        </w:rPr>
      </w:pPr>
      <w:r>
        <w:rPr>
          <w:rFonts w:hint="default" w:ascii="Times New Roman" w:hAnsi="Times New Roman" w:eastAsia="宋体" w:cs="Times New Roman"/>
          <w:bCs/>
          <w:color w:val="A6A6A6" w:themeColor="background1" w:themeShade="A6"/>
          <w:sz w:val="22"/>
          <w:szCs w:val="21"/>
          <w:highlight w:val="none"/>
          <w:lang w:val="en-US" w:eastAsia="zh-CN"/>
        </w:rPr>
        <w:drawing>
          <wp:inline distT="0" distB="0" distL="114300" distR="114300">
            <wp:extent cx="2520315" cy="1418590"/>
            <wp:effectExtent l="0" t="0" r="13335" b="10160"/>
            <wp:docPr id="2" name="图片 2" descr="9f6f0133a94f113f45334168189be16"/>
            <wp:cNvGraphicFramePr/>
            <a:graphic xmlns:a="http://schemas.openxmlformats.org/drawingml/2006/main">
              <a:graphicData uri="http://schemas.openxmlformats.org/drawingml/2006/picture">
                <pic:pic xmlns:pic="http://schemas.openxmlformats.org/drawingml/2006/picture">
                  <pic:nvPicPr>
                    <pic:cNvPr id="2" name="图片 2" descr="9f6f0133a94f113f45334168189be16"/>
                    <pic:cNvPicPr/>
                  </pic:nvPicPr>
                  <pic:blipFill>
                    <a:blip r:embed="rId37"/>
                    <a:srcRect t="9486"/>
                    <a:stretch>
                      <a:fillRect/>
                    </a:stretch>
                  </pic:blipFill>
                  <pic:spPr>
                    <a:xfrm>
                      <a:off x="0" y="0"/>
                      <a:ext cx="2520315" cy="1418590"/>
                    </a:xfrm>
                    <a:prstGeom prst="rect">
                      <a:avLst/>
                    </a:prstGeom>
                  </pic:spPr>
                </pic:pic>
              </a:graphicData>
            </a:graphic>
          </wp:inline>
        </w:drawing>
      </w:r>
      <w:r>
        <w:rPr>
          <w:rFonts w:hint="default" w:ascii="Times New Roman" w:hAnsi="Times New Roman" w:eastAsia="宋体" w:cs="Times New Roman"/>
          <w:bCs/>
          <w:color w:val="A6A6A6" w:themeColor="background1" w:themeShade="A6"/>
          <w:sz w:val="22"/>
          <w:szCs w:val="21"/>
          <w:highlight w:val="none"/>
          <w:lang w:val="en-US" w:eastAsia="zh-CN"/>
        </w:rPr>
        <w:t xml:space="preserve"> </w:t>
      </w:r>
      <w:r>
        <w:rPr>
          <w:rFonts w:hint="default" w:ascii="Times New Roman" w:hAnsi="Times New Roman" w:eastAsia="宋体" w:cs="Times New Roman"/>
          <w:sz w:val="24"/>
          <w:szCs w:val="24"/>
        </w:rPr>
        <w:drawing>
          <wp:inline distT="0" distB="0" distL="114300" distR="114300">
            <wp:extent cx="2520315" cy="1418590"/>
            <wp:effectExtent l="0" t="0" r="13335" b="10160"/>
            <wp:docPr id="12" name="图片 7" descr="IMG_256"/>
            <wp:cNvGraphicFramePr/>
            <a:graphic xmlns:a="http://schemas.openxmlformats.org/drawingml/2006/main">
              <a:graphicData uri="http://schemas.openxmlformats.org/drawingml/2006/picture">
                <pic:pic xmlns:pic="http://schemas.openxmlformats.org/drawingml/2006/picture">
                  <pic:nvPicPr>
                    <pic:cNvPr id="12" name="图片 7" descr="IMG_256"/>
                    <pic:cNvPicPr/>
                  </pic:nvPicPr>
                  <pic:blipFill>
                    <a:blip r:embed="rId38"/>
                    <a:stretch>
                      <a:fillRect/>
                    </a:stretch>
                  </pic:blipFill>
                  <pic:spPr>
                    <a:xfrm>
                      <a:off x="0" y="0"/>
                      <a:ext cx="2520315" cy="1418590"/>
                    </a:xfrm>
                    <a:prstGeom prst="rect">
                      <a:avLst/>
                    </a:prstGeom>
                    <a:noFill/>
                    <a:ln w="9525">
                      <a:noFill/>
                    </a:ln>
                  </pic:spPr>
                </pic:pic>
              </a:graphicData>
            </a:graphic>
          </wp:inline>
        </w:drawing>
      </w:r>
    </w:p>
    <w:p w14:paraId="19E5D89D">
      <w:pPr>
        <w:pageBreakBefore w:val="0"/>
        <w:kinsoku/>
        <w:wordWrap/>
        <w:overflowPunct/>
        <w:topLinePunct w:val="0"/>
        <w:bidi w:val="0"/>
        <w:ind w:left="0" w:right="0"/>
        <w:jc w:val="center"/>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图3</w:t>
      </w:r>
      <w:r>
        <w:rPr>
          <w:rFonts w:hint="eastAsia" w:ascii="Times New Roman" w:hAnsi="Times New Roman" w:cs="Times New Roman"/>
          <w:b/>
          <w:bCs/>
          <w:sz w:val="21"/>
          <w:szCs w:val="21"/>
          <w:lang w:val="en-US" w:eastAsia="zh-CN"/>
        </w:rPr>
        <w:t>-15</w:t>
      </w:r>
      <w:r>
        <w:rPr>
          <w:rFonts w:hint="default" w:ascii="Times New Roman" w:hAnsi="Times New Roman" w:cs="Times New Roman"/>
          <w:b/>
          <w:bCs/>
          <w:sz w:val="21"/>
          <w:szCs w:val="21"/>
          <w:lang w:val="en-US" w:eastAsia="zh-CN"/>
        </w:rPr>
        <w:t xml:space="preserve"> 太仓武港矿石码头有限公司洗车平台建设位置</w:t>
      </w:r>
    </w:p>
    <w:p w14:paraId="0D11212B">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（2）建设材质、规格及形式</w:t>
      </w:r>
    </w:p>
    <w:p w14:paraId="2E0180B1">
      <w:pPr>
        <w:pStyle w:val="6"/>
        <w:bidi w:val="0"/>
        <w:rPr>
          <w:rFonts w:hint="default"/>
          <w:lang w:val="en-US" w:eastAsia="zh-CN"/>
        </w:rPr>
      </w:pPr>
      <w:r>
        <w:rPr>
          <w:rFonts w:hint="default"/>
          <w:lang w:val="en-US" w:eastAsia="zh-CN"/>
        </w:rPr>
        <w:t>太仓武港矿石码头有限公司建设的洗车平台为自动洗车机，设备长6m、宽4m、高1.65m，可通行总吨100</w:t>
      </w:r>
      <w:r>
        <w:rPr>
          <w:rFonts w:hint="eastAsia"/>
          <w:lang w:val="en-US" w:eastAsia="zh-CN"/>
        </w:rPr>
        <w:t>t</w:t>
      </w:r>
      <w:r>
        <w:rPr>
          <w:rFonts w:hint="default"/>
          <w:lang w:val="en-US" w:eastAsia="zh-CN"/>
        </w:rPr>
        <w:t>以下的汽运车辆。设备清洗部位为车辆底盘、轮胎及轮圈。</w:t>
      </w:r>
    </w:p>
    <w:p w14:paraId="5CC567F2">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（3）相关设施、设备组成</w:t>
      </w:r>
    </w:p>
    <w:p w14:paraId="33A60B5A">
      <w:pPr>
        <w:pStyle w:val="6"/>
        <w:bidi w:val="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lang w:val="en-US" w:eastAsia="zh-CN"/>
        </w:rPr>
        <w:t>太仓武港矿石码头有限公司自动冲洗装置主要</w:t>
      </w:r>
      <w:r>
        <w:rPr>
          <w:rFonts w:hint="default" w:ascii="Times New Roman" w:hAnsi="Times New Roman" w:cs="Times New Roman"/>
        </w:rPr>
        <w:t>由机身、喷头</w:t>
      </w:r>
      <w:r>
        <w:rPr>
          <w:rFonts w:hint="default" w:ascii="Times New Roman" w:hAnsi="Times New Roman" w:cs="Times New Roman"/>
          <w:lang w:eastAsia="zh-CN"/>
        </w:rPr>
        <w:t>、</w:t>
      </w:r>
      <w:r>
        <w:rPr>
          <w:rFonts w:hint="default" w:ascii="Times New Roman" w:hAnsi="Times New Roman" w:cs="Times New Roman"/>
          <w:lang w:val="en-US" w:eastAsia="zh-CN"/>
        </w:rPr>
        <w:t>高压水泵、</w:t>
      </w:r>
      <w:r>
        <w:rPr>
          <w:rFonts w:hint="default" w:ascii="Times New Roman" w:hAnsi="Times New Roman" w:cs="Times New Roman"/>
        </w:rPr>
        <w:t>传感器</w:t>
      </w:r>
      <w:r>
        <w:rPr>
          <w:rFonts w:hint="default" w:ascii="Times New Roman" w:hAnsi="Times New Roman" w:cs="Times New Roman"/>
          <w:lang w:val="en-US" w:eastAsia="zh-CN"/>
        </w:rPr>
        <w:t>和</w:t>
      </w:r>
      <w:r>
        <w:rPr>
          <w:rFonts w:hint="default" w:ascii="Times New Roman" w:hAnsi="Times New Roman" w:cs="Times New Roman"/>
        </w:rPr>
        <w:t>控制器等组成。</w:t>
      </w:r>
      <w:r>
        <w:rPr>
          <w:rFonts w:hint="default" w:ascii="Times New Roman" w:hAnsi="Times New Roman" w:eastAsia="宋体" w:cs="Times New Roman"/>
          <w:sz w:val="24"/>
          <w:szCs w:val="24"/>
        </w:rPr>
        <w:t>洗轮机主体整体呈凹字形，出水喷头</w:t>
      </w:r>
      <w:r>
        <w:rPr>
          <w:rFonts w:hint="default" w:ascii="Times New Roman" w:hAnsi="Times New Roman" w:eastAsia="宋体" w:cs="Times New Roman"/>
          <w:sz w:val="24"/>
          <w:szCs w:val="24"/>
          <w:lang w:val="en-US" w:eastAsia="zh-CN"/>
        </w:rPr>
        <w:t>布置于</w:t>
      </w:r>
      <w:r>
        <w:rPr>
          <w:rFonts w:hint="default" w:ascii="Times New Roman" w:hAnsi="Times New Roman" w:eastAsia="宋体" w:cs="Times New Roman"/>
          <w:sz w:val="24"/>
          <w:szCs w:val="24"/>
        </w:rPr>
        <w:t>两侧与底面，</w:t>
      </w:r>
      <w:r>
        <w:rPr>
          <w:rFonts w:hint="default" w:ascii="Times New Roman" w:hAnsi="Times New Roman" w:cs="Times New Roman"/>
          <w:sz w:val="24"/>
          <w:szCs w:val="24"/>
          <w:lang w:val="en-US" w:eastAsia="zh-CN"/>
        </w:rPr>
        <w:t>喷射范围</w:t>
      </w:r>
      <w:r>
        <w:rPr>
          <w:rFonts w:hint="default" w:ascii="Times New Roman" w:hAnsi="Times New Roman" w:eastAsia="宋体" w:cs="Times New Roman"/>
          <w:sz w:val="24"/>
          <w:szCs w:val="24"/>
        </w:rPr>
        <w:t>覆盖车辆侧面和底部</w:t>
      </w:r>
      <w:r>
        <w:rPr>
          <w:rFonts w:hint="default" w:ascii="Times New Roman" w:hAnsi="Times New Roman" w:cs="Times New Roman"/>
          <w:sz w:val="24"/>
          <w:szCs w:val="24"/>
          <w:lang w:eastAsia="zh-CN"/>
        </w:rPr>
        <w:t>。</w:t>
      </w:r>
      <w:r>
        <w:rPr>
          <w:rFonts w:hint="default" w:ascii="Times New Roman" w:hAnsi="Times New Roman" w:eastAsia="宋体" w:cs="Times New Roman"/>
          <w:sz w:val="24"/>
          <w:szCs w:val="24"/>
        </w:rPr>
        <w:t>高压水泵为</w:t>
      </w:r>
      <w:r>
        <w:rPr>
          <w:rFonts w:hint="default" w:ascii="Times New Roman" w:hAnsi="Times New Roman" w:cs="Times New Roman"/>
          <w:sz w:val="24"/>
          <w:szCs w:val="24"/>
          <w:lang w:val="en-US" w:eastAsia="zh-CN"/>
        </w:rPr>
        <w:t>自动冲洗装置</w:t>
      </w:r>
      <w:r>
        <w:rPr>
          <w:rFonts w:hint="default" w:ascii="Times New Roman" w:hAnsi="Times New Roman" w:eastAsia="宋体" w:cs="Times New Roman"/>
          <w:sz w:val="24"/>
          <w:szCs w:val="24"/>
        </w:rPr>
        <w:t>提供</w:t>
      </w:r>
      <w:r>
        <w:rPr>
          <w:rFonts w:hint="default" w:ascii="Times New Roman" w:hAnsi="Times New Roman" w:cs="Times New Roman"/>
          <w:sz w:val="24"/>
          <w:szCs w:val="24"/>
          <w:lang w:val="en-US" w:eastAsia="zh-CN"/>
        </w:rPr>
        <w:t>恒定</w:t>
      </w:r>
      <w:r>
        <w:rPr>
          <w:rFonts w:hint="default" w:ascii="Times New Roman" w:hAnsi="Times New Roman" w:eastAsia="宋体" w:cs="Times New Roman"/>
          <w:sz w:val="24"/>
          <w:szCs w:val="24"/>
        </w:rPr>
        <w:t>压力，</w:t>
      </w:r>
      <w:r>
        <w:rPr>
          <w:rFonts w:hint="default" w:ascii="Times New Roman" w:hAnsi="Times New Roman" w:cs="Times New Roman"/>
          <w:sz w:val="24"/>
          <w:szCs w:val="24"/>
          <w:lang w:val="en-US" w:eastAsia="zh-CN"/>
        </w:rPr>
        <w:t>满足冲洗用水</w:t>
      </w:r>
      <w:r>
        <w:rPr>
          <w:rFonts w:hint="default" w:ascii="Times New Roman" w:hAnsi="Times New Roman" w:eastAsia="宋体" w:cs="Times New Roman"/>
          <w:sz w:val="24"/>
          <w:szCs w:val="24"/>
        </w:rPr>
        <w:t>扬程和流量</w:t>
      </w:r>
      <w:r>
        <w:rPr>
          <w:rFonts w:hint="default" w:ascii="Times New Roman" w:hAnsi="Times New Roman" w:cs="Times New Roman"/>
          <w:sz w:val="24"/>
          <w:szCs w:val="24"/>
          <w:lang w:val="en-US" w:eastAsia="zh-CN"/>
        </w:rPr>
        <w:t>要求</w:t>
      </w:r>
      <w:r>
        <w:rPr>
          <w:rFonts w:hint="default" w:ascii="Times New Roman" w:hAnsi="Times New Roman" w:eastAsia="宋体" w:cs="Times New Roman"/>
          <w:sz w:val="24"/>
          <w:szCs w:val="24"/>
        </w:rPr>
        <w:t>。</w:t>
      </w:r>
      <w:r>
        <w:rPr>
          <w:rFonts w:hint="default" w:ascii="Times New Roman" w:hAnsi="Times New Roman" w:cs="Times New Roman"/>
          <w:sz w:val="24"/>
          <w:szCs w:val="24"/>
          <w:lang w:val="en-US" w:eastAsia="zh-CN"/>
        </w:rPr>
        <w:t>传感器、控制器作为</w:t>
      </w:r>
      <w:r>
        <w:rPr>
          <w:rFonts w:hint="default" w:ascii="Times New Roman" w:hAnsi="Times New Roman" w:eastAsia="宋体" w:cs="Times New Roman"/>
          <w:sz w:val="24"/>
          <w:szCs w:val="24"/>
        </w:rPr>
        <w:t>洗轮机控制系统，</w:t>
      </w:r>
      <w:r>
        <w:rPr>
          <w:rFonts w:hint="default" w:ascii="Times New Roman" w:hAnsi="Times New Roman" w:cs="Times New Roman"/>
          <w:sz w:val="24"/>
          <w:szCs w:val="24"/>
          <w:lang w:val="en-US" w:eastAsia="zh-CN"/>
        </w:rPr>
        <w:t>通过</w:t>
      </w:r>
      <w:r>
        <w:rPr>
          <w:rFonts w:hint="default" w:ascii="Times New Roman" w:hAnsi="Times New Roman" w:eastAsia="宋体" w:cs="Times New Roman"/>
          <w:sz w:val="24"/>
          <w:szCs w:val="24"/>
        </w:rPr>
        <w:t>红外线感应控制。</w:t>
      </w:r>
    </w:p>
    <w:p w14:paraId="340D74FB">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（4）冲洗系统</w:t>
      </w:r>
    </w:p>
    <w:p w14:paraId="66FD85CD">
      <w:pPr>
        <w:pStyle w:val="6"/>
        <w:bidi w:val="0"/>
        <w:rPr>
          <w:rFonts w:hint="default" w:ascii="Times New Roman" w:hAnsi="Times New Roman" w:eastAsia="宋体" w:cs="Times New Roman"/>
          <w:kern w:val="0"/>
          <w:sz w:val="24"/>
          <w:szCs w:val="24"/>
          <w:lang w:val="en-US" w:eastAsia="zh-CN" w:bidi="ar"/>
        </w:rPr>
      </w:pPr>
      <w:r>
        <w:rPr>
          <w:rFonts w:hint="default" w:ascii="Times New Roman" w:hAnsi="Times New Roman" w:eastAsia="宋体" w:cs="Times New Roman"/>
          <w:kern w:val="0"/>
          <w:sz w:val="24"/>
          <w:szCs w:val="24"/>
          <w:lang w:val="en-US" w:eastAsia="zh-CN" w:bidi="ar"/>
        </w:rPr>
        <w:t>太仓武港矿石码头有限公司自动冲洗装置运行方式为底部感应控制冲洗及手动控制，当智能装置感应到车辆通过时，会自动喷水清洗，冲洗压力为3~4kg/cm</w:t>
      </w:r>
      <w:r>
        <w:rPr>
          <w:rFonts w:hint="default" w:ascii="Times New Roman" w:hAnsi="Times New Roman" w:eastAsia="宋体" w:cs="Times New Roman"/>
          <w:kern w:val="0"/>
          <w:sz w:val="24"/>
          <w:szCs w:val="24"/>
          <w:vertAlign w:val="superscript"/>
          <w:lang w:val="en-US" w:eastAsia="zh-CN" w:bidi="ar"/>
        </w:rPr>
        <w:t>2</w:t>
      </w:r>
      <w:r>
        <w:rPr>
          <w:rFonts w:hint="default" w:ascii="Times New Roman" w:hAnsi="Times New Roman" w:eastAsia="宋体" w:cs="Times New Roman"/>
          <w:kern w:val="0"/>
          <w:sz w:val="24"/>
          <w:szCs w:val="24"/>
          <w:lang w:val="en-US" w:eastAsia="zh-CN" w:bidi="ar"/>
        </w:rPr>
        <w:t>，冲洗时间以车辆通过时长为准，</w:t>
      </w:r>
      <w:r>
        <w:rPr>
          <w:rFonts w:hint="default" w:ascii="Times New Roman" w:hAnsi="Times New Roman" w:cs="Times New Roman"/>
          <w:lang w:val="en-US" w:eastAsia="zh-CN"/>
        </w:rPr>
        <w:t>洗车时长一般为20s，</w:t>
      </w:r>
      <w:r>
        <w:rPr>
          <w:rFonts w:hint="default" w:ascii="Times New Roman" w:hAnsi="Times New Roman" w:eastAsia="宋体" w:cs="Times New Roman"/>
          <w:kern w:val="0"/>
          <w:sz w:val="24"/>
          <w:szCs w:val="24"/>
          <w:lang w:val="en-US" w:eastAsia="zh-CN" w:bidi="ar"/>
        </w:rPr>
        <w:t>根据现场可1~60s自动调节，为连续冲洗式。自动冲洗装置水资源为循环利用，同时加装有水过滤系统，防治洗车平台喷头堵塞，为了防治冲洗过程中污水飞溅，设备在预留了高出喷头位置400mm的挡墙。自动冲洗装置可对太仓武港码头进出堆场的不同类型车辆进行有效清洗，满足卡车、装载机等特殊车辆使用。</w:t>
      </w:r>
    </w:p>
    <w:p w14:paraId="79817B70">
      <w:pPr>
        <w:pageBreakBefore w:val="0"/>
        <w:widowControl w:val="0"/>
        <w:numPr>
          <w:ilvl w:val="0"/>
          <w:numId w:val="0"/>
        </w:numPr>
        <w:kinsoku/>
        <w:wordWrap/>
        <w:overflowPunct/>
        <w:topLinePunct w:val="0"/>
        <w:bidi w:val="0"/>
        <w:spacing w:line="360" w:lineRule="auto"/>
        <w:ind w:left="0" w:right="0"/>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drawing>
          <wp:inline distT="0" distB="0" distL="114300" distR="114300">
            <wp:extent cx="2520315" cy="1418590"/>
            <wp:effectExtent l="0" t="0" r="13335" b="10160"/>
            <wp:docPr id="14" name="图片 14" descr="1747364822957"/>
            <wp:cNvGraphicFramePr/>
            <a:graphic xmlns:a="http://schemas.openxmlformats.org/drawingml/2006/main">
              <a:graphicData uri="http://schemas.openxmlformats.org/drawingml/2006/picture">
                <pic:pic xmlns:pic="http://schemas.openxmlformats.org/drawingml/2006/picture">
                  <pic:nvPicPr>
                    <pic:cNvPr id="14" name="图片 14" descr="1747364822957"/>
                    <pic:cNvPicPr/>
                  </pic:nvPicPr>
                  <pic:blipFill>
                    <a:blip r:embed="rId39"/>
                    <a:stretch>
                      <a:fillRect/>
                    </a:stretch>
                  </pic:blipFill>
                  <pic:spPr>
                    <a:xfrm>
                      <a:off x="0" y="0"/>
                      <a:ext cx="2520315" cy="1418590"/>
                    </a:xfrm>
                    <a:prstGeom prst="rect">
                      <a:avLst/>
                    </a:prstGeom>
                  </pic:spPr>
                </pic:pic>
              </a:graphicData>
            </a:graphic>
          </wp:inline>
        </w:drawing>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drawing>
          <wp:inline distT="0" distB="0" distL="114300" distR="114300">
            <wp:extent cx="2520315" cy="1418590"/>
            <wp:effectExtent l="0" t="0" r="13335" b="10160"/>
            <wp:docPr id="13" name="图片 8" descr="IMG_256"/>
            <wp:cNvGraphicFramePr/>
            <a:graphic xmlns:a="http://schemas.openxmlformats.org/drawingml/2006/main">
              <a:graphicData uri="http://schemas.openxmlformats.org/drawingml/2006/picture">
                <pic:pic xmlns:pic="http://schemas.openxmlformats.org/drawingml/2006/picture">
                  <pic:nvPicPr>
                    <pic:cNvPr id="13" name="图片 8" descr="IMG_256"/>
                    <pic:cNvPicPr/>
                  </pic:nvPicPr>
                  <pic:blipFill>
                    <a:blip r:embed="rId40"/>
                    <a:srcRect t="3561" b="12059"/>
                    <a:stretch>
                      <a:fillRect/>
                    </a:stretch>
                  </pic:blipFill>
                  <pic:spPr>
                    <a:xfrm>
                      <a:off x="0" y="0"/>
                      <a:ext cx="2520315" cy="1418590"/>
                    </a:xfrm>
                    <a:prstGeom prst="rect">
                      <a:avLst/>
                    </a:prstGeom>
                    <a:noFill/>
                    <a:ln w="9525">
                      <a:noFill/>
                    </a:ln>
                  </pic:spPr>
                </pic:pic>
              </a:graphicData>
            </a:graphic>
          </wp:inline>
        </w:drawing>
      </w:r>
    </w:p>
    <w:p w14:paraId="2764B3EE">
      <w:pPr>
        <w:pageBreakBefore w:val="0"/>
        <w:kinsoku/>
        <w:wordWrap/>
        <w:overflowPunct/>
        <w:topLinePunct w:val="0"/>
        <w:bidi w:val="0"/>
        <w:ind w:left="0" w:right="0"/>
        <w:jc w:val="cente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b/>
          <w:bCs/>
          <w:sz w:val="21"/>
          <w:szCs w:val="21"/>
          <w:lang w:val="en-US" w:eastAsia="zh-CN"/>
        </w:rPr>
        <w:t>图3</w:t>
      </w:r>
      <w:r>
        <w:rPr>
          <w:rFonts w:hint="eastAsia" w:ascii="Times New Roman" w:hAnsi="Times New Roman" w:cs="Times New Roman"/>
          <w:b/>
          <w:bCs/>
          <w:sz w:val="21"/>
          <w:szCs w:val="21"/>
          <w:lang w:val="en-US" w:eastAsia="zh-CN"/>
        </w:rPr>
        <w:t>-16</w:t>
      </w:r>
      <w:r>
        <w:rPr>
          <w:rFonts w:hint="default" w:ascii="Times New Roman" w:hAnsi="Times New Roman" w:cs="Times New Roman"/>
          <w:b/>
          <w:bCs/>
          <w:sz w:val="21"/>
          <w:szCs w:val="21"/>
          <w:lang w:val="en-US" w:eastAsia="zh-CN"/>
        </w:rPr>
        <w:t xml:space="preserve"> 太仓武港矿石码头有限公司自动冲洗装置冲洗效果</w:t>
      </w:r>
    </w:p>
    <w:p w14:paraId="29FD7E9B">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（5）污水处置与利用</w:t>
      </w:r>
    </w:p>
    <w:p w14:paraId="03562840">
      <w:pPr>
        <w:pStyle w:val="6"/>
        <w:bidi w:val="0"/>
        <w:rPr>
          <w:rFonts w:hint="default" w:ascii="Times New Roman" w:hAnsi="Times New Roman" w:eastAsia="宋体" w:cs="Times New Roman"/>
          <w:bCs/>
          <w:color w:val="auto"/>
          <w:sz w:val="24"/>
          <w:szCs w:val="22"/>
          <w:highlight w:val="none"/>
          <w:lang w:val="en-US" w:eastAsia="zh-CN"/>
        </w:rPr>
      </w:pPr>
      <w:r>
        <w:rPr>
          <w:rFonts w:hint="default" w:ascii="Times New Roman" w:hAnsi="Times New Roman" w:cs="Times New Roman"/>
          <w:lang w:val="en-US" w:eastAsia="zh-CN"/>
        </w:rPr>
        <w:t>太仓武港矿石码头有限公司自动冲洗装置均在装置底部配套了15m</w:t>
      </w:r>
      <w:r>
        <w:rPr>
          <w:rFonts w:hint="default" w:ascii="Times New Roman" w:hAnsi="Times New Roman" w:cs="Times New Roman"/>
          <w:vertAlign w:val="superscript"/>
          <w:lang w:val="en-US" w:eastAsia="zh-CN"/>
        </w:rPr>
        <w:t>3</w:t>
      </w:r>
      <w:r>
        <w:rPr>
          <w:rFonts w:hint="default" w:ascii="Times New Roman" w:hAnsi="Times New Roman" w:cs="Times New Roman"/>
          <w:vertAlign w:val="baseline"/>
          <w:lang w:val="en-US" w:eastAsia="zh-CN"/>
        </w:rPr>
        <w:t>的污水污泥收集池，污水污泥直接通过底板自流至收集池，定期进行清理。</w:t>
      </w:r>
    </w:p>
    <w:p w14:paraId="2728DCFE">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21" w:name="_Toc21469"/>
      <w:r>
        <w:rPr>
          <w:rFonts w:hint="default" w:ascii="Times New Roman" w:hAnsi="Times New Roman" w:eastAsia="黑体" w:cs="Times New Roman"/>
          <w:spacing w:val="-2"/>
          <w:sz w:val="28"/>
          <w:szCs w:val="28"/>
          <w:lang w:val="en-US" w:eastAsia="zh-CN"/>
        </w:rPr>
        <w:t>8 厦门港务集团石湖山码头有限公司</w:t>
      </w:r>
      <w:bookmarkEnd w:id="21"/>
    </w:p>
    <w:p w14:paraId="0842F13A">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（1）选址与布置</w:t>
      </w:r>
    </w:p>
    <w:p w14:paraId="3ACD3970">
      <w:pPr>
        <w:pStyle w:val="6"/>
        <w:bidi w:val="0"/>
        <w:rPr>
          <w:rFonts w:hint="default"/>
          <w:lang w:val="en-US" w:eastAsia="zh-CN"/>
        </w:rPr>
      </w:pPr>
      <w:r>
        <w:rPr>
          <w:rFonts w:hint="default"/>
          <w:lang w:val="en-US" w:eastAsia="zh-CN"/>
        </w:rPr>
        <w:t>厦门港务集团石湖山码头有限公司海宇港区现有4套出库车辆洗车平台，其中7#泊位2#岗地磅前1套，二道陆侧出入口1套，另8#泊位横一路出库方向1套及纵一路出库方向1套。</w:t>
      </w:r>
    </w:p>
    <w:p w14:paraId="62F5AE55">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（2）建设材质、规格及形式</w:t>
      </w:r>
    </w:p>
    <w:p w14:paraId="19F2B875">
      <w:pPr>
        <w:pStyle w:val="6"/>
        <w:bidi w:val="0"/>
        <w:rPr>
          <w:rFonts w:hint="default"/>
          <w:lang w:val="en-US" w:eastAsia="zh-CN"/>
        </w:rPr>
      </w:pPr>
      <w:r>
        <w:rPr>
          <w:rFonts w:hint="default"/>
          <w:lang w:val="en-US" w:eastAsia="zh-CN"/>
        </w:rPr>
        <w:t>厦门港务集团石湖山码头有限公司洗车平台均为混凝土基础，洗车主机体由方管及圆管焊接安装而成，洗车通道铺设钢格栅透水。其中7#泊位2#岗洗车平台分为前后两个机组，洗车通道宽度4</w:t>
      </w:r>
      <w:r>
        <w:rPr>
          <w:rFonts w:hint="eastAsia"/>
          <w:lang w:val="en-US" w:eastAsia="zh-CN"/>
        </w:rPr>
        <w:t>m</w:t>
      </w:r>
      <w:r>
        <w:rPr>
          <w:rFonts w:hint="default"/>
          <w:lang w:val="en-US" w:eastAsia="zh-CN"/>
        </w:rPr>
        <w:t>，洗车总长度8</w:t>
      </w:r>
      <w:r>
        <w:rPr>
          <w:rFonts w:hint="eastAsia"/>
          <w:lang w:val="en-US" w:eastAsia="zh-CN"/>
        </w:rPr>
        <w:t>m</w:t>
      </w:r>
      <w:r>
        <w:rPr>
          <w:rFonts w:hint="default"/>
          <w:lang w:val="en-US" w:eastAsia="zh-CN"/>
        </w:rPr>
        <w:t>，侧喷管每20公分1个喷嘴，每侧上下两排。7#泊位二道洗车平台分为左右两套，每套前后两个机组，洗车通道宽度4.6</w:t>
      </w:r>
      <w:r>
        <w:rPr>
          <w:rFonts w:hint="eastAsia"/>
          <w:lang w:val="en-US" w:eastAsia="zh-CN"/>
        </w:rPr>
        <w:t>m</w:t>
      </w:r>
      <w:r>
        <w:rPr>
          <w:rFonts w:hint="default"/>
          <w:lang w:val="en-US" w:eastAsia="zh-CN"/>
        </w:rPr>
        <w:t>，洗车总长度4.4</w:t>
      </w:r>
      <w:r>
        <w:rPr>
          <w:rFonts w:hint="eastAsia"/>
          <w:lang w:val="en-US" w:eastAsia="zh-CN"/>
        </w:rPr>
        <w:t>m</w:t>
      </w:r>
      <w:r>
        <w:rPr>
          <w:rFonts w:hint="default"/>
          <w:lang w:val="en-US" w:eastAsia="zh-CN"/>
        </w:rPr>
        <w:t>，侧喷管每15公分1个喷嘴，每侧上下两排。8#泊位横一路洗车平台分为前后四个机组，洗车通道宽度3.8</w:t>
      </w:r>
      <w:r>
        <w:rPr>
          <w:rFonts w:hint="eastAsia"/>
          <w:lang w:val="en-US" w:eastAsia="zh-CN"/>
        </w:rPr>
        <w:t>m</w:t>
      </w:r>
      <w:r>
        <w:rPr>
          <w:rFonts w:hint="default"/>
          <w:lang w:val="en-US" w:eastAsia="zh-CN"/>
        </w:rPr>
        <w:t>，洗车总长度8</w:t>
      </w:r>
      <w:r>
        <w:rPr>
          <w:rFonts w:hint="eastAsia"/>
          <w:lang w:val="en-US" w:eastAsia="zh-CN"/>
        </w:rPr>
        <w:t>m</w:t>
      </w:r>
      <w:r>
        <w:rPr>
          <w:rFonts w:hint="default"/>
          <w:lang w:val="en-US" w:eastAsia="zh-CN"/>
        </w:rPr>
        <w:t>，侧喷管每20</w:t>
      </w:r>
      <w:r>
        <w:rPr>
          <w:rFonts w:hint="eastAsia"/>
          <w:lang w:val="en-US" w:eastAsia="zh-CN"/>
        </w:rPr>
        <w:t>cm</w:t>
      </w:r>
      <w:r>
        <w:rPr>
          <w:rFonts w:hint="default"/>
          <w:lang w:val="en-US" w:eastAsia="zh-CN"/>
        </w:rPr>
        <w:t>1个喷嘴，每侧上下两排。8#泊位纵一路洗车平台分为前后两个机组，洗车通道宽度4</w:t>
      </w:r>
      <w:r>
        <w:rPr>
          <w:rFonts w:hint="eastAsia"/>
          <w:lang w:val="en-US" w:eastAsia="zh-CN"/>
        </w:rPr>
        <w:t>m</w:t>
      </w:r>
      <w:r>
        <w:rPr>
          <w:rFonts w:hint="default"/>
          <w:lang w:val="en-US" w:eastAsia="zh-CN"/>
        </w:rPr>
        <w:t>，洗车总长度8</w:t>
      </w:r>
      <w:r>
        <w:rPr>
          <w:rFonts w:hint="eastAsia"/>
          <w:lang w:val="en-US" w:eastAsia="zh-CN"/>
        </w:rPr>
        <w:t>m</w:t>
      </w:r>
      <w:r>
        <w:rPr>
          <w:rFonts w:hint="default"/>
          <w:lang w:val="en-US" w:eastAsia="zh-CN"/>
        </w:rPr>
        <w:t>，侧喷管每30</w:t>
      </w:r>
      <w:r>
        <w:rPr>
          <w:rFonts w:hint="eastAsia"/>
          <w:lang w:val="en-US" w:eastAsia="zh-CN"/>
        </w:rPr>
        <w:t>cm</w:t>
      </w:r>
      <w:r>
        <w:rPr>
          <w:rFonts w:hint="default"/>
          <w:lang w:val="en-US" w:eastAsia="zh-CN"/>
        </w:rPr>
        <w:t>1个喷嘴，每侧上下两排，两侧设置防飞溅遮挡。</w:t>
      </w:r>
    </w:p>
    <w:p w14:paraId="08368192">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（3）相关设施、设备组成</w:t>
      </w:r>
    </w:p>
    <w:p w14:paraId="3FE7DABF">
      <w:pPr>
        <w:pStyle w:val="6"/>
        <w:bidi w:val="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sz w:val="24"/>
          <w:szCs w:val="24"/>
          <w:lang w:val="en-US" w:eastAsia="zh-CN"/>
        </w:rPr>
        <w:t>厦门港务集团石湖山码头有限公司海宇港区洗车平台为自动洗车机形式，与太仓武港矿石码头有限公司自动冲洗装置相似，主要由</w:t>
      </w:r>
      <w:r>
        <w:rPr>
          <w:rFonts w:hint="default" w:ascii="Times New Roman" w:hAnsi="Times New Roman" w:cs="Times New Roman"/>
        </w:rPr>
        <w:t>机身、</w:t>
      </w:r>
      <w:r>
        <w:rPr>
          <w:rFonts w:hint="default" w:ascii="Times New Roman" w:hAnsi="Times New Roman" w:cs="Times New Roman"/>
          <w:lang w:val="en-US" w:eastAsia="zh-CN"/>
        </w:rPr>
        <w:t>喷嘴</w:t>
      </w:r>
      <w:r>
        <w:rPr>
          <w:rFonts w:hint="default" w:ascii="Times New Roman" w:hAnsi="Times New Roman" w:cs="Times New Roman"/>
          <w:lang w:eastAsia="zh-CN"/>
        </w:rPr>
        <w:t>、</w:t>
      </w:r>
      <w:r>
        <w:rPr>
          <w:rFonts w:hint="default" w:ascii="Times New Roman" w:hAnsi="Times New Roman" w:cs="Times New Roman"/>
          <w:lang w:val="en-US" w:eastAsia="zh-CN"/>
        </w:rPr>
        <w:t>潜水泵、</w:t>
      </w:r>
      <w:r>
        <w:rPr>
          <w:rFonts w:hint="default" w:ascii="Times New Roman" w:hAnsi="Times New Roman" w:cs="Times New Roman"/>
        </w:rPr>
        <w:t>传感器</w:t>
      </w:r>
      <w:r>
        <w:rPr>
          <w:rFonts w:hint="default" w:ascii="Times New Roman" w:hAnsi="Times New Roman" w:cs="Times New Roman"/>
          <w:lang w:val="en-US" w:eastAsia="zh-CN"/>
        </w:rPr>
        <w:t>和</w:t>
      </w:r>
      <w:r>
        <w:rPr>
          <w:rFonts w:hint="default" w:ascii="Times New Roman" w:hAnsi="Times New Roman" w:cs="Times New Roman"/>
        </w:rPr>
        <w:t>控制器等组成</w:t>
      </w:r>
      <w:r>
        <w:rPr>
          <w:rFonts w:hint="default" w:ascii="Times New Roman" w:hAnsi="Times New Roman" w:cs="Times New Roman"/>
          <w:lang w:eastAsia="zh-CN"/>
        </w:rPr>
        <w:t>。</w:t>
      </w:r>
    </w:p>
    <w:p w14:paraId="31D8EA04">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（4）冲洗系统</w:t>
      </w:r>
    </w:p>
    <w:p w14:paraId="29A59FF5">
      <w:pPr>
        <w:pStyle w:val="6"/>
        <w:bidi w:val="0"/>
        <w:rPr>
          <w:rFonts w:hint="default"/>
          <w:lang w:val="en-US" w:eastAsia="zh-CN"/>
        </w:rPr>
      </w:pPr>
      <w:r>
        <w:rPr>
          <w:rFonts w:hint="default"/>
          <w:lang w:val="en-US" w:eastAsia="zh-CN"/>
        </w:rPr>
        <w:t>厦门港务集团石湖山码头有限公司海宇港区在每个洗车机进口处装设闸机防止车辆跟车，减缓车辆行行驶速度，装有红外感应器对进入车辆感应，车辆经过洗车平台冲洗时长平均约为30s。洗车平台用水大部分来至经污水厂处理后的中水，另有自来水备用补给。</w:t>
      </w:r>
    </w:p>
    <w:p w14:paraId="2583D98E">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（5）污水处置与利用</w:t>
      </w:r>
    </w:p>
    <w:p w14:paraId="5D42CBD0">
      <w:pPr>
        <w:pStyle w:val="6"/>
        <w:bidi w:val="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lang w:val="en-US" w:eastAsia="zh-CN"/>
        </w:rPr>
        <w:t>厦门港务集团石湖山码头有限公司自动冲洗装置均配套建设了沉淀池，经三级沉淀后排放至污水处理厂处理后回用，产生的中水一部分回用至洗车平台蓄水池，一部分用于洒水车日常路面喷淋。同时，针对出库车辆频次较多的洗车平台，建设了大容量沉淀池，可收集污水污泥60m</w:t>
      </w:r>
      <w:r>
        <w:rPr>
          <w:rFonts w:hint="default" w:ascii="Times New Roman" w:hAnsi="Times New Roman" w:cs="Times New Roman"/>
          <w:vertAlign w:val="superscript"/>
          <w:lang w:val="en-US" w:eastAsia="zh-CN"/>
        </w:rPr>
        <w:t>3</w:t>
      </w:r>
      <w:r>
        <w:rPr>
          <w:rFonts w:hint="default" w:ascii="Times New Roman" w:hAnsi="Times New Roman" w:cs="Times New Roman"/>
          <w:lang w:val="en-US" w:eastAsia="zh-CN"/>
        </w:rPr>
        <w:t>，根据出库车辆数量平均15~25天清理一次，收集的货物最终归垛处理。</w:t>
      </w:r>
    </w:p>
    <w:p w14:paraId="4C4EDF0D">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22" w:name="_Toc6763"/>
      <w:r>
        <w:rPr>
          <w:rFonts w:hint="default" w:ascii="Times New Roman" w:hAnsi="Times New Roman" w:eastAsia="黑体" w:cs="Times New Roman"/>
          <w:spacing w:val="-2"/>
          <w:sz w:val="28"/>
          <w:szCs w:val="28"/>
          <w:lang w:val="en-US" w:eastAsia="zh-CN"/>
        </w:rPr>
        <w:t>9 江苏连云港港口股份有限公司东方港务分公司</w:t>
      </w:r>
      <w:bookmarkEnd w:id="22"/>
    </w:p>
    <w:p w14:paraId="6651EA2B">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（1）选址与布置</w:t>
      </w:r>
    </w:p>
    <w:p w14:paraId="2BAF2DA5">
      <w:pPr>
        <w:pStyle w:val="6"/>
        <w:bidi w:val="0"/>
        <w:rPr>
          <w:rFonts w:hint="default"/>
          <w:lang w:val="en-US"/>
        </w:rPr>
      </w:pPr>
      <w:r>
        <w:rPr>
          <w:rFonts w:hint="default"/>
          <w:lang w:val="en-US" w:eastAsia="zh-CN"/>
        </w:rPr>
        <w:t>江苏连云港港口股份有限公司东方港务分公司在墟沟东作业区57#泊位散货作业货场出入口处设置了一处洗车平台，洗车平台外观如图3</w:t>
      </w:r>
      <w:r>
        <w:rPr>
          <w:rFonts w:hint="eastAsia"/>
          <w:lang w:val="en-US" w:eastAsia="zh-CN"/>
        </w:rPr>
        <w:t>-17</w:t>
      </w:r>
      <w:r>
        <w:rPr>
          <w:rFonts w:hint="default"/>
          <w:lang w:val="en-US" w:eastAsia="zh-CN"/>
        </w:rPr>
        <w:t>所示。</w:t>
      </w:r>
    </w:p>
    <w:p w14:paraId="4F0328F3">
      <w:pPr>
        <w:pageBreakBefore w:val="0"/>
        <w:kinsoku/>
        <w:wordWrap/>
        <w:overflowPunct/>
        <w:topLinePunct w:val="0"/>
        <w:bidi w:val="0"/>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drawing>
          <wp:inline distT="0" distB="0" distL="114300" distR="114300">
            <wp:extent cx="2520315" cy="1548130"/>
            <wp:effectExtent l="0" t="0" r="13335" b="13970"/>
            <wp:docPr id="47" name="图片 47" descr="85c0af5862e6d918a6aa1ce63a098fcb"/>
            <wp:cNvGraphicFramePr/>
            <a:graphic xmlns:a="http://schemas.openxmlformats.org/drawingml/2006/main">
              <a:graphicData uri="http://schemas.openxmlformats.org/drawingml/2006/picture">
                <pic:pic xmlns:pic="http://schemas.openxmlformats.org/drawingml/2006/picture">
                  <pic:nvPicPr>
                    <pic:cNvPr id="47" name="图片 47" descr="85c0af5862e6d918a6aa1ce63a098fcb"/>
                    <pic:cNvPicPr/>
                  </pic:nvPicPr>
                  <pic:blipFill>
                    <a:blip r:embed="rId41"/>
                    <a:stretch>
                      <a:fillRect/>
                    </a:stretch>
                  </pic:blipFill>
                  <pic:spPr>
                    <a:xfrm>
                      <a:off x="0" y="0"/>
                      <a:ext cx="2520315" cy="1548130"/>
                    </a:xfrm>
                    <a:prstGeom prst="rect">
                      <a:avLst/>
                    </a:prstGeom>
                  </pic:spPr>
                </pic:pic>
              </a:graphicData>
            </a:graphic>
          </wp:inline>
        </w:drawing>
      </w:r>
      <w:r>
        <w:rPr>
          <w:rFonts w:hint="default" w:ascii="Times New Roman" w:hAnsi="Times New Roman" w:cs="Times New Roman"/>
          <w:lang w:val="en-US" w:eastAsia="zh-CN"/>
        </w:rPr>
        <w:t xml:space="preserve"> </w:t>
      </w:r>
      <w:r>
        <w:rPr>
          <w:rFonts w:hint="default" w:ascii="Times New Roman" w:hAnsi="Times New Roman" w:eastAsia="宋体" w:cs="Times New Roman"/>
          <w:sz w:val="24"/>
          <w:szCs w:val="24"/>
        </w:rPr>
        <w:drawing>
          <wp:inline distT="0" distB="0" distL="114300" distR="114300">
            <wp:extent cx="2520315" cy="1548130"/>
            <wp:effectExtent l="0" t="0" r="13335" b="13970"/>
            <wp:docPr id="48" name="图片 2" descr="IMG_256"/>
            <wp:cNvGraphicFramePr/>
            <a:graphic xmlns:a="http://schemas.openxmlformats.org/drawingml/2006/main">
              <a:graphicData uri="http://schemas.openxmlformats.org/drawingml/2006/picture">
                <pic:pic xmlns:pic="http://schemas.openxmlformats.org/drawingml/2006/picture">
                  <pic:nvPicPr>
                    <pic:cNvPr id="48" name="图片 2" descr="IMG_256"/>
                    <pic:cNvPicPr/>
                  </pic:nvPicPr>
                  <pic:blipFill>
                    <a:blip r:embed="rId42"/>
                    <a:srcRect t="11714" b="14922"/>
                    <a:stretch>
                      <a:fillRect/>
                    </a:stretch>
                  </pic:blipFill>
                  <pic:spPr>
                    <a:xfrm>
                      <a:off x="0" y="0"/>
                      <a:ext cx="2520315" cy="1548130"/>
                    </a:xfrm>
                    <a:prstGeom prst="rect">
                      <a:avLst/>
                    </a:prstGeom>
                    <a:noFill/>
                    <a:ln w="9525">
                      <a:noFill/>
                    </a:ln>
                  </pic:spPr>
                </pic:pic>
              </a:graphicData>
            </a:graphic>
          </wp:inline>
        </w:drawing>
      </w:r>
    </w:p>
    <w:p w14:paraId="2DB48574">
      <w:pPr>
        <w:pageBreakBefore w:val="0"/>
        <w:kinsoku/>
        <w:wordWrap/>
        <w:overflowPunct/>
        <w:topLinePunct w:val="0"/>
        <w:bidi w:val="0"/>
        <w:ind w:left="0" w:right="0"/>
        <w:jc w:val="center"/>
        <w:rPr>
          <w:rFonts w:hint="default" w:ascii="Times New Roman" w:hAnsi="Times New Roman" w:eastAsia="宋体" w:cs="Times New Roman"/>
          <w:b/>
          <w:bCs w:val="0"/>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b/>
          <w:bCs/>
          <w:sz w:val="21"/>
          <w:szCs w:val="24"/>
          <w:lang w:val="en-US" w:eastAsia="zh-CN"/>
        </w:rPr>
        <w:t>图3</w:t>
      </w:r>
      <w:r>
        <w:rPr>
          <w:rFonts w:hint="eastAsia" w:ascii="Times New Roman" w:hAnsi="Times New Roman" w:cs="Times New Roman"/>
          <w:b/>
          <w:bCs/>
          <w:sz w:val="21"/>
          <w:szCs w:val="24"/>
          <w:lang w:val="en-US" w:eastAsia="zh-CN"/>
        </w:rPr>
        <w:t>-17</w:t>
      </w:r>
      <w:r>
        <w:rPr>
          <w:rFonts w:hint="default" w:ascii="Times New Roman" w:hAnsi="Times New Roman" w:cs="Times New Roman"/>
          <w:b/>
          <w:bCs/>
          <w:sz w:val="21"/>
          <w:szCs w:val="24"/>
          <w:lang w:val="en-US" w:eastAsia="zh-CN"/>
        </w:rPr>
        <w:t xml:space="preserve"> 江苏连云港港口股份有限公司东方港务分公司洗车平台</w:t>
      </w:r>
    </w:p>
    <w:p w14:paraId="0ED3D6D3">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（2）建设材质、规格及形式</w:t>
      </w:r>
    </w:p>
    <w:p w14:paraId="799545F8">
      <w:pPr>
        <w:pStyle w:val="6"/>
        <w:bidi w:val="0"/>
        <w:rPr>
          <w:rFonts w:hint="default"/>
          <w:lang w:val="en-US" w:eastAsia="zh-CN"/>
        </w:rPr>
      </w:pPr>
      <w:r>
        <w:rPr>
          <w:rFonts w:hint="default"/>
          <w:lang w:val="en-US" w:eastAsia="zh-CN"/>
        </w:rPr>
        <w:t>江苏连云港港口股份有限公司东方港务分公司</w:t>
      </w:r>
      <w:r>
        <w:rPr>
          <w:rFonts w:hint="eastAsia"/>
          <w:lang w:val="en-US" w:eastAsia="zh-CN"/>
        </w:rPr>
        <w:t>洗车平台</w:t>
      </w:r>
      <w:r>
        <w:rPr>
          <w:rFonts w:hint="default"/>
          <w:lang w:val="en-US" w:eastAsia="zh-CN"/>
        </w:rPr>
        <w:t>主材采用高强度镀锌角钢、地脚固定采用经过热镀锌防腐处理钢板，</w:t>
      </w:r>
      <w:r>
        <w:rPr>
          <w:rFonts w:hint="eastAsia"/>
          <w:lang w:val="en-US" w:eastAsia="zh-CN"/>
        </w:rPr>
        <w:t>总长约30m，为露天布置</w:t>
      </w:r>
      <w:r>
        <w:rPr>
          <w:rFonts w:hint="default"/>
          <w:lang w:val="en-US" w:eastAsia="zh-CN"/>
        </w:rPr>
        <w:t>。</w:t>
      </w:r>
    </w:p>
    <w:p w14:paraId="614E7F8A">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（3）相关设施、设备组成</w:t>
      </w:r>
    </w:p>
    <w:p w14:paraId="3B6E1E05">
      <w:pPr>
        <w:pStyle w:val="6"/>
        <w:bidi w:val="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kern w:val="0"/>
          <w:sz w:val="24"/>
          <w:szCs w:val="24"/>
          <w:lang w:val="en-US" w:eastAsia="zh-CN" w:bidi="ar"/>
        </w:rPr>
        <w:t>江苏连云港港口股份有限公司东方港务分公司</w:t>
      </w:r>
      <w:r>
        <w:rPr>
          <w:rFonts w:hint="eastAsia" w:ascii="Times New Roman" w:hAnsi="Times New Roman" w:eastAsia="宋体" w:cs="Times New Roman"/>
          <w:kern w:val="0"/>
          <w:sz w:val="24"/>
          <w:szCs w:val="24"/>
          <w:lang w:val="en-US" w:eastAsia="zh-CN" w:bidi="ar"/>
        </w:rPr>
        <w:t>洗车平台</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主要由</w:t>
      </w:r>
      <w:r>
        <w:rPr>
          <w:rFonts w:hint="eastAsia" w:ascii="Times New Roman" w:hAnsi="Times New Roman" w:cs="Times New Roman"/>
          <w:lang w:val="en-US" w:eastAsia="zh-CN"/>
        </w:rPr>
        <w:t>通道两侧挡墙、冲洗喷头、</w:t>
      </w:r>
      <w:r>
        <w:rPr>
          <w:rFonts w:hint="default" w:ascii="Times New Roman" w:hAnsi="Times New Roman" w:eastAsia="宋体" w:cs="Times New Roman"/>
          <w:kern w:val="0"/>
          <w:sz w:val="24"/>
          <w:szCs w:val="24"/>
          <w:lang w:val="en-US" w:eastAsia="zh-CN" w:bidi="ar"/>
        </w:rPr>
        <w:t>龙门架式喷淋设施</w:t>
      </w:r>
      <w:r>
        <w:rPr>
          <w:rFonts w:hint="eastAsia" w:ascii="Times New Roman" w:hAnsi="Times New Roman" w:eastAsia="宋体" w:cs="Times New Roman"/>
          <w:kern w:val="0"/>
          <w:sz w:val="24"/>
          <w:szCs w:val="24"/>
          <w:lang w:val="en-US" w:eastAsia="zh-CN" w:bidi="ar"/>
        </w:rPr>
        <w:t>、污水沉淀池</w:t>
      </w:r>
      <w:r>
        <w:rPr>
          <w:rFonts w:hint="eastAsia" w:ascii="Times New Roman" w:hAnsi="Times New Roman" w:cs="Times New Roman"/>
          <w:lang w:val="en-US" w:eastAsia="zh-CN"/>
        </w:rPr>
        <w:t>等组成。</w:t>
      </w:r>
    </w:p>
    <w:p w14:paraId="1ABEB226">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（4）冲洗系统</w:t>
      </w:r>
    </w:p>
    <w:p w14:paraId="2615D933">
      <w:pPr>
        <w:pStyle w:val="6"/>
        <w:bidi w:val="0"/>
        <w:rPr>
          <w:rFonts w:hint="default"/>
          <w:lang w:val="en-US" w:eastAsia="zh-CN"/>
        </w:rPr>
      </w:pPr>
      <w:r>
        <w:rPr>
          <w:rFonts w:hint="default"/>
          <w:lang w:val="en-US" w:eastAsia="zh-CN"/>
        </w:rPr>
        <w:t>江苏连云港港口股份有限公司东方港务分公司</w:t>
      </w:r>
      <w:r>
        <w:rPr>
          <w:rFonts w:hint="eastAsia"/>
          <w:lang w:val="en-US" w:eastAsia="zh-CN"/>
        </w:rPr>
        <w:t>洗车平台</w:t>
      </w:r>
      <w:r>
        <w:rPr>
          <w:rFonts w:hint="default"/>
          <w:lang w:val="en-US" w:eastAsia="zh-CN"/>
        </w:rPr>
        <w:t>冲洗系统控制采用联动、自动和手动3种模式，不需专人值守。与其他洗车平台不同的是，该洗车平台上方加装了龙门架式喷淋设施对车内货物进行保湿抑尘。龙门架式喷淋设施长4.8m、宽1.8m、高5m支撑框架，供水管道共计3道，确保水压水量达到设计要求，18个喷嘴均匀分布</w:t>
      </w:r>
      <w:r>
        <w:rPr>
          <w:rFonts w:hint="eastAsia"/>
          <w:lang w:val="en-US" w:eastAsia="zh-CN"/>
        </w:rPr>
        <w:t>。</w:t>
      </w:r>
    </w:p>
    <w:p w14:paraId="7763D83A">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（5）污水处置与利用</w:t>
      </w:r>
    </w:p>
    <w:p w14:paraId="22204E47">
      <w:pPr>
        <w:pStyle w:val="6"/>
        <w:bidi w:val="0"/>
        <w:rPr>
          <w:rFonts w:hint="default"/>
          <w:lang w:val="en-US" w:eastAsia="zh-CN"/>
        </w:rPr>
      </w:pPr>
      <w:r>
        <w:rPr>
          <w:rFonts w:hint="default"/>
          <w:lang w:val="en-US" w:eastAsia="zh-CN"/>
        </w:rPr>
        <w:t>江苏连云港港口股份有限公司东方港务分公司洗车平台</w:t>
      </w:r>
      <w:r>
        <w:rPr>
          <w:rFonts w:hint="eastAsia"/>
          <w:lang w:val="en-US" w:eastAsia="zh-CN"/>
        </w:rPr>
        <w:t>污水收集至沉淀池内，经过处理后进行循环利用，污泥定期清理。</w:t>
      </w:r>
    </w:p>
    <w:p w14:paraId="1017F5D1">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23" w:name="_Toc25549"/>
      <w:r>
        <w:rPr>
          <w:rFonts w:hint="default" w:ascii="Times New Roman" w:hAnsi="Times New Roman" w:eastAsia="黑体" w:cs="Times New Roman"/>
          <w:spacing w:val="-2"/>
          <w:sz w:val="28"/>
          <w:szCs w:val="28"/>
          <w:lang w:val="en-US" w:eastAsia="zh-CN"/>
        </w:rPr>
        <w:t>10 连云港新苏港码头有限公司</w:t>
      </w:r>
      <w:bookmarkEnd w:id="23"/>
    </w:p>
    <w:p w14:paraId="4B9DB03D">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（1）选址与布置</w:t>
      </w:r>
    </w:p>
    <w:p w14:paraId="07202110">
      <w:pPr>
        <w:pStyle w:val="6"/>
        <w:bidi w:val="0"/>
        <w:rPr>
          <w:rFonts w:hint="default"/>
          <w:lang w:val="en-US"/>
        </w:rPr>
      </w:pPr>
      <w:r>
        <w:rPr>
          <w:rFonts w:hint="default"/>
          <w:lang w:val="en-US" w:eastAsia="zh-CN"/>
        </w:rPr>
        <w:t>连云港新苏港码头有限公司在码头堆场出口建设了一处洗车平台，如图3</w:t>
      </w:r>
      <w:r>
        <w:rPr>
          <w:rFonts w:hint="eastAsia"/>
          <w:lang w:val="en-US" w:eastAsia="zh-CN"/>
        </w:rPr>
        <w:t>-18</w:t>
      </w:r>
      <w:r>
        <w:rPr>
          <w:rFonts w:hint="default"/>
          <w:lang w:val="en-US" w:eastAsia="zh-CN"/>
        </w:rPr>
        <w:t>所示。</w:t>
      </w:r>
    </w:p>
    <w:p w14:paraId="691E9301">
      <w:pPr>
        <w:pageBreakBefore w:val="0"/>
        <w:kinsoku/>
        <w:wordWrap/>
        <w:overflowPunct/>
        <w:topLinePunct w:val="0"/>
        <w:bidi w:val="0"/>
        <w:ind w:left="0" w:right="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2520315" cy="1890395"/>
            <wp:effectExtent l="0" t="0" r="13335" b="14605"/>
            <wp:docPr id="49" name="图片 3" descr="IMG_256"/>
            <wp:cNvGraphicFramePr/>
            <a:graphic xmlns:a="http://schemas.openxmlformats.org/drawingml/2006/main">
              <a:graphicData uri="http://schemas.openxmlformats.org/drawingml/2006/picture">
                <pic:pic xmlns:pic="http://schemas.openxmlformats.org/drawingml/2006/picture">
                  <pic:nvPicPr>
                    <pic:cNvPr id="49" name="图片 3" descr="IMG_256"/>
                    <pic:cNvPicPr/>
                  </pic:nvPicPr>
                  <pic:blipFill>
                    <a:blip r:embed="rId43"/>
                    <a:stretch>
                      <a:fillRect/>
                    </a:stretch>
                  </pic:blipFill>
                  <pic:spPr>
                    <a:xfrm>
                      <a:off x="0" y="0"/>
                      <a:ext cx="2520315" cy="1890395"/>
                    </a:xfrm>
                    <a:prstGeom prst="rect">
                      <a:avLst/>
                    </a:prstGeom>
                    <a:noFill/>
                    <a:ln w="9525">
                      <a:noFill/>
                    </a:ln>
                  </pic:spPr>
                </pic:pic>
              </a:graphicData>
            </a:graphic>
          </wp:inline>
        </w:drawing>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drawing>
          <wp:inline distT="0" distB="0" distL="114300" distR="114300">
            <wp:extent cx="2520315" cy="1889760"/>
            <wp:effectExtent l="0" t="0" r="13335" b="15240"/>
            <wp:docPr id="50" name="图片 4" descr="IMG_256"/>
            <wp:cNvGraphicFramePr/>
            <a:graphic xmlns:a="http://schemas.openxmlformats.org/drawingml/2006/main">
              <a:graphicData uri="http://schemas.openxmlformats.org/drawingml/2006/picture">
                <pic:pic xmlns:pic="http://schemas.openxmlformats.org/drawingml/2006/picture">
                  <pic:nvPicPr>
                    <pic:cNvPr id="50" name="图片 4" descr="IMG_256"/>
                    <pic:cNvPicPr/>
                  </pic:nvPicPr>
                  <pic:blipFill>
                    <a:blip r:embed="rId44"/>
                    <a:stretch>
                      <a:fillRect/>
                    </a:stretch>
                  </pic:blipFill>
                  <pic:spPr>
                    <a:xfrm>
                      <a:off x="0" y="0"/>
                      <a:ext cx="2520315" cy="1889760"/>
                    </a:xfrm>
                    <a:prstGeom prst="rect">
                      <a:avLst/>
                    </a:prstGeom>
                    <a:noFill/>
                    <a:ln w="9525">
                      <a:noFill/>
                    </a:ln>
                  </pic:spPr>
                </pic:pic>
              </a:graphicData>
            </a:graphic>
          </wp:inline>
        </w:drawing>
      </w:r>
    </w:p>
    <w:p w14:paraId="6396543B">
      <w:pPr>
        <w:pageBreakBefore w:val="0"/>
        <w:kinsoku/>
        <w:wordWrap/>
        <w:overflowPunct/>
        <w:topLinePunct w:val="0"/>
        <w:bidi w:val="0"/>
        <w:ind w:left="0" w:right="0"/>
        <w:jc w:val="center"/>
        <w:rPr>
          <w:rFonts w:hint="default" w:ascii="Times New Roman" w:hAnsi="Times New Roman" w:eastAsia="宋体" w:cs="Times New Roman"/>
          <w:b/>
          <w:bCs w:val="0"/>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b/>
          <w:bCs/>
          <w:sz w:val="21"/>
          <w:szCs w:val="24"/>
          <w:lang w:val="en-US" w:eastAsia="zh-CN"/>
        </w:rPr>
        <w:t>图3</w:t>
      </w:r>
      <w:r>
        <w:rPr>
          <w:rFonts w:hint="eastAsia" w:ascii="Times New Roman" w:hAnsi="Times New Roman" w:cs="Times New Roman"/>
          <w:b/>
          <w:bCs/>
          <w:sz w:val="21"/>
          <w:szCs w:val="24"/>
          <w:lang w:val="en-US" w:eastAsia="zh-CN"/>
        </w:rPr>
        <w:t>-18</w:t>
      </w:r>
      <w:r>
        <w:rPr>
          <w:rFonts w:hint="default" w:ascii="Times New Roman" w:hAnsi="Times New Roman" w:cs="Times New Roman"/>
          <w:b/>
          <w:bCs/>
          <w:sz w:val="21"/>
          <w:szCs w:val="24"/>
          <w:lang w:val="en-US" w:eastAsia="zh-CN"/>
        </w:rPr>
        <w:t xml:space="preserve"> 连云港新苏港码头有限公司洗车平台</w:t>
      </w:r>
    </w:p>
    <w:p w14:paraId="1DBD7960">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（2）建设材质、规格及形式</w:t>
      </w:r>
    </w:p>
    <w:p w14:paraId="72492E5E">
      <w:pPr>
        <w:pStyle w:val="6"/>
        <w:bidi w:val="0"/>
        <w:rPr>
          <w:rFonts w:hint="default" w:ascii="Times New Roman" w:hAnsi="Times New Roman" w:eastAsia="宋体" w:cs="Times New Roman"/>
          <w:b/>
          <w:bCs w:val="0"/>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kern w:val="0"/>
          <w:sz w:val="24"/>
          <w:szCs w:val="24"/>
          <w:lang w:val="en-US" w:eastAsia="zh-CN" w:bidi="ar"/>
        </w:rPr>
        <w:t>连云港新苏港码头有限公司</w:t>
      </w:r>
      <w:r>
        <w:rPr>
          <w:rFonts w:hint="default" w:ascii="Times New Roman" w:hAnsi="Times New Roman" w:cs="Times New Roman"/>
          <w:lang w:val="en-US" w:eastAsia="zh-CN"/>
        </w:rPr>
        <w:t>洗车平台主体结构为钢结构材质，总长约</w:t>
      </w:r>
      <w:r>
        <w:rPr>
          <w:rFonts w:hint="eastAsia" w:ascii="Times New Roman" w:hAnsi="Times New Roman" w:cs="Times New Roman"/>
          <w:lang w:val="en-US" w:eastAsia="zh-CN"/>
        </w:rPr>
        <w:t>35</w:t>
      </w:r>
      <w:r>
        <w:rPr>
          <w:rFonts w:hint="default" w:ascii="Times New Roman" w:hAnsi="Times New Roman" w:cs="Times New Roman"/>
          <w:lang w:val="en-US" w:eastAsia="zh-CN"/>
        </w:rPr>
        <w:t>m</w:t>
      </w:r>
      <w:r>
        <w:rPr>
          <w:rFonts w:hint="eastAsia" w:ascii="Times New Roman" w:hAnsi="Times New Roman" w:cs="Times New Roman"/>
          <w:lang w:val="en-US" w:eastAsia="zh-CN"/>
        </w:rPr>
        <w:t>，为露天布置形式</w:t>
      </w:r>
      <w:r>
        <w:rPr>
          <w:rFonts w:hint="default" w:ascii="Times New Roman" w:hAnsi="Times New Roman" w:eastAsia="宋体" w:cs="Times New Roman"/>
          <w:b/>
          <w:bCs w:val="0"/>
          <w:color w:val="000000" w:themeColor="text1"/>
          <w:sz w:val="24"/>
          <w:szCs w:val="22"/>
          <w:highlight w:val="none"/>
          <w:lang w:val="en-US" w:eastAsia="zh-CN"/>
          <w14:textFill>
            <w14:solidFill>
              <w14:schemeClr w14:val="tx1"/>
            </w14:solidFill>
          </w14:textFill>
        </w:rPr>
        <w:t>。</w:t>
      </w:r>
    </w:p>
    <w:p w14:paraId="6CBE9DF4">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（3）相关设施、设备组成</w:t>
      </w:r>
    </w:p>
    <w:p w14:paraId="76956B7D">
      <w:pPr>
        <w:pStyle w:val="6"/>
        <w:bidi w:val="0"/>
        <w:rPr>
          <w:rFonts w:hint="default"/>
          <w:lang w:val="en-US" w:eastAsia="zh-CN"/>
        </w:rPr>
      </w:pPr>
      <w:r>
        <w:rPr>
          <w:rFonts w:hint="default"/>
          <w:lang w:val="en-US" w:eastAsia="zh-CN"/>
        </w:rPr>
        <w:t>连云港新苏港码头有限公司洗车平台车辆通道两侧设置了</w:t>
      </w:r>
      <w:r>
        <w:rPr>
          <w:rFonts w:hint="eastAsia"/>
          <w:lang w:val="en-US" w:eastAsia="zh-CN"/>
        </w:rPr>
        <w:t>喷头、</w:t>
      </w:r>
      <w:r>
        <w:rPr>
          <w:rFonts w:hint="default"/>
          <w:lang w:val="en-US" w:eastAsia="zh-CN"/>
        </w:rPr>
        <w:t>挡板，出口处设置了自动道闸，污水收集沉淀池位于洗车平台一侧</w:t>
      </w:r>
      <w:r>
        <w:rPr>
          <w:rFonts w:hint="eastAsia"/>
          <w:lang w:val="en-US" w:eastAsia="zh-CN"/>
        </w:rPr>
        <w:t>。</w:t>
      </w:r>
    </w:p>
    <w:p w14:paraId="118BF681">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（4）冲洗系统</w:t>
      </w:r>
    </w:p>
    <w:p w14:paraId="6CBEC6EA">
      <w:pPr>
        <w:pStyle w:val="6"/>
        <w:bidi w:val="0"/>
        <w:rPr>
          <w:rFonts w:hint="default"/>
          <w:lang w:val="en-US" w:eastAsia="zh-CN"/>
        </w:rPr>
      </w:pPr>
      <w:r>
        <w:rPr>
          <w:rFonts w:hint="default"/>
          <w:lang w:val="en-US" w:eastAsia="zh-CN"/>
        </w:rPr>
        <w:t>连云港新苏港码头有限公司洗车平台冲洗系统设置了底喷、侧喷等两个角度的喷头，</w:t>
      </w:r>
      <w:r>
        <w:rPr>
          <w:rFonts w:hint="eastAsia"/>
          <w:lang w:val="en-US" w:eastAsia="zh-CN"/>
        </w:rPr>
        <w:t>车辆冲洗自动感应、自动启停。</w:t>
      </w:r>
    </w:p>
    <w:p w14:paraId="1D0C1E11">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（5）污水处置与利用</w:t>
      </w:r>
    </w:p>
    <w:p w14:paraId="03897A4D">
      <w:pPr>
        <w:pStyle w:val="6"/>
        <w:bidi w:val="0"/>
        <w:rPr>
          <w:rFonts w:hint="default"/>
          <w:lang w:val="en-US" w:eastAsia="zh-CN"/>
        </w:rPr>
      </w:pPr>
      <w:r>
        <w:rPr>
          <w:rFonts w:hint="default"/>
          <w:lang w:val="en-US" w:eastAsia="zh-CN"/>
        </w:rPr>
        <w:t>连云港新苏港码头有限公司洗车平台</w:t>
      </w:r>
      <w:r>
        <w:rPr>
          <w:rFonts w:hint="eastAsia"/>
          <w:lang w:val="en-US" w:eastAsia="zh-CN"/>
        </w:rPr>
        <w:t>污水收集至沉淀池内，经过处理后进行循环利用，污泥定期清理。</w:t>
      </w:r>
    </w:p>
    <w:p w14:paraId="7BC19230">
      <w:pPr>
        <w:pageBreakBefore w:val="0"/>
        <w:kinsoku/>
        <w:wordWrap/>
        <w:overflowPunct/>
        <w:topLinePunct w:val="0"/>
        <w:bidi w:val="0"/>
        <w:ind w:left="0" w:right="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2520315" cy="1664970"/>
            <wp:effectExtent l="0" t="0" r="13335" b="11430"/>
            <wp:docPr id="51"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descr="IMG_256"/>
                    <pic:cNvPicPr>
                      <a:picLocks noChangeAspect="1"/>
                    </pic:cNvPicPr>
                  </pic:nvPicPr>
                  <pic:blipFill>
                    <a:blip r:embed="rId45"/>
                    <a:stretch>
                      <a:fillRect/>
                    </a:stretch>
                  </pic:blipFill>
                  <pic:spPr>
                    <a:xfrm>
                      <a:off x="0" y="0"/>
                      <a:ext cx="2520315" cy="1664970"/>
                    </a:xfrm>
                    <a:prstGeom prst="rect">
                      <a:avLst/>
                    </a:prstGeom>
                    <a:noFill/>
                    <a:ln w="9525">
                      <a:noFill/>
                    </a:ln>
                  </pic:spPr>
                </pic:pic>
              </a:graphicData>
            </a:graphic>
          </wp:inline>
        </w:drawing>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drawing>
          <wp:inline distT="0" distB="0" distL="114300" distR="114300">
            <wp:extent cx="2520315" cy="1663065"/>
            <wp:effectExtent l="0" t="0" r="13335" b="13335"/>
            <wp:docPr id="52" name="图片 6" descr="IMG_256"/>
            <wp:cNvGraphicFramePr/>
            <a:graphic xmlns:a="http://schemas.openxmlformats.org/drawingml/2006/main">
              <a:graphicData uri="http://schemas.openxmlformats.org/drawingml/2006/picture">
                <pic:pic xmlns:pic="http://schemas.openxmlformats.org/drawingml/2006/picture">
                  <pic:nvPicPr>
                    <pic:cNvPr id="52" name="图片 6" descr="IMG_256"/>
                    <pic:cNvPicPr/>
                  </pic:nvPicPr>
                  <pic:blipFill>
                    <a:blip r:embed="rId46"/>
                    <a:stretch>
                      <a:fillRect/>
                    </a:stretch>
                  </pic:blipFill>
                  <pic:spPr>
                    <a:xfrm>
                      <a:off x="0" y="0"/>
                      <a:ext cx="2520315" cy="1663065"/>
                    </a:xfrm>
                    <a:prstGeom prst="rect">
                      <a:avLst/>
                    </a:prstGeom>
                    <a:noFill/>
                    <a:ln w="9525">
                      <a:noFill/>
                    </a:ln>
                  </pic:spPr>
                </pic:pic>
              </a:graphicData>
            </a:graphic>
          </wp:inline>
        </w:drawing>
      </w:r>
    </w:p>
    <w:p w14:paraId="191F9834">
      <w:pPr>
        <w:pageBreakBefore w:val="0"/>
        <w:kinsoku/>
        <w:wordWrap/>
        <w:overflowPunct/>
        <w:topLinePunct w:val="0"/>
        <w:bidi w:val="0"/>
        <w:ind w:left="0" w:right="0"/>
        <w:jc w:val="cente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b/>
          <w:bCs/>
          <w:sz w:val="21"/>
          <w:szCs w:val="24"/>
          <w:lang w:val="en-US" w:eastAsia="zh-CN"/>
        </w:rPr>
        <w:t>图3</w:t>
      </w:r>
      <w:r>
        <w:rPr>
          <w:rFonts w:hint="eastAsia" w:ascii="Times New Roman" w:hAnsi="Times New Roman" w:cs="Times New Roman"/>
          <w:b/>
          <w:bCs/>
          <w:sz w:val="21"/>
          <w:szCs w:val="24"/>
          <w:lang w:val="en-US" w:eastAsia="zh-CN"/>
        </w:rPr>
        <w:t>-19</w:t>
      </w:r>
      <w:r>
        <w:rPr>
          <w:rFonts w:hint="default" w:ascii="Times New Roman" w:hAnsi="Times New Roman" w:cs="Times New Roman"/>
          <w:b/>
          <w:bCs/>
          <w:sz w:val="21"/>
          <w:szCs w:val="24"/>
          <w:lang w:val="en-US" w:eastAsia="zh-CN"/>
        </w:rPr>
        <w:t xml:space="preserve"> 连云港新苏港码头有限公司洗车平台</w:t>
      </w:r>
      <w:r>
        <w:rPr>
          <w:rFonts w:hint="eastAsia" w:ascii="Times New Roman" w:hAnsi="Times New Roman" w:cs="Times New Roman"/>
          <w:b/>
          <w:bCs/>
          <w:sz w:val="21"/>
          <w:szCs w:val="24"/>
          <w:lang w:val="en-US" w:eastAsia="zh-CN"/>
        </w:rPr>
        <w:t>污水沉淀池</w:t>
      </w:r>
    </w:p>
    <w:p w14:paraId="06773E1C">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24" w:name="_Toc628"/>
      <w:r>
        <w:rPr>
          <w:rFonts w:hint="default" w:ascii="Times New Roman" w:hAnsi="Times New Roman" w:eastAsia="黑体" w:cs="Times New Roman"/>
          <w:spacing w:val="-2"/>
          <w:sz w:val="28"/>
          <w:szCs w:val="28"/>
          <w:lang w:val="en-US" w:eastAsia="zh-CN"/>
        </w:rPr>
        <w:t>11 江苏盐城港响水港区港务公司</w:t>
      </w:r>
      <w:bookmarkEnd w:id="24"/>
    </w:p>
    <w:p w14:paraId="3203B36C">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（1）选址与布置</w:t>
      </w:r>
    </w:p>
    <w:p w14:paraId="4D36AEED">
      <w:pPr>
        <w:pStyle w:val="6"/>
        <w:bidi w:val="0"/>
        <w:rPr>
          <w:rFonts w:hint="default"/>
          <w:lang w:val="en-US" w:eastAsia="zh-CN"/>
        </w:rPr>
      </w:pPr>
      <w:r>
        <w:rPr>
          <w:rFonts w:hint="default"/>
          <w:lang w:val="en-US" w:eastAsia="zh-CN"/>
        </w:rPr>
        <w:t>江苏盐城港盐城港响水港区港务公司在港区出口东侧建设了一座洗车平台，该洗车平台，结构较为简单，规模较小，如图3</w:t>
      </w:r>
      <w:r>
        <w:rPr>
          <w:rFonts w:hint="eastAsia"/>
          <w:lang w:val="en-US" w:eastAsia="zh-CN"/>
        </w:rPr>
        <w:t>-20</w:t>
      </w:r>
      <w:r>
        <w:rPr>
          <w:rFonts w:hint="default"/>
          <w:lang w:val="en-US" w:eastAsia="zh-CN"/>
        </w:rPr>
        <w:t>所示。</w:t>
      </w:r>
    </w:p>
    <w:p w14:paraId="2A76E13B">
      <w:pPr>
        <w:pageBreakBefore w:val="0"/>
        <w:kinsoku/>
        <w:wordWrap/>
        <w:overflowPunct/>
        <w:topLinePunct w:val="0"/>
        <w:bidi w:val="0"/>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sz w:val="24"/>
          <w:szCs w:val="24"/>
        </w:rPr>
        <w:drawing>
          <wp:inline distT="0" distB="0" distL="114300" distR="114300">
            <wp:extent cx="2520315" cy="1591310"/>
            <wp:effectExtent l="0" t="0" r="13335" b="8890"/>
            <wp:docPr id="53" name="图片 1" descr="IMG_256"/>
            <wp:cNvGraphicFramePr/>
            <a:graphic xmlns:a="http://schemas.openxmlformats.org/drawingml/2006/main">
              <a:graphicData uri="http://schemas.openxmlformats.org/drawingml/2006/picture">
                <pic:pic xmlns:pic="http://schemas.openxmlformats.org/drawingml/2006/picture">
                  <pic:nvPicPr>
                    <pic:cNvPr id="53" name="图片 1" descr="IMG_256"/>
                    <pic:cNvPicPr/>
                  </pic:nvPicPr>
                  <pic:blipFill>
                    <a:blip r:embed="rId47"/>
                    <a:srcRect t="14824"/>
                    <a:stretch>
                      <a:fillRect/>
                    </a:stretch>
                  </pic:blipFill>
                  <pic:spPr>
                    <a:xfrm>
                      <a:off x="0" y="0"/>
                      <a:ext cx="2520315" cy="1591310"/>
                    </a:xfrm>
                    <a:prstGeom prst="rect">
                      <a:avLst/>
                    </a:prstGeom>
                    <a:noFill/>
                    <a:ln w="9525">
                      <a:noFill/>
                    </a:ln>
                  </pic:spPr>
                </pic:pic>
              </a:graphicData>
            </a:graphic>
          </wp:inline>
        </w:drawing>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drawing>
          <wp:inline distT="0" distB="0" distL="114300" distR="114300">
            <wp:extent cx="2520315" cy="1589405"/>
            <wp:effectExtent l="0" t="0" r="13335" b="10795"/>
            <wp:docPr id="5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descr="IMG_256"/>
                    <pic:cNvPicPr>
                      <a:picLocks noChangeAspect="1"/>
                    </pic:cNvPicPr>
                  </pic:nvPicPr>
                  <pic:blipFill>
                    <a:blip r:embed="rId48"/>
                    <a:srcRect t="15950"/>
                    <a:stretch>
                      <a:fillRect/>
                    </a:stretch>
                  </pic:blipFill>
                  <pic:spPr>
                    <a:xfrm>
                      <a:off x="0" y="0"/>
                      <a:ext cx="2520315" cy="1589405"/>
                    </a:xfrm>
                    <a:prstGeom prst="rect">
                      <a:avLst/>
                    </a:prstGeom>
                    <a:noFill/>
                    <a:ln w="9525">
                      <a:noFill/>
                    </a:ln>
                  </pic:spPr>
                </pic:pic>
              </a:graphicData>
            </a:graphic>
          </wp:inline>
        </w:drawing>
      </w:r>
    </w:p>
    <w:p w14:paraId="22FB60B5">
      <w:pPr>
        <w:pageBreakBefore w:val="0"/>
        <w:kinsoku/>
        <w:wordWrap/>
        <w:overflowPunct/>
        <w:topLinePunct w:val="0"/>
        <w:bidi w:val="0"/>
        <w:ind w:left="0" w:right="0"/>
        <w:jc w:val="center"/>
        <w:rPr>
          <w:rFonts w:hint="default" w:ascii="Times New Roman" w:hAnsi="Times New Roman" w:cs="Times New Roman"/>
          <w:lang w:val="en-US" w:eastAsia="zh-CN"/>
        </w:rPr>
      </w:pPr>
      <w:r>
        <w:rPr>
          <w:rFonts w:hint="default" w:ascii="Times New Roman" w:hAnsi="Times New Roman" w:cs="Times New Roman"/>
          <w:b/>
          <w:bCs/>
          <w:sz w:val="21"/>
          <w:szCs w:val="24"/>
          <w:lang w:val="en-US" w:eastAsia="zh-CN"/>
        </w:rPr>
        <w:t>图3</w:t>
      </w:r>
      <w:r>
        <w:rPr>
          <w:rFonts w:hint="eastAsia" w:ascii="Times New Roman" w:hAnsi="Times New Roman" w:cs="Times New Roman"/>
          <w:b/>
          <w:bCs/>
          <w:sz w:val="21"/>
          <w:szCs w:val="24"/>
          <w:lang w:val="en-US" w:eastAsia="zh-CN"/>
        </w:rPr>
        <w:t>-20</w:t>
      </w:r>
      <w:r>
        <w:rPr>
          <w:rFonts w:hint="default" w:ascii="Times New Roman" w:hAnsi="Times New Roman" w:cs="Times New Roman"/>
          <w:b/>
          <w:bCs/>
          <w:sz w:val="21"/>
          <w:szCs w:val="24"/>
          <w:lang w:val="en-US" w:eastAsia="zh-CN"/>
        </w:rPr>
        <w:t xml:space="preserve"> 江苏盐城港盐城港响水港区港务公司洗车平台</w:t>
      </w:r>
    </w:p>
    <w:p w14:paraId="1D555A92">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（2）建设材质、规格及形式</w:t>
      </w:r>
    </w:p>
    <w:p w14:paraId="3001E68D">
      <w:pPr>
        <w:pStyle w:val="6"/>
        <w:bidi w:val="0"/>
        <w:rPr>
          <w:rFonts w:hint="default" w:ascii="Times New Roman" w:hAnsi="Times New Roman" w:eastAsia="宋体" w:cs="Times New Roman"/>
          <w:b/>
          <w:bCs w:val="0"/>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lang w:val="en-US" w:eastAsia="zh-CN"/>
        </w:rPr>
        <w:t>江苏盐城港盐城港响水港区港务公司洗车平台由2组工程洗车机组成，其主体结构为钢结构材质，总长约10m</w:t>
      </w:r>
      <w:r>
        <w:rPr>
          <w:rFonts w:hint="default" w:ascii="Times New Roman" w:hAnsi="Times New Roman" w:eastAsia="宋体" w:cs="Times New Roman"/>
          <w:b/>
          <w:bCs w:val="0"/>
          <w:color w:val="000000" w:themeColor="text1"/>
          <w:sz w:val="24"/>
          <w:szCs w:val="22"/>
          <w:highlight w:val="none"/>
          <w:lang w:val="en-US" w:eastAsia="zh-CN"/>
          <w14:textFill>
            <w14:solidFill>
              <w14:schemeClr w14:val="tx1"/>
            </w14:solidFill>
          </w14:textFill>
        </w:rPr>
        <w:t>。</w:t>
      </w:r>
    </w:p>
    <w:p w14:paraId="190155DD">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（3）相关设施、设备组成</w:t>
      </w:r>
    </w:p>
    <w:p w14:paraId="1BDB8B76">
      <w:pPr>
        <w:pStyle w:val="6"/>
        <w:bidi w:val="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lang w:val="en-US" w:eastAsia="zh-CN"/>
        </w:rPr>
        <w:t>江苏盐城港盐城港响水港区港务公司洗车平台</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主要由</w:t>
      </w:r>
      <w:r>
        <w:rPr>
          <w:rFonts w:hint="eastAsia" w:ascii="Times New Roman" w:hAnsi="Times New Roman" w:cs="Times New Roman"/>
          <w:lang w:val="en-US" w:eastAsia="zh-CN"/>
        </w:rPr>
        <w:t>钢结构主体、</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洗车水箱、</w:t>
      </w:r>
      <w:r>
        <w:rPr>
          <w:rFonts w:hint="eastAsia" w:ascii="Times New Roman" w:hAnsi="Times New Roman" w:cs="Times New Roman"/>
          <w:lang w:val="en-US" w:eastAsia="zh-CN"/>
        </w:rPr>
        <w:t>通道两侧挡板、冲洗喷头、</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潜水泵</w:t>
      </w:r>
      <w:r>
        <w:rPr>
          <w:rFonts w:hint="eastAsia" w:ascii="Times New Roman" w:hAnsi="Times New Roman" w:cs="Times New Roman"/>
          <w:lang w:val="en-US" w:eastAsia="zh-CN"/>
        </w:rPr>
        <w:t>等组成。</w:t>
      </w:r>
    </w:p>
    <w:p w14:paraId="704C95D2">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（4）冲洗系统</w:t>
      </w:r>
    </w:p>
    <w:p w14:paraId="3A1D00DE">
      <w:pPr>
        <w:pStyle w:val="6"/>
        <w:bidi w:val="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lang w:val="en-US" w:eastAsia="zh-CN"/>
        </w:rPr>
        <w:t>江苏盐城港盐城港响水港区港务公司洗车平台</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采用高灵敏度的感应接近开关，车辆驶入自动冲洗通道，系统感应后会自动启动相应的喷头，无需人工进行干预。</w:t>
      </w:r>
      <w:r>
        <w:rPr>
          <w:rFonts w:hint="default" w:ascii="Times New Roman" w:hAnsi="Times New Roman" w:cs="Times New Roman"/>
          <w:lang w:val="en-US" w:eastAsia="zh-CN"/>
        </w:rPr>
        <w:t>冲洗系统</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采用14*10孔洞喷洒，分别设置了侧喷和底喷，确保了喷洒覆盖面和喷洒均衡度，车辆冲洗时长约60s。</w:t>
      </w:r>
    </w:p>
    <w:p w14:paraId="29049940">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（5）污水处置与利用</w:t>
      </w:r>
    </w:p>
    <w:p w14:paraId="436A4DCA">
      <w:pPr>
        <w:pStyle w:val="6"/>
        <w:bidi w:val="0"/>
        <w:rPr>
          <w:rFonts w:hint="default"/>
          <w:lang w:val="en-US" w:eastAsia="zh-CN"/>
        </w:rPr>
      </w:pPr>
      <w:r>
        <w:rPr>
          <w:rFonts w:hint="default"/>
          <w:lang w:val="en-US" w:eastAsia="zh-CN"/>
        </w:rPr>
        <w:t>江苏盐城港盐城港响水港区港务公司洗车平台污水排入收集沟，进入污水处理厂处理后进行回用。</w:t>
      </w:r>
    </w:p>
    <w:p w14:paraId="0968662D">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25" w:name="_Toc72"/>
      <w:r>
        <w:rPr>
          <w:rFonts w:hint="default" w:ascii="Times New Roman" w:hAnsi="Times New Roman" w:eastAsia="黑体" w:cs="Times New Roman"/>
          <w:spacing w:val="-2"/>
          <w:sz w:val="28"/>
          <w:szCs w:val="28"/>
          <w:lang w:val="en-US" w:eastAsia="zh-CN"/>
        </w:rPr>
        <w:t>12 福建罗屿港</w:t>
      </w:r>
      <w:bookmarkEnd w:id="25"/>
    </w:p>
    <w:p w14:paraId="6B3F4AAC">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（1）选址与布置</w:t>
      </w:r>
    </w:p>
    <w:p w14:paraId="2EC50AFF">
      <w:pPr>
        <w:pStyle w:val="6"/>
        <w:bidi w:val="0"/>
        <w:rPr>
          <w:rFonts w:hint="default"/>
          <w:lang w:val="en-US" w:eastAsia="zh-CN"/>
        </w:rPr>
      </w:pPr>
      <w:r>
        <w:rPr>
          <w:rFonts w:hint="default"/>
          <w:lang w:val="en-US" w:eastAsia="zh-CN"/>
        </w:rPr>
        <w:t>福建罗屿港</w:t>
      </w:r>
      <w:r>
        <w:rPr>
          <w:rFonts w:hint="eastAsia"/>
          <w:lang w:val="en-US" w:eastAsia="zh-CN"/>
        </w:rPr>
        <w:t>在堆场出入口设置了一处洗车平台</w:t>
      </w:r>
      <w:r>
        <w:rPr>
          <w:rFonts w:hint="default"/>
          <w:lang w:val="en-US" w:eastAsia="zh-CN"/>
        </w:rPr>
        <w:t>，如图3</w:t>
      </w:r>
      <w:r>
        <w:rPr>
          <w:rFonts w:hint="eastAsia"/>
          <w:lang w:val="en-US" w:eastAsia="zh-CN"/>
        </w:rPr>
        <w:t>-21</w:t>
      </w:r>
      <w:r>
        <w:rPr>
          <w:rFonts w:hint="default"/>
          <w:lang w:val="en-US" w:eastAsia="zh-CN"/>
        </w:rPr>
        <w:t>所示。</w:t>
      </w:r>
    </w:p>
    <w:p w14:paraId="49703AD8">
      <w:pPr>
        <w:pageBreakBefore w:val="0"/>
        <w:kinsoku/>
        <w:wordWrap/>
        <w:overflowPunct/>
        <w:topLinePunct w:val="0"/>
        <w:bidi w:val="0"/>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drawing>
          <wp:inline distT="0" distB="0" distL="114300" distR="114300">
            <wp:extent cx="2520315" cy="1418590"/>
            <wp:effectExtent l="0" t="0" r="13335" b="10160"/>
            <wp:docPr id="32" name="图片 32" descr="default (4)"/>
            <wp:cNvGraphicFramePr/>
            <a:graphic xmlns:a="http://schemas.openxmlformats.org/drawingml/2006/main">
              <a:graphicData uri="http://schemas.openxmlformats.org/drawingml/2006/picture">
                <pic:pic xmlns:pic="http://schemas.openxmlformats.org/drawingml/2006/picture">
                  <pic:nvPicPr>
                    <pic:cNvPr id="32" name="图片 32" descr="default (4)"/>
                    <pic:cNvPicPr/>
                  </pic:nvPicPr>
                  <pic:blipFill>
                    <a:blip r:embed="rId49"/>
                    <a:srcRect t="8758" b="9799"/>
                    <a:stretch>
                      <a:fillRect/>
                    </a:stretch>
                  </pic:blipFill>
                  <pic:spPr>
                    <a:xfrm>
                      <a:off x="0" y="0"/>
                      <a:ext cx="2520315" cy="1418590"/>
                    </a:xfrm>
                    <a:prstGeom prst="rect">
                      <a:avLst/>
                    </a:prstGeom>
                  </pic:spPr>
                </pic:pic>
              </a:graphicData>
            </a:graphic>
          </wp:inline>
        </w:drawing>
      </w:r>
      <w:r>
        <w:rPr>
          <w:rFonts w:hint="default" w:ascii="Times New Roman" w:hAnsi="Times New Roman" w:cs="Times New Roman"/>
          <w:lang w:val="en-US" w:eastAsia="zh-CN"/>
        </w:rPr>
        <w:t xml:space="preserve"> </w:t>
      </w:r>
      <w:r>
        <w:rPr>
          <w:rFonts w:hint="default" w:ascii="Times New Roman" w:hAnsi="Times New Roman" w:cs="Times New Roman"/>
          <w:lang w:val="en-US" w:eastAsia="zh-CN"/>
        </w:rPr>
        <w:drawing>
          <wp:inline distT="0" distB="0" distL="114300" distR="114300">
            <wp:extent cx="2520315" cy="1418590"/>
            <wp:effectExtent l="0" t="0" r="13335" b="10160"/>
            <wp:docPr id="41" name="图片 41" descr="default (3)"/>
            <wp:cNvGraphicFramePr/>
            <a:graphic xmlns:a="http://schemas.openxmlformats.org/drawingml/2006/main">
              <a:graphicData uri="http://schemas.openxmlformats.org/drawingml/2006/picture">
                <pic:pic xmlns:pic="http://schemas.openxmlformats.org/drawingml/2006/picture">
                  <pic:nvPicPr>
                    <pic:cNvPr id="41" name="图片 41" descr="default (3)"/>
                    <pic:cNvPicPr/>
                  </pic:nvPicPr>
                  <pic:blipFill>
                    <a:blip r:embed="rId50"/>
                    <a:srcRect t="7961" b="15956"/>
                    <a:stretch>
                      <a:fillRect/>
                    </a:stretch>
                  </pic:blipFill>
                  <pic:spPr>
                    <a:xfrm>
                      <a:off x="0" y="0"/>
                      <a:ext cx="2520315" cy="1418590"/>
                    </a:xfrm>
                    <a:prstGeom prst="rect">
                      <a:avLst/>
                    </a:prstGeom>
                  </pic:spPr>
                </pic:pic>
              </a:graphicData>
            </a:graphic>
          </wp:inline>
        </w:drawing>
      </w:r>
    </w:p>
    <w:p w14:paraId="5BD5EB79">
      <w:pPr>
        <w:pageBreakBefore w:val="0"/>
        <w:kinsoku/>
        <w:wordWrap/>
        <w:overflowPunct/>
        <w:topLinePunct w:val="0"/>
        <w:bidi w:val="0"/>
        <w:ind w:left="0" w:right="0"/>
        <w:jc w:val="center"/>
        <w:rPr>
          <w:rFonts w:hint="default" w:ascii="Times New Roman" w:hAnsi="Times New Roman" w:cs="Times New Roman"/>
          <w:lang w:val="en-US" w:eastAsia="zh-CN"/>
        </w:rPr>
      </w:pPr>
      <w:r>
        <w:rPr>
          <w:rFonts w:hint="default" w:ascii="Times New Roman" w:hAnsi="Times New Roman" w:cs="Times New Roman"/>
          <w:b/>
          <w:bCs/>
          <w:sz w:val="21"/>
          <w:szCs w:val="24"/>
          <w:lang w:val="en-US" w:eastAsia="zh-CN"/>
        </w:rPr>
        <w:t>图3</w:t>
      </w:r>
      <w:r>
        <w:rPr>
          <w:rFonts w:hint="eastAsia" w:ascii="Times New Roman" w:hAnsi="Times New Roman" w:cs="Times New Roman"/>
          <w:b/>
          <w:bCs/>
          <w:sz w:val="21"/>
          <w:szCs w:val="24"/>
          <w:lang w:val="en-US" w:eastAsia="zh-CN"/>
        </w:rPr>
        <w:t xml:space="preserve">-21 </w:t>
      </w:r>
      <w:r>
        <w:rPr>
          <w:rFonts w:hint="default" w:ascii="Times New Roman" w:hAnsi="Times New Roman" w:cs="Times New Roman"/>
          <w:b/>
          <w:bCs/>
          <w:sz w:val="21"/>
          <w:szCs w:val="24"/>
          <w:lang w:val="en-US" w:eastAsia="zh-CN"/>
        </w:rPr>
        <w:t>福建罗屿港洗车平台</w:t>
      </w:r>
    </w:p>
    <w:p w14:paraId="33F95CA4">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（2）建设材质、规格及形式</w:t>
      </w:r>
    </w:p>
    <w:p w14:paraId="4BE16875">
      <w:pPr>
        <w:pStyle w:val="6"/>
        <w:bidi w:val="0"/>
        <w:rPr>
          <w:rFonts w:hint="default" w:ascii="Times New Roman" w:hAnsi="Times New Roman" w:eastAsia="宋体" w:cs="Times New Roman"/>
          <w:b/>
          <w:bCs w:val="0"/>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lang w:val="en-US" w:eastAsia="zh-CN"/>
        </w:rPr>
        <w:t>福建罗屿港洗车平台其主体结构为钢结构材质，总长约10m</w:t>
      </w:r>
      <w:r>
        <w:rPr>
          <w:rFonts w:hint="eastAsia" w:ascii="Times New Roman" w:hAnsi="Times New Roman" w:cs="Times New Roman"/>
          <w:lang w:val="en-US" w:eastAsia="zh-CN"/>
        </w:rPr>
        <w:t>，布置形式为露天布置</w:t>
      </w:r>
      <w:r>
        <w:rPr>
          <w:rFonts w:hint="default" w:ascii="Times New Roman" w:hAnsi="Times New Roman" w:eastAsia="宋体" w:cs="Times New Roman"/>
          <w:b/>
          <w:bCs w:val="0"/>
          <w:color w:val="000000" w:themeColor="text1"/>
          <w:sz w:val="24"/>
          <w:szCs w:val="22"/>
          <w:highlight w:val="none"/>
          <w:lang w:val="en-US" w:eastAsia="zh-CN"/>
          <w14:textFill>
            <w14:solidFill>
              <w14:schemeClr w14:val="tx1"/>
            </w14:solidFill>
          </w14:textFill>
        </w:rPr>
        <w:t>。</w:t>
      </w:r>
    </w:p>
    <w:p w14:paraId="4EC485CC">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（3）相关设施、设备组成</w:t>
      </w:r>
    </w:p>
    <w:p w14:paraId="03570DB0">
      <w:pPr>
        <w:pStyle w:val="6"/>
        <w:bidi w:val="0"/>
        <w:rPr>
          <w:rFonts w:hint="default"/>
          <w:lang w:val="en-US" w:eastAsia="zh-CN"/>
        </w:rPr>
      </w:pPr>
      <w:r>
        <w:rPr>
          <w:rFonts w:hint="default"/>
          <w:lang w:val="en-US" w:eastAsia="zh-CN"/>
        </w:rPr>
        <w:t>福建罗屿港洗车平台整体为钢结构形式，在两侧和底部（轮胎车辙）均设置了冲洗喷头，两侧设置了挡板，污水收集沉淀池位于洗车平台下部，</w:t>
      </w:r>
      <w:r>
        <w:rPr>
          <w:rFonts w:hint="eastAsia"/>
          <w:lang w:val="en-US" w:eastAsia="zh-CN"/>
        </w:rPr>
        <w:t>同时，在洗车平台出口设置了自动道闸。</w:t>
      </w:r>
    </w:p>
    <w:p w14:paraId="392EDFD8">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（4）冲洗系统</w:t>
      </w:r>
    </w:p>
    <w:p w14:paraId="16A8E804">
      <w:pPr>
        <w:pStyle w:val="6"/>
        <w:bidi w:val="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lang w:val="en-US" w:eastAsia="zh-CN"/>
        </w:rPr>
        <w:t>福建罗屿港洗车平台</w:t>
      </w:r>
      <w:r>
        <w:rPr>
          <w:rFonts w:hint="eastAsia" w:ascii="Times New Roman" w:hAnsi="Times New Roman" w:cs="Times New Roman"/>
          <w:lang w:val="en-US" w:eastAsia="zh-CN"/>
        </w:rPr>
        <w:t>在</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车辆驶入自动冲洗通道，系统感应后会自动启动相应的</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侧喷</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喷头</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车辆冲洗时长约</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25</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s。</w:t>
      </w:r>
    </w:p>
    <w:p w14:paraId="2D6B1BEE">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default" w:ascii="Times New Roman" w:hAnsi="Times New Roman" w:eastAsia="黑体" w:cs="Times New Roman"/>
          <w:spacing w:val="-2"/>
          <w:sz w:val="24"/>
          <w:szCs w:val="24"/>
          <w:lang w:val="en-US" w:eastAsia="zh-CN"/>
        </w:rPr>
        <w:t>（5）污水处置与利用</w:t>
      </w:r>
    </w:p>
    <w:p w14:paraId="4D52CAB8">
      <w:pPr>
        <w:pStyle w:val="6"/>
        <w:bidi w:val="0"/>
        <w:rPr>
          <w:rFonts w:hint="default"/>
          <w:lang w:val="en-US" w:eastAsia="zh-CN"/>
        </w:rPr>
      </w:pPr>
      <w:r>
        <w:rPr>
          <w:rFonts w:hint="default"/>
          <w:lang w:val="en-US" w:eastAsia="zh-CN"/>
        </w:rPr>
        <w:t>福建罗屿港洗车平台污水排入</w:t>
      </w:r>
      <w:r>
        <w:rPr>
          <w:rFonts w:hint="eastAsia"/>
          <w:lang w:val="en-US" w:eastAsia="zh-CN"/>
        </w:rPr>
        <w:t>沉淀池</w:t>
      </w:r>
      <w:r>
        <w:rPr>
          <w:rFonts w:hint="default"/>
          <w:lang w:val="en-US" w:eastAsia="zh-CN"/>
        </w:rPr>
        <w:t>，</w:t>
      </w:r>
      <w:r>
        <w:rPr>
          <w:rFonts w:hint="eastAsia"/>
          <w:lang w:val="en-US" w:eastAsia="zh-CN"/>
        </w:rPr>
        <w:t>定期进行清理</w:t>
      </w:r>
      <w:r>
        <w:rPr>
          <w:rFonts w:hint="default"/>
          <w:lang w:val="en-US" w:eastAsia="zh-CN"/>
        </w:rPr>
        <w:t>。</w:t>
      </w:r>
    </w:p>
    <w:p w14:paraId="29C25749">
      <w:pPr>
        <w:pageBreakBefore w:val="0"/>
        <w:numPr>
          <w:ilvl w:val="0"/>
          <w:numId w:val="0"/>
        </w:numPr>
        <w:kinsoku/>
        <w:wordWrap/>
        <w:overflowPunct/>
        <w:topLinePunct w:val="0"/>
        <w:bidi w:val="0"/>
        <w:ind w:left="0" w:leftChars="0" w:right="0" w:firstLine="480" w:firstLineChars="20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p>
    <w:p w14:paraId="256B04C4">
      <w:pPr>
        <w:pageBreakBefore w:val="0"/>
        <w:kinsoku/>
        <w:wordWrap/>
        <w:overflowPunct/>
        <w:topLinePunct w:val="0"/>
        <w:bidi w:val="0"/>
        <w:ind w:left="0" w:right="0"/>
        <w:rPr>
          <w:rFonts w:hint="default" w:ascii="Times New Roman" w:hAnsi="Times New Roman" w:cs="Times New Roman"/>
          <w:lang w:val="en-US" w:eastAsia="zh-CN"/>
        </w:rPr>
      </w:pPr>
      <w:r>
        <w:rPr>
          <w:rFonts w:hint="default" w:ascii="Times New Roman" w:hAnsi="Times New Roman" w:cs="Times New Roman"/>
          <w:lang w:val="en-US" w:eastAsia="zh-CN"/>
        </w:rPr>
        <w:br w:type="page"/>
      </w:r>
    </w:p>
    <w:p w14:paraId="7B4F594B">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26" w:name="_Toc23264"/>
      <w:r>
        <w:rPr>
          <w:rFonts w:hint="eastAsia" w:ascii="Times New Roman" w:hAnsi="Times New Roman" w:eastAsia="黑体" w:cs="Times New Roman"/>
          <w:spacing w:val="-2"/>
          <w:sz w:val="28"/>
          <w:szCs w:val="28"/>
          <w:lang w:val="en-US" w:eastAsia="zh-CN"/>
        </w:rPr>
        <w:t>（</w:t>
      </w:r>
      <w:r>
        <w:rPr>
          <w:rFonts w:hint="default" w:ascii="Times New Roman" w:hAnsi="Times New Roman" w:eastAsia="黑体" w:cs="Times New Roman"/>
          <w:spacing w:val="-2"/>
          <w:sz w:val="28"/>
          <w:szCs w:val="28"/>
          <w:lang w:val="en-US" w:eastAsia="zh-CN"/>
        </w:rPr>
        <w:t>四</w:t>
      </w:r>
      <w:r>
        <w:rPr>
          <w:rFonts w:hint="eastAsia" w:ascii="Times New Roman" w:hAnsi="Times New Roman" w:eastAsia="黑体" w:cs="Times New Roman"/>
          <w:spacing w:val="-2"/>
          <w:sz w:val="28"/>
          <w:szCs w:val="28"/>
          <w:lang w:val="en-US" w:eastAsia="zh-CN"/>
        </w:rPr>
        <w:t>）</w:t>
      </w:r>
      <w:r>
        <w:rPr>
          <w:rFonts w:hint="default" w:ascii="Times New Roman" w:hAnsi="Times New Roman" w:eastAsia="黑体" w:cs="Times New Roman"/>
          <w:spacing w:val="-2"/>
          <w:sz w:val="28"/>
          <w:szCs w:val="28"/>
          <w:lang w:val="en-US" w:eastAsia="zh-CN"/>
        </w:rPr>
        <w:t>国内港口</w:t>
      </w:r>
      <w:r>
        <w:rPr>
          <w:rFonts w:hint="default" w:ascii="Times New Roman" w:hAnsi="Times New Roman" w:eastAsia="黑体" w:cs="Times New Roman"/>
          <w:spacing w:val="-2"/>
          <w:sz w:val="28"/>
          <w:szCs w:val="28"/>
          <w:lang w:eastAsia="zh-CN"/>
        </w:rPr>
        <w:t>洗车平台</w:t>
      </w:r>
      <w:r>
        <w:rPr>
          <w:rFonts w:hint="default" w:ascii="Times New Roman" w:hAnsi="Times New Roman" w:eastAsia="黑体" w:cs="Times New Roman"/>
          <w:spacing w:val="-2"/>
          <w:sz w:val="28"/>
          <w:szCs w:val="28"/>
          <w:lang w:val="en-US" w:eastAsia="zh-CN"/>
        </w:rPr>
        <w:t>对比分析</w:t>
      </w:r>
      <w:bookmarkEnd w:id="26"/>
    </w:p>
    <w:p w14:paraId="312D2AD9">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27" w:name="_Toc27278"/>
      <w:r>
        <w:rPr>
          <w:rFonts w:hint="default" w:ascii="Times New Roman" w:hAnsi="Times New Roman" w:eastAsia="黑体" w:cs="Times New Roman"/>
          <w:spacing w:val="-2"/>
          <w:sz w:val="28"/>
          <w:szCs w:val="28"/>
          <w:lang w:val="en-US" w:eastAsia="zh-CN"/>
        </w:rPr>
        <w:t>1 选址与布置</w:t>
      </w:r>
      <w:bookmarkEnd w:id="27"/>
    </w:p>
    <w:p w14:paraId="15EFDF26">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1</w:t>
      </w: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 xml:space="preserve"> 样本港口对比</w:t>
      </w:r>
    </w:p>
    <w:p w14:paraId="0ECB1CD6">
      <w:pPr>
        <w:pStyle w:val="6"/>
        <w:bidi w:val="0"/>
        <w:rPr>
          <w:rFonts w:hint="default"/>
          <w:lang w:val="en-US" w:eastAsia="zh-CN"/>
        </w:rPr>
      </w:pPr>
      <w:r>
        <w:rPr>
          <w:rFonts w:hint="default"/>
          <w:lang w:val="en-US" w:eastAsia="zh-CN"/>
        </w:rPr>
        <w:t>基于调研结果，12家样本港口洗车平台选址与布置情况详见表</w:t>
      </w:r>
      <w:r>
        <w:rPr>
          <w:rFonts w:hint="eastAsia"/>
          <w:lang w:val="en-US" w:eastAsia="zh-CN"/>
        </w:rPr>
        <w:t>3</w:t>
      </w:r>
      <w:r>
        <w:rPr>
          <w:rFonts w:hint="default"/>
          <w:lang w:val="en-US" w:eastAsia="zh-CN"/>
        </w:rPr>
        <w:t>-1。</w:t>
      </w:r>
    </w:p>
    <w:p w14:paraId="47763065">
      <w:pPr>
        <w:pageBreakBefore w:val="0"/>
        <w:kinsoku/>
        <w:wordWrap/>
        <w:overflowPunct/>
        <w:topLinePunct w:val="0"/>
        <w:bidi w:val="0"/>
        <w:ind w:left="0" w:right="0"/>
        <w:jc w:val="center"/>
        <w:rPr>
          <w:rFonts w:hint="default" w:ascii="Times New Roman" w:hAnsi="Times New Roman" w:cs="Times New Roman"/>
          <w:lang w:val="en-US" w:eastAsia="zh-CN"/>
        </w:rPr>
      </w:pPr>
      <w:r>
        <w:rPr>
          <w:rFonts w:hint="default" w:ascii="Times New Roman" w:hAnsi="Times New Roman" w:eastAsia="宋体" w:cs="Times New Roman"/>
          <w:b/>
          <w:bCs w:val="0"/>
          <w:color w:val="000000" w:themeColor="text1"/>
          <w:sz w:val="21"/>
          <w:szCs w:val="20"/>
          <w:highlight w:val="none"/>
          <w:lang w:val="en-US" w:eastAsia="zh-CN"/>
          <w14:textFill>
            <w14:solidFill>
              <w14:schemeClr w14:val="tx1"/>
            </w14:solidFill>
          </w14:textFill>
        </w:rPr>
        <w:t>表</w:t>
      </w:r>
      <w:r>
        <w:rPr>
          <w:rFonts w:hint="eastAsia" w:ascii="Times New Roman" w:hAnsi="Times New Roman" w:cs="Times New Roman"/>
          <w:b/>
          <w:bCs w:val="0"/>
          <w:color w:val="000000" w:themeColor="text1"/>
          <w:sz w:val="21"/>
          <w:szCs w:val="20"/>
          <w:highlight w:val="none"/>
          <w:lang w:val="en-US" w:eastAsia="zh-CN"/>
          <w14:textFill>
            <w14:solidFill>
              <w14:schemeClr w14:val="tx1"/>
            </w14:solidFill>
          </w14:textFill>
        </w:rPr>
        <w:t>3</w:t>
      </w:r>
      <w:r>
        <w:rPr>
          <w:rFonts w:hint="default" w:ascii="Times New Roman" w:hAnsi="Times New Roman" w:eastAsia="宋体" w:cs="Times New Roman"/>
          <w:b/>
          <w:bCs w:val="0"/>
          <w:color w:val="000000" w:themeColor="text1"/>
          <w:sz w:val="21"/>
          <w:szCs w:val="20"/>
          <w:highlight w:val="none"/>
          <w:lang w:val="en-US" w:eastAsia="zh-CN"/>
          <w14:textFill>
            <w14:solidFill>
              <w14:schemeClr w14:val="tx1"/>
            </w14:solidFill>
          </w14:textFill>
        </w:rPr>
        <w:t>-1  12家样本港口洗车平台选址与布置情况</w:t>
      </w:r>
    </w:p>
    <w:tbl>
      <w:tblPr>
        <w:tblStyle w:val="14"/>
        <w:tblW w:w="499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66"/>
        <w:gridCol w:w="1583"/>
        <w:gridCol w:w="2604"/>
        <w:gridCol w:w="1358"/>
        <w:gridCol w:w="1016"/>
        <w:gridCol w:w="1390"/>
      </w:tblGrid>
      <w:tr w14:paraId="7FB597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32" w:type="pct"/>
            <w:shd w:val="clear" w:color="auto" w:fill="F1F1F1" w:themeFill="background1" w:themeFillShade="F2"/>
            <w:vAlign w:val="center"/>
          </w:tcPr>
          <w:p w14:paraId="75AFD85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序号</w:t>
            </w:r>
          </w:p>
        </w:tc>
        <w:tc>
          <w:tcPr>
            <w:tcW w:w="2457" w:type="pct"/>
            <w:gridSpan w:val="2"/>
            <w:shd w:val="clear" w:color="auto" w:fill="F1F1F1" w:themeFill="background1" w:themeFillShade="F2"/>
            <w:vAlign w:val="center"/>
          </w:tcPr>
          <w:p w14:paraId="4DAFEBC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港口名称</w:t>
            </w:r>
          </w:p>
        </w:tc>
        <w:tc>
          <w:tcPr>
            <w:tcW w:w="797" w:type="pct"/>
            <w:shd w:val="clear" w:color="auto" w:fill="F1F1F1" w:themeFill="background1" w:themeFillShade="F2"/>
            <w:vAlign w:val="center"/>
          </w:tcPr>
          <w:p w14:paraId="153125F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洗车平台类型</w:t>
            </w:r>
          </w:p>
        </w:tc>
        <w:tc>
          <w:tcPr>
            <w:tcW w:w="596" w:type="pct"/>
            <w:shd w:val="clear" w:color="auto" w:fill="F1F1F1" w:themeFill="background1" w:themeFillShade="F2"/>
            <w:vAlign w:val="center"/>
          </w:tcPr>
          <w:p w14:paraId="0E95BEF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通道布置数量</w:t>
            </w:r>
          </w:p>
        </w:tc>
        <w:tc>
          <w:tcPr>
            <w:tcW w:w="815" w:type="pct"/>
            <w:shd w:val="clear" w:color="auto" w:fill="F1F1F1" w:themeFill="background1" w:themeFillShade="F2"/>
            <w:vAlign w:val="center"/>
          </w:tcPr>
          <w:p w14:paraId="07ED287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选址位置</w:t>
            </w:r>
          </w:p>
        </w:tc>
      </w:tr>
      <w:tr w14:paraId="2EE887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332" w:type="pct"/>
            <w:vAlign w:val="center"/>
          </w:tcPr>
          <w:p w14:paraId="5A9EA9D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w:t>
            </w:r>
          </w:p>
        </w:tc>
        <w:tc>
          <w:tcPr>
            <w:tcW w:w="929" w:type="pct"/>
            <w:vMerge w:val="restart"/>
            <w:vAlign w:val="center"/>
          </w:tcPr>
          <w:p w14:paraId="74B3A79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唐山港集团股份有限公司</w:t>
            </w:r>
          </w:p>
        </w:tc>
        <w:tc>
          <w:tcPr>
            <w:tcW w:w="1527" w:type="pct"/>
            <w:vAlign w:val="center"/>
          </w:tcPr>
          <w:p w14:paraId="049F776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矿石码头公司</w:t>
            </w:r>
          </w:p>
        </w:tc>
        <w:tc>
          <w:tcPr>
            <w:tcW w:w="797" w:type="pct"/>
            <w:vAlign w:val="center"/>
          </w:tcPr>
          <w:p w14:paraId="1507045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596" w:type="pct"/>
            <w:vAlign w:val="center"/>
          </w:tcPr>
          <w:p w14:paraId="72B5D02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双通道</w:t>
            </w:r>
          </w:p>
        </w:tc>
        <w:tc>
          <w:tcPr>
            <w:tcW w:w="815" w:type="pct"/>
            <w:vAlign w:val="center"/>
          </w:tcPr>
          <w:p w14:paraId="7B3FCC6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港区出口</w:t>
            </w:r>
          </w:p>
        </w:tc>
      </w:tr>
      <w:tr w14:paraId="7ED99B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332" w:type="pct"/>
            <w:vAlign w:val="center"/>
          </w:tcPr>
          <w:p w14:paraId="6AC0ADF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lang w:val="en-US" w:eastAsia="zh-CN"/>
              </w:rPr>
              <w:t>2</w:t>
            </w:r>
          </w:p>
        </w:tc>
        <w:tc>
          <w:tcPr>
            <w:tcW w:w="929" w:type="pct"/>
            <w:vMerge w:val="continue"/>
            <w:vAlign w:val="center"/>
          </w:tcPr>
          <w:p w14:paraId="1CCA9E9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rPr>
            </w:pPr>
          </w:p>
        </w:tc>
        <w:tc>
          <w:tcPr>
            <w:tcW w:w="1527" w:type="pct"/>
            <w:vAlign w:val="center"/>
          </w:tcPr>
          <w:p w14:paraId="79E993F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煤炭码头公司</w:t>
            </w:r>
          </w:p>
        </w:tc>
        <w:tc>
          <w:tcPr>
            <w:tcW w:w="797" w:type="pct"/>
            <w:vAlign w:val="center"/>
          </w:tcPr>
          <w:p w14:paraId="3305094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596" w:type="pct"/>
            <w:vAlign w:val="center"/>
          </w:tcPr>
          <w:p w14:paraId="25D93E9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双通道</w:t>
            </w:r>
          </w:p>
        </w:tc>
        <w:tc>
          <w:tcPr>
            <w:tcW w:w="815" w:type="pct"/>
            <w:vAlign w:val="center"/>
          </w:tcPr>
          <w:p w14:paraId="5181B9B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港区出口</w:t>
            </w:r>
          </w:p>
        </w:tc>
      </w:tr>
      <w:tr w14:paraId="5E52A1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2" w:type="pct"/>
            <w:vAlign w:val="center"/>
          </w:tcPr>
          <w:p w14:paraId="5247A72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3</w:t>
            </w:r>
          </w:p>
        </w:tc>
        <w:tc>
          <w:tcPr>
            <w:tcW w:w="929" w:type="pct"/>
            <w:vMerge w:val="restart"/>
            <w:vAlign w:val="center"/>
          </w:tcPr>
          <w:p w14:paraId="3CA8724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山东省港口集团有限公司</w:t>
            </w:r>
          </w:p>
        </w:tc>
        <w:tc>
          <w:tcPr>
            <w:tcW w:w="1527" w:type="pct"/>
            <w:vAlign w:val="center"/>
          </w:tcPr>
          <w:p w14:paraId="0E75CB7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青岛港董家口矿石码头</w:t>
            </w:r>
          </w:p>
        </w:tc>
        <w:tc>
          <w:tcPr>
            <w:tcW w:w="797" w:type="pct"/>
            <w:vAlign w:val="center"/>
          </w:tcPr>
          <w:p w14:paraId="1619FBF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连续洗车平台</w:t>
            </w:r>
          </w:p>
        </w:tc>
        <w:tc>
          <w:tcPr>
            <w:tcW w:w="596" w:type="pct"/>
            <w:vAlign w:val="center"/>
          </w:tcPr>
          <w:p w14:paraId="6FBD449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三通道</w:t>
            </w:r>
          </w:p>
        </w:tc>
        <w:tc>
          <w:tcPr>
            <w:tcW w:w="815" w:type="pct"/>
            <w:vAlign w:val="center"/>
          </w:tcPr>
          <w:p w14:paraId="1FAF350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码头搬倒区/港区出口</w:t>
            </w:r>
          </w:p>
        </w:tc>
      </w:tr>
      <w:tr w14:paraId="302F73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2" w:type="pct"/>
            <w:vAlign w:val="center"/>
          </w:tcPr>
          <w:p w14:paraId="35EF72D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4</w:t>
            </w:r>
          </w:p>
        </w:tc>
        <w:tc>
          <w:tcPr>
            <w:tcW w:w="929" w:type="pct"/>
            <w:vMerge w:val="continue"/>
            <w:vAlign w:val="center"/>
          </w:tcPr>
          <w:p w14:paraId="320B17D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527" w:type="pct"/>
            <w:vAlign w:val="center"/>
          </w:tcPr>
          <w:p w14:paraId="499B804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烟台港莱州港公司</w:t>
            </w:r>
          </w:p>
        </w:tc>
        <w:tc>
          <w:tcPr>
            <w:tcW w:w="797" w:type="pct"/>
            <w:vAlign w:val="center"/>
          </w:tcPr>
          <w:p w14:paraId="6DD5235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连续洗车平台</w:t>
            </w:r>
          </w:p>
        </w:tc>
        <w:tc>
          <w:tcPr>
            <w:tcW w:w="596" w:type="pct"/>
            <w:vAlign w:val="center"/>
          </w:tcPr>
          <w:p w14:paraId="65E0573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单通道</w:t>
            </w:r>
          </w:p>
        </w:tc>
        <w:tc>
          <w:tcPr>
            <w:tcW w:w="815" w:type="pct"/>
            <w:vAlign w:val="center"/>
          </w:tcPr>
          <w:p w14:paraId="16A60AA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堆场出入口</w:t>
            </w:r>
          </w:p>
        </w:tc>
      </w:tr>
      <w:tr w14:paraId="559BB8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2" w:type="pct"/>
            <w:vAlign w:val="center"/>
          </w:tcPr>
          <w:p w14:paraId="2D17AE7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5</w:t>
            </w:r>
          </w:p>
        </w:tc>
        <w:tc>
          <w:tcPr>
            <w:tcW w:w="929" w:type="pct"/>
            <w:vMerge w:val="continue"/>
            <w:vAlign w:val="center"/>
          </w:tcPr>
          <w:p w14:paraId="614DABD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527" w:type="pct"/>
            <w:vAlign w:val="center"/>
          </w:tcPr>
          <w:p w14:paraId="34CB216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日照港岚山公司</w:t>
            </w:r>
          </w:p>
        </w:tc>
        <w:tc>
          <w:tcPr>
            <w:tcW w:w="797" w:type="pct"/>
            <w:vAlign w:val="center"/>
          </w:tcPr>
          <w:p w14:paraId="207054E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596" w:type="pct"/>
            <w:vAlign w:val="center"/>
          </w:tcPr>
          <w:p w14:paraId="008530F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双通道</w:t>
            </w:r>
          </w:p>
        </w:tc>
        <w:tc>
          <w:tcPr>
            <w:tcW w:w="815" w:type="pct"/>
            <w:vAlign w:val="center"/>
          </w:tcPr>
          <w:p w14:paraId="07BF207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堆场出入口</w:t>
            </w:r>
          </w:p>
        </w:tc>
      </w:tr>
      <w:tr w14:paraId="1B7CE9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2" w:type="pct"/>
            <w:vAlign w:val="center"/>
          </w:tcPr>
          <w:p w14:paraId="6F6056D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6</w:t>
            </w:r>
          </w:p>
        </w:tc>
        <w:tc>
          <w:tcPr>
            <w:tcW w:w="929" w:type="pct"/>
            <w:vMerge w:val="continue"/>
            <w:vAlign w:val="center"/>
          </w:tcPr>
          <w:p w14:paraId="459A93F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527" w:type="pct"/>
            <w:vAlign w:val="center"/>
          </w:tcPr>
          <w:p w14:paraId="6B82DDA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日照港海港装卸公司</w:t>
            </w:r>
          </w:p>
        </w:tc>
        <w:tc>
          <w:tcPr>
            <w:tcW w:w="797" w:type="pct"/>
            <w:vAlign w:val="center"/>
          </w:tcPr>
          <w:p w14:paraId="0B3D986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Style w:val="16"/>
                <w:rFonts w:hint="default" w:ascii="Times New Roman" w:hAnsi="Times New Roman" w:eastAsia="宋体" w:cs="Times New Roman"/>
                <w:b w:val="0"/>
                <w:bCs/>
                <w:sz w:val="21"/>
                <w:szCs w:val="21"/>
                <w:lang w:val="en-US" w:eastAsia="zh-CN"/>
              </w:rPr>
            </w:pPr>
            <w:r>
              <w:rPr>
                <w:rStyle w:val="16"/>
                <w:rFonts w:hint="default" w:ascii="Times New Roman" w:hAnsi="Times New Roman" w:eastAsia="宋体" w:cs="Times New Roman"/>
                <w:b w:val="0"/>
                <w:bCs/>
                <w:sz w:val="21"/>
                <w:szCs w:val="21"/>
                <w:lang w:val="en-US" w:eastAsia="zh-CN"/>
              </w:rPr>
              <w:t>小型洗车平台</w:t>
            </w:r>
          </w:p>
        </w:tc>
        <w:tc>
          <w:tcPr>
            <w:tcW w:w="596" w:type="pct"/>
            <w:vAlign w:val="center"/>
          </w:tcPr>
          <w:p w14:paraId="124478F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双通道</w:t>
            </w:r>
          </w:p>
        </w:tc>
        <w:tc>
          <w:tcPr>
            <w:tcW w:w="815" w:type="pct"/>
            <w:vAlign w:val="center"/>
          </w:tcPr>
          <w:p w14:paraId="083D38A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港区出口</w:t>
            </w:r>
          </w:p>
        </w:tc>
      </w:tr>
      <w:tr w14:paraId="15F48E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2" w:type="pct"/>
            <w:vAlign w:val="center"/>
          </w:tcPr>
          <w:p w14:paraId="3EEC179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7</w:t>
            </w:r>
          </w:p>
        </w:tc>
        <w:tc>
          <w:tcPr>
            <w:tcW w:w="2457" w:type="pct"/>
            <w:gridSpan w:val="2"/>
            <w:vAlign w:val="center"/>
          </w:tcPr>
          <w:p w14:paraId="3D84919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太仓武港矿石码头有限公司</w:t>
            </w:r>
          </w:p>
        </w:tc>
        <w:tc>
          <w:tcPr>
            <w:tcW w:w="797" w:type="pct"/>
            <w:vAlign w:val="center"/>
          </w:tcPr>
          <w:p w14:paraId="505A0B4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596" w:type="pct"/>
            <w:vAlign w:val="center"/>
          </w:tcPr>
          <w:p w14:paraId="42E2DF9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单通道</w:t>
            </w:r>
          </w:p>
        </w:tc>
        <w:tc>
          <w:tcPr>
            <w:tcW w:w="815" w:type="pct"/>
            <w:vAlign w:val="center"/>
          </w:tcPr>
          <w:p w14:paraId="6BCC614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堆场出入口</w:t>
            </w:r>
          </w:p>
        </w:tc>
      </w:tr>
      <w:tr w14:paraId="54C7ED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2" w:type="pct"/>
            <w:vAlign w:val="center"/>
          </w:tcPr>
          <w:p w14:paraId="6E7B898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8</w:t>
            </w:r>
          </w:p>
        </w:tc>
        <w:tc>
          <w:tcPr>
            <w:tcW w:w="2457" w:type="pct"/>
            <w:gridSpan w:val="2"/>
            <w:vAlign w:val="center"/>
          </w:tcPr>
          <w:p w14:paraId="2D0BCB1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厦门港务集团石湖山码头有限公司</w:t>
            </w:r>
          </w:p>
        </w:tc>
        <w:tc>
          <w:tcPr>
            <w:tcW w:w="797" w:type="pct"/>
            <w:vAlign w:val="center"/>
          </w:tcPr>
          <w:p w14:paraId="7A8D0BC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596" w:type="pct"/>
            <w:vAlign w:val="center"/>
          </w:tcPr>
          <w:p w14:paraId="2C4C29B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单通道</w:t>
            </w:r>
          </w:p>
        </w:tc>
        <w:tc>
          <w:tcPr>
            <w:tcW w:w="815" w:type="pct"/>
            <w:vAlign w:val="center"/>
          </w:tcPr>
          <w:p w14:paraId="059EA49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堆场出入口</w:t>
            </w:r>
          </w:p>
        </w:tc>
      </w:tr>
      <w:tr w14:paraId="0337BE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2" w:type="pct"/>
            <w:vAlign w:val="center"/>
          </w:tcPr>
          <w:p w14:paraId="590C8F1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9</w:t>
            </w:r>
          </w:p>
        </w:tc>
        <w:tc>
          <w:tcPr>
            <w:tcW w:w="929" w:type="pct"/>
            <w:vMerge w:val="restart"/>
            <w:vAlign w:val="center"/>
          </w:tcPr>
          <w:p w14:paraId="3B4DA1B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江苏连云港</w:t>
            </w:r>
          </w:p>
        </w:tc>
        <w:tc>
          <w:tcPr>
            <w:tcW w:w="1527" w:type="pct"/>
            <w:vAlign w:val="center"/>
          </w:tcPr>
          <w:p w14:paraId="7431631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江苏连云港港口股份有限公司东方港务分公司</w:t>
            </w:r>
          </w:p>
        </w:tc>
        <w:tc>
          <w:tcPr>
            <w:tcW w:w="797" w:type="pct"/>
            <w:vAlign w:val="center"/>
          </w:tcPr>
          <w:p w14:paraId="689B208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596" w:type="pct"/>
            <w:vAlign w:val="center"/>
          </w:tcPr>
          <w:p w14:paraId="6767344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单通道</w:t>
            </w:r>
          </w:p>
        </w:tc>
        <w:tc>
          <w:tcPr>
            <w:tcW w:w="815" w:type="pct"/>
            <w:vAlign w:val="center"/>
          </w:tcPr>
          <w:p w14:paraId="16695EB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堆场出入口</w:t>
            </w:r>
          </w:p>
        </w:tc>
      </w:tr>
      <w:tr w14:paraId="1AABEE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2" w:type="pct"/>
            <w:vAlign w:val="center"/>
          </w:tcPr>
          <w:p w14:paraId="597CDEC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10</w:t>
            </w:r>
          </w:p>
        </w:tc>
        <w:tc>
          <w:tcPr>
            <w:tcW w:w="929" w:type="pct"/>
            <w:vMerge w:val="continue"/>
            <w:vAlign w:val="center"/>
          </w:tcPr>
          <w:p w14:paraId="761D45B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527" w:type="pct"/>
            <w:vAlign w:val="center"/>
          </w:tcPr>
          <w:p w14:paraId="4475669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连云港新苏港码头有限公司</w:t>
            </w:r>
          </w:p>
        </w:tc>
        <w:tc>
          <w:tcPr>
            <w:tcW w:w="797" w:type="pct"/>
            <w:vAlign w:val="center"/>
          </w:tcPr>
          <w:p w14:paraId="7023D44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596" w:type="pct"/>
            <w:vAlign w:val="center"/>
          </w:tcPr>
          <w:p w14:paraId="1C3D654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单通道</w:t>
            </w:r>
          </w:p>
        </w:tc>
        <w:tc>
          <w:tcPr>
            <w:tcW w:w="815" w:type="pct"/>
            <w:vAlign w:val="center"/>
          </w:tcPr>
          <w:p w14:paraId="7373983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堆场出入口</w:t>
            </w:r>
          </w:p>
        </w:tc>
      </w:tr>
      <w:tr w14:paraId="34B550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2" w:type="pct"/>
            <w:vAlign w:val="center"/>
          </w:tcPr>
          <w:p w14:paraId="03708AD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11</w:t>
            </w:r>
          </w:p>
        </w:tc>
        <w:tc>
          <w:tcPr>
            <w:tcW w:w="2457" w:type="pct"/>
            <w:gridSpan w:val="2"/>
            <w:vAlign w:val="center"/>
          </w:tcPr>
          <w:p w14:paraId="5519233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江苏盐城港响水港区港务公司</w:t>
            </w:r>
          </w:p>
        </w:tc>
        <w:tc>
          <w:tcPr>
            <w:tcW w:w="797" w:type="pct"/>
            <w:vAlign w:val="center"/>
          </w:tcPr>
          <w:p w14:paraId="5D51A5F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596" w:type="pct"/>
            <w:vAlign w:val="center"/>
          </w:tcPr>
          <w:p w14:paraId="5C4789F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单通道</w:t>
            </w:r>
          </w:p>
        </w:tc>
        <w:tc>
          <w:tcPr>
            <w:tcW w:w="815" w:type="pct"/>
            <w:vAlign w:val="center"/>
          </w:tcPr>
          <w:p w14:paraId="3C08E87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港区出口</w:t>
            </w:r>
          </w:p>
        </w:tc>
      </w:tr>
      <w:tr w14:paraId="2D6821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32" w:type="pct"/>
            <w:vAlign w:val="center"/>
          </w:tcPr>
          <w:p w14:paraId="7F4AE44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12</w:t>
            </w:r>
          </w:p>
        </w:tc>
        <w:tc>
          <w:tcPr>
            <w:tcW w:w="2457" w:type="pct"/>
            <w:gridSpan w:val="2"/>
            <w:vAlign w:val="center"/>
          </w:tcPr>
          <w:p w14:paraId="233DAB1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福建罗屿港</w:t>
            </w:r>
          </w:p>
        </w:tc>
        <w:tc>
          <w:tcPr>
            <w:tcW w:w="797" w:type="pct"/>
            <w:vAlign w:val="center"/>
          </w:tcPr>
          <w:p w14:paraId="6109428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596" w:type="pct"/>
            <w:vAlign w:val="center"/>
          </w:tcPr>
          <w:p w14:paraId="32CFA7B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单通道</w:t>
            </w:r>
          </w:p>
        </w:tc>
        <w:tc>
          <w:tcPr>
            <w:tcW w:w="815" w:type="pct"/>
            <w:vAlign w:val="center"/>
          </w:tcPr>
          <w:p w14:paraId="3E98A89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堆场出入口</w:t>
            </w:r>
          </w:p>
        </w:tc>
      </w:tr>
    </w:tbl>
    <w:p w14:paraId="67D205E7">
      <w:pPr>
        <w:pStyle w:val="6"/>
        <w:bidi w:val="0"/>
        <w:rPr>
          <w:rFonts w:hint="default"/>
          <w:lang w:val="en-US" w:eastAsia="zh-CN"/>
        </w:rPr>
      </w:pPr>
      <w:r>
        <w:rPr>
          <w:rFonts w:hint="default"/>
          <w:lang w:val="en-US" w:eastAsia="zh-CN"/>
        </w:rPr>
        <w:t>由表</w:t>
      </w:r>
      <w:r>
        <w:rPr>
          <w:rFonts w:hint="eastAsia"/>
          <w:lang w:val="en-US" w:eastAsia="zh-CN"/>
        </w:rPr>
        <w:t>3</w:t>
      </w:r>
      <w:r>
        <w:rPr>
          <w:rFonts w:hint="default"/>
          <w:lang w:val="en-US" w:eastAsia="zh-CN"/>
        </w:rPr>
        <w:t>-1可知，在调研的12家样本港口洗车平台中，洗车平台建设类型主要分为3种，包括小型洗车平台、连续洗车平台和隧道式连续洗车平台，12家样本港口中，各类型占比分别为58.3%、25%和16.7%。在选址和布置方面，多家样本港口主要将洗车平台布置在堆场出入口，其次少数样本港口选址于港区出口和码头搬倒区，12家样本港口中，洗车平台通道布置数量以单通道、双通道为主，仅青岛港董家口矿石码头洗车平台布置了三个车辆通道。</w:t>
      </w:r>
    </w:p>
    <w:p w14:paraId="21248678">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2</w:t>
      </w: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 xml:space="preserve"> 存在问题及解决方式</w:t>
      </w:r>
    </w:p>
    <w:p w14:paraId="2A7799F7">
      <w:pPr>
        <w:keepNext w:val="0"/>
        <w:keepLines w:val="0"/>
        <w:pageBreakBefore w:val="0"/>
        <w:widowControl w:val="0"/>
        <w:kinsoku/>
        <w:wordWrap/>
        <w:overflowPunct/>
        <w:topLinePunct w:val="0"/>
        <w:autoSpaceDE w:val="0"/>
        <w:autoSpaceDN w:val="0"/>
        <w:bidi w:val="0"/>
        <w:adjustRightInd/>
        <w:snapToGrid/>
        <w:spacing w:before="157" w:beforeLines="50"/>
        <w:ind w:left="0" w:right="0" w:firstLine="480" w:firstLineChars="200"/>
        <w:textAlignment w:val="auto"/>
        <w:rPr>
          <w:rFonts w:hint="default" w:ascii="Times New Roman" w:hAnsi="Times New Roman" w:eastAsia="PingFang SC" w:cs="Times New Roman"/>
          <w:b/>
          <w:bCs/>
          <w:i w:val="0"/>
          <w:iCs w:val="0"/>
          <w:caps w:val="0"/>
          <w:spacing w:val="0"/>
          <w:kern w:val="0"/>
          <w:sz w:val="24"/>
          <w:szCs w:val="24"/>
          <w:shd w:val="clear" w:fill="FFFFFF"/>
          <w:lang w:val="en-US" w:eastAsia="zh-CN" w:bidi="ar"/>
        </w:rPr>
      </w:pPr>
      <w:r>
        <w:rPr>
          <w:rFonts w:hint="default" w:ascii="Times New Roman" w:hAnsi="Times New Roman" w:eastAsia="PingFang SC" w:cs="Times New Roman"/>
          <w:b/>
          <w:bCs/>
          <w:i w:val="0"/>
          <w:iCs w:val="0"/>
          <w:caps w:val="0"/>
          <w:spacing w:val="0"/>
          <w:kern w:val="0"/>
          <w:sz w:val="24"/>
          <w:szCs w:val="24"/>
          <w:shd w:val="clear" w:fill="FFFFFF"/>
          <w:lang w:val="en-US" w:eastAsia="zh-CN" w:bidi="ar"/>
        </w:rPr>
        <w:t>1）部分洗车平台存在设计缺陷</w:t>
      </w:r>
    </w:p>
    <w:p w14:paraId="59EE8697">
      <w:pPr>
        <w:pStyle w:val="6"/>
        <w:bidi w:val="0"/>
        <w:rPr>
          <w:rFonts w:hint="default" w:ascii="Times New Roman" w:hAnsi="Times New Roman" w:cs="Times New Roman"/>
          <w:lang w:val="en-US" w:eastAsia="zh-CN"/>
        </w:rPr>
      </w:pPr>
      <w:r>
        <w:rPr>
          <w:rFonts w:hint="default" w:ascii="Times New Roman" w:hAnsi="Times New Roman" w:cs="Times New Roman"/>
          <w:b/>
          <w:bCs/>
          <w:lang w:val="en-US" w:eastAsia="zh-CN"/>
        </w:rPr>
        <w:t>问题描述：</w:t>
      </w:r>
      <w:r>
        <w:rPr>
          <w:rFonts w:hint="default" w:ascii="Times New Roman" w:hAnsi="Times New Roman" w:eastAsia="PingFang SC" w:cs="Times New Roman"/>
          <w:i w:val="0"/>
          <w:iCs w:val="0"/>
          <w:caps w:val="0"/>
          <w:spacing w:val="0"/>
          <w:kern w:val="0"/>
          <w:sz w:val="24"/>
          <w:szCs w:val="24"/>
          <w:shd w:val="clear" w:fill="FFFFFF"/>
          <w:lang w:val="en-US" w:eastAsia="zh-CN" w:bidi="ar"/>
        </w:rPr>
        <w:t>港口洗车平台的位置处于直角拐弯处，车辆进入需要经过直角转弯，大幅度转向容易造成物料撒漏碾压，且出口距离地磅过近（小于单个车辆长度），车辆等候上磅时，导致后续车辆部分压在洗车平台基座，容易造成设施损坏。</w:t>
      </w:r>
    </w:p>
    <w:p w14:paraId="4E73DA02">
      <w:pPr>
        <w:pStyle w:val="6"/>
        <w:bidi w:val="0"/>
        <w:rPr>
          <w:rFonts w:hint="default" w:ascii="Times New Roman" w:hAnsi="Times New Roman" w:cs="Times New Roman"/>
          <w:lang w:val="en-US" w:eastAsia="zh-CN"/>
        </w:rPr>
      </w:pPr>
      <w:r>
        <w:rPr>
          <w:rFonts w:hint="default" w:ascii="Times New Roman" w:hAnsi="Times New Roman" w:cs="Times New Roman"/>
          <w:b/>
          <w:bCs/>
          <w:lang w:val="en-US" w:eastAsia="zh-CN"/>
        </w:rPr>
        <w:t>解决方式：</w:t>
      </w:r>
      <w:r>
        <w:rPr>
          <w:rFonts w:hint="default" w:ascii="Times New Roman" w:hAnsi="Times New Roman" w:eastAsia="宋体" w:cs="Times New Roman"/>
          <w:sz w:val="24"/>
          <w:szCs w:val="24"/>
          <w:lang w:val="en-US" w:eastAsia="zh-CN"/>
        </w:rPr>
        <w:t>针对此问题，已建洗车平台位置已无法优化，需在后续新建洗车平台选址与布置过程中，充分考虑车辆行进路线等问题。</w:t>
      </w:r>
    </w:p>
    <w:p w14:paraId="72A98AA6">
      <w:pPr>
        <w:keepNext w:val="0"/>
        <w:keepLines w:val="0"/>
        <w:pageBreakBefore w:val="0"/>
        <w:widowControl w:val="0"/>
        <w:kinsoku/>
        <w:wordWrap/>
        <w:overflowPunct/>
        <w:topLinePunct w:val="0"/>
        <w:autoSpaceDE w:val="0"/>
        <w:autoSpaceDN w:val="0"/>
        <w:bidi w:val="0"/>
        <w:adjustRightInd/>
        <w:snapToGrid/>
        <w:spacing w:before="157" w:beforeLines="50"/>
        <w:ind w:left="0" w:right="0" w:firstLine="480" w:firstLineChars="200"/>
        <w:textAlignment w:val="auto"/>
        <w:rPr>
          <w:rFonts w:hint="default" w:ascii="Times New Roman" w:hAnsi="Times New Roman" w:eastAsia="PingFang SC" w:cs="Times New Roman"/>
          <w:b/>
          <w:bCs/>
          <w:i w:val="0"/>
          <w:iCs w:val="0"/>
          <w:caps w:val="0"/>
          <w:spacing w:val="0"/>
          <w:kern w:val="0"/>
          <w:sz w:val="24"/>
          <w:szCs w:val="24"/>
          <w:shd w:val="clear" w:fill="FFFFFF"/>
          <w:lang w:val="en-US" w:eastAsia="zh-CN" w:bidi="ar"/>
        </w:rPr>
      </w:pPr>
      <w:r>
        <w:rPr>
          <w:rFonts w:hint="default" w:ascii="Times New Roman" w:hAnsi="Times New Roman" w:eastAsia="PingFang SC" w:cs="Times New Roman"/>
          <w:b/>
          <w:bCs/>
          <w:i w:val="0"/>
          <w:iCs w:val="0"/>
          <w:caps w:val="0"/>
          <w:spacing w:val="0"/>
          <w:kern w:val="0"/>
          <w:sz w:val="24"/>
          <w:szCs w:val="24"/>
          <w:shd w:val="clear" w:fill="FFFFFF"/>
          <w:lang w:val="en-US" w:eastAsia="zh-CN" w:bidi="ar"/>
        </w:rPr>
        <w:t>2）部分洗车平台出口预留长度不足</w:t>
      </w:r>
    </w:p>
    <w:p w14:paraId="198655DE">
      <w:pPr>
        <w:pStyle w:val="6"/>
        <w:bidi w:val="0"/>
        <w:rPr>
          <w:rFonts w:hint="default" w:ascii="Times New Roman" w:hAnsi="Times New Roman" w:eastAsia="PingFang SC" w:cs="Times New Roman"/>
          <w:i w:val="0"/>
          <w:iCs w:val="0"/>
          <w:caps w:val="0"/>
          <w:spacing w:val="0"/>
          <w:kern w:val="0"/>
          <w:sz w:val="24"/>
          <w:szCs w:val="24"/>
          <w:shd w:val="clear" w:fill="FFFFFF"/>
          <w:lang w:val="en-US" w:eastAsia="zh-CN" w:bidi="ar"/>
        </w:rPr>
      </w:pPr>
      <w:r>
        <w:rPr>
          <w:rFonts w:hint="default" w:ascii="Times New Roman" w:hAnsi="Times New Roman" w:cs="Times New Roman"/>
          <w:b/>
          <w:bCs/>
          <w:lang w:val="en-US" w:eastAsia="zh-CN"/>
        </w:rPr>
        <w:t>问题描述：</w:t>
      </w:r>
      <w:r>
        <w:rPr>
          <w:rFonts w:hint="default" w:ascii="Times New Roman" w:hAnsi="Times New Roman" w:eastAsia="PingFang SC" w:cs="Times New Roman"/>
          <w:i w:val="0"/>
          <w:iCs w:val="0"/>
          <w:caps w:val="0"/>
          <w:spacing w:val="0"/>
          <w:kern w:val="0"/>
          <w:sz w:val="24"/>
          <w:szCs w:val="24"/>
          <w:shd w:val="clear" w:fill="FFFFFF"/>
          <w:lang w:val="en-US" w:eastAsia="zh-CN" w:bidi="ar"/>
        </w:rPr>
        <w:t>由于港口空间布局不一，多数港口洗车平台未配套干燥设备，车辆洗完后无法及时吹干，且部分港口洗车平台出口以外区域预留长度较短，运输车辆冲洗后，水分无法快速沥干，底盘滴漏的污水一并碾压外带，对外部区域造成一定影响。</w:t>
      </w:r>
    </w:p>
    <w:p w14:paraId="6C78184A">
      <w:pPr>
        <w:pStyle w:val="6"/>
        <w:bidi w:val="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b/>
          <w:bCs/>
          <w:lang w:val="en-US" w:eastAsia="zh-CN"/>
        </w:rPr>
        <w:t>解决方式：</w:t>
      </w:r>
      <w:r>
        <w:rPr>
          <w:rFonts w:hint="default" w:ascii="Times New Roman" w:hAnsi="Times New Roman" w:eastAsia="宋体" w:cs="Times New Roman"/>
          <w:sz w:val="24"/>
          <w:szCs w:val="24"/>
          <w:lang w:val="en-US" w:eastAsia="zh-CN"/>
        </w:rPr>
        <w:t>针对此问题，应根据港口自身实际，优化洗车平台出口预留长度，减少车辆污水污泥外带。</w:t>
      </w:r>
    </w:p>
    <w:p w14:paraId="72452FB8">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28" w:name="_Toc18960"/>
      <w:r>
        <w:rPr>
          <w:rFonts w:hint="default" w:ascii="Times New Roman" w:hAnsi="Times New Roman" w:eastAsia="黑体" w:cs="Times New Roman"/>
          <w:spacing w:val="-2"/>
          <w:sz w:val="28"/>
          <w:szCs w:val="28"/>
          <w:lang w:val="en-US" w:eastAsia="zh-CN"/>
        </w:rPr>
        <w:t>2 建设材质、规格、形式</w:t>
      </w:r>
      <w:bookmarkEnd w:id="28"/>
    </w:p>
    <w:p w14:paraId="0CBDC374">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1</w:t>
      </w: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 xml:space="preserve"> 样本港口对比</w:t>
      </w:r>
    </w:p>
    <w:p w14:paraId="00DE3A53">
      <w:pPr>
        <w:pStyle w:val="6"/>
        <w:bidi w:val="0"/>
        <w:rPr>
          <w:rFonts w:hint="default"/>
          <w:lang w:val="en-US" w:eastAsia="zh-CN"/>
        </w:rPr>
      </w:pPr>
      <w:r>
        <w:rPr>
          <w:rFonts w:hint="default"/>
          <w:lang w:val="en-US" w:eastAsia="zh-CN"/>
        </w:rPr>
        <w:t>基于调研结果，12家样本港口洗车平台建设材质、规格、形式详见表</w:t>
      </w:r>
      <w:r>
        <w:rPr>
          <w:rFonts w:hint="eastAsia"/>
          <w:lang w:val="en-US" w:eastAsia="zh-CN"/>
        </w:rPr>
        <w:t>3-2</w:t>
      </w:r>
      <w:r>
        <w:rPr>
          <w:rFonts w:hint="default"/>
          <w:lang w:val="en-US" w:eastAsia="zh-CN"/>
        </w:rPr>
        <w:t>。</w:t>
      </w:r>
    </w:p>
    <w:p w14:paraId="2BE57282">
      <w:pPr>
        <w:pageBreakBefore w:val="0"/>
        <w:kinsoku/>
        <w:wordWrap/>
        <w:overflowPunct/>
        <w:topLinePunct w:val="0"/>
        <w:bidi w:val="0"/>
        <w:ind w:left="0" w:right="0"/>
        <w:jc w:val="center"/>
        <w:rPr>
          <w:rFonts w:hint="default" w:ascii="Times New Roman" w:hAnsi="Times New Roman" w:cs="Times New Roman"/>
          <w:lang w:val="en-US" w:eastAsia="zh-CN"/>
        </w:rPr>
      </w:pPr>
      <w:r>
        <w:rPr>
          <w:rFonts w:hint="default" w:ascii="Times New Roman" w:hAnsi="Times New Roman" w:eastAsia="宋体" w:cs="Times New Roman"/>
          <w:b/>
          <w:bCs w:val="0"/>
          <w:color w:val="000000" w:themeColor="text1"/>
          <w:sz w:val="21"/>
          <w:szCs w:val="20"/>
          <w:highlight w:val="none"/>
          <w:lang w:val="en-US" w:eastAsia="zh-CN"/>
          <w14:textFill>
            <w14:solidFill>
              <w14:schemeClr w14:val="tx1"/>
            </w14:solidFill>
          </w14:textFill>
        </w:rPr>
        <w:t>表</w:t>
      </w:r>
      <w:r>
        <w:rPr>
          <w:rFonts w:hint="eastAsia" w:ascii="Times New Roman" w:hAnsi="Times New Roman" w:cs="Times New Roman"/>
          <w:b/>
          <w:bCs w:val="0"/>
          <w:color w:val="000000" w:themeColor="text1"/>
          <w:sz w:val="21"/>
          <w:szCs w:val="20"/>
          <w:highlight w:val="none"/>
          <w:lang w:val="en-US" w:eastAsia="zh-CN"/>
          <w14:textFill>
            <w14:solidFill>
              <w14:schemeClr w14:val="tx1"/>
            </w14:solidFill>
          </w14:textFill>
        </w:rPr>
        <w:t>3-2</w:t>
      </w:r>
      <w:r>
        <w:rPr>
          <w:rFonts w:hint="default" w:ascii="Times New Roman" w:hAnsi="Times New Roman" w:eastAsia="宋体" w:cs="Times New Roman"/>
          <w:b/>
          <w:bCs w:val="0"/>
          <w:color w:val="000000" w:themeColor="text1"/>
          <w:sz w:val="21"/>
          <w:szCs w:val="20"/>
          <w:highlight w:val="none"/>
          <w:lang w:val="en-US" w:eastAsia="zh-CN"/>
          <w14:textFill>
            <w14:solidFill>
              <w14:schemeClr w14:val="tx1"/>
            </w14:solidFill>
          </w14:textFill>
        </w:rPr>
        <w:t xml:space="preserve">  12家样本港口洗车平台建设材质、规格、形式</w:t>
      </w:r>
    </w:p>
    <w:tbl>
      <w:tblPr>
        <w:tblStyle w:val="14"/>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20"/>
        <w:gridCol w:w="1368"/>
        <w:gridCol w:w="2214"/>
        <w:gridCol w:w="1178"/>
        <w:gridCol w:w="1110"/>
        <w:gridCol w:w="1424"/>
        <w:gridCol w:w="708"/>
      </w:tblGrid>
      <w:tr w14:paraId="45711B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05" w:type="pct"/>
            <w:shd w:val="clear" w:color="auto" w:fill="F1F1F1" w:themeFill="background1" w:themeFillShade="F2"/>
            <w:vAlign w:val="center"/>
          </w:tcPr>
          <w:p w14:paraId="1A4FF85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序号</w:t>
            </w:r>
          </w:p>
        </w:tc>
        <w:tc>
          <w:tcPr>
            <w:tcW w:w="2100" w:type="pct"/>
            <w:gridSpan w:val="2"/>
            <w:shd w:val="clear" w:color="auto" w:fill="F1F1F1" w:themeFill="background1" w:themeFillShade="F2"/>
            <w:vAlign w:val="center"/>
          </w:tcPr>
          <w:p w14:paraId="40647B4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港口名称</w:t>
            </w:r>
          </w:p>
        </w:tc>
        <w:tc>
          <w:tcPr>
            <w:tcW w:w="691" w:type="pct"/>
            <w:shd w:val="clear" w:color="auto" w:fill="F1F1F1" w:themeFill="background1" w:themeFillShade="F2"/>
            <w:vAlign w:val="center"/>
          </w:tcPr>
          <w:p w14:paraId="19E918D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洗车平台类型</w:t>
            </w:r>
          </w:p>
        </w:tc>
        <w:tc>
          <w:tcPr>
            <w:tcW w:w="651" w:type="pct"/>
            <w:shd w:val="clear" w:color="auto" w:fill="F1F1F1" w:themeFill="background1" w:themeFillShade="F2"/>
            <w:vAlign w:val="center"/>
          </w:tcPr>
          <w:p w14:paraId="50FCD41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主体结构材质</w:t>
            </w:r>
          </w:p>
        </w:tc>
        <w:tc>
          <w:tcPr>
            <w:tcW w:w="835" w:type="pct"/>
            <w:shd w:val="clear" w:color="auto" w:fill="F1F1F1" w:themeFill="background1" w:themeFillShade="F2"/>
            <w:vAlign w:val="center"/>
          </w:tcPr>
          <w:p w14:paraId="279B5DA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规格</w:t>
            </w:r>
          </w:p>
        </w:tc>
        <w:tc>
          <w:tcPr>
            <w:tcW w:w="415" w:type="pct"/>
            <w:shd w:val="clear" w:color="auto" w:fill="F1F1F1" w:themeFill="background1" w:themeFillShade="F2"/>
            <w:vAlign w:val="center"/>
          </w:tcPr>
          <w:p w14:paraId="3D4FBED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形式</w:t>
            </w:r>
          </w:p>
        </w:tc>
      </w:tr>
      <w:tr w14:paraId="02D4F9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305" w:type="pct"/>
            <w:vAlign w:val="center"/>
          </w:tcPr>
          <w:p w14:paraId="50F1D6D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w:t>
            </w:r>
          </w:p>
        </w:tc>
        <w:tc>
          <w:tcPr>
            <w:tcW w:w="802" w:type="pct"/>
            <w:vMerge w:val="restart"/>
            <w:vAlign w:val="center"/>
          </w:tcPr>
          <w:p w14:paraId="4ECAF59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唐山港集团股份有限公司</w:t>
            </w:r>
          </w:p>
        </w:tc>
        <w:tc>
          <w:tcPr>
            <w:tcW w:w="1298" w:type="pct"/>
            <w:vAlign w:val="center"/>
          </w:tcPr>
          <w:p w14:paraId="7D60E1B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矿石码头公司</w:t>
            </w:r>
          </w:p>
        </w:tc>
        <w:tc>
          <w:tcPr>
            <w:tcW w:w="691" w:type="pct"/>
            <w:vAlign w:val="center"/>
          </w:tcPr>
          <w:p w14:paraId="79C1C38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651" w:type="pct"/>
            <w:vAlign w:val="center"/>
          </w:tcPr>
          <w:p w14:paraId="0530BBC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钢筋混凝土</w:t>
            </w:r>
          </w:p>
        </w:tc>
        <w:tc>
          <w:tcPr>
            <w:tcW w:w="835" w:type="pct"/>
            <w:vAlign w:val="center"/>
          </w:tcPr>
          <w:p w14:paraId="7E1B523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总长128m</w:t>
            </w:r>
          </w:p>
        </w:tc>
        <w:tc>
          <w:tcPr>
            <w:tcW w:w="415" w:type="pct"/>
            <w:vAlign w:val="center"/>
          </w:tcPr>
          <w:p w14:paraId="640425A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顶棚封闭</w:t>
            </w:r>
          </w:p>
        </w:tc>
      </w:tr>
      <w:tr w14:paraId="659166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305" w:type="pct"/>
            <w:vAlign w:val="center"/>
          </w:tcPr>
          <w:p w14:paraId="5CEDE38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sz w:val="21"/>
                <w:szCs w:val="21"/>
                <w:lang w:val="en-US" w:eastAsia="zh-CN"/>
              </w:rPr>
              <w:t>2</w:t>
            </w:r>
          </w:p>
        </w:tc>
        <w:tc>
          <w:tcPr>
            <w:tcW w:w="802" w:type="pct"/>
            <w:vMerge w:val="continue"/>
            <w:vAlign w:val="center"/>
          </w:tcPr>
          <w:p w14:paraId="6650979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sz w:val="21"/>
                <w:szCs w:val="21"/>
              </w:rPr>
            </w:pPr>
          </w:p>
        </w:tc>
        <w:tc>
          <w:tcPr>
            <w:tcW w:w="1298" w:type="pct"/>
            <w:vAlign w:val="center"/>
          </w:tcPr>
          <w:p w14:paraId="72D9ED4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煤炭码头公司</w:t>
            </w:r>
          </w:p>
        </w:tc>
        <w:tc>
          <w:tcPr>
            <w:tcW w:w="691" w:type="pct"/>
            <w:vAlign w:val="center"/>
          </w:tcPr>
          <w:p w14:paraId="4F74D38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651" w:type="pct"/>
            <w:vAlign w:val="center"/>
          </w:tcPr>
          <w:p w14:paraId="2FED698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钢筋混凝土</w:t>
            </w:r>
          </w:p>
        </w:tc>
        <w:tc>
          <w:tcPr>
            <w:tcW w:w="835" w:type="pct"/>
            <w:vAlign w:val="center"/>
          </w:tcPr>
          <w:p w14:paraId="16166D9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总长56m</w:t>
            </w:r>
          </w:p>
        </w:tc>
        <w:tc>
          <w:tcPr>
            <w:tcW w:w="415" w:type="pct"/>
            <w:vAlign w:val="center"/>
          </w:tcPr>
          <w:p w14:paraId="661A1DA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顶棚封闭</w:t>
            </w:r>
          </w:p>
        </w:tc>
      </w:tr>
      <w:tr w14:paraId="6E506C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05" w:type="pct"/>
            <w:vAlign w:val="center"/>
          </w:tcPr>
          <w:p w14:paraId="4B077AE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3</w:t>
            </w:r>
          </w:p>
        </w:tc>
        <w:tc>
          <w:tcPr>
            <w:tcW w:w="802" w:type="pct"/>
            <w:vMerge w:val="restart"/>
            <w:vAlign w:val="center"/>
          </w:tcPr>
          <w:p w14:paraId="474F02F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山东省港口集团有限公司</w:t>
            </w:r>
          </w:p>
        </w:tc>
        <w:tc>
          <w:tcPr>
            <w:tcW w:w="1298" w:type="pct"/>
            <w:vAlign w:val="center"/>
          </w:tcPr>
          <w:p w14:paraId="1BA6D2B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青岛港董家口矿石码头</w:t>
            </w:r>
          </w:p>
        </w:tc>
        <w:tc>
          <w:tcPr>
            <w:tcW w:w="691" w:type="pct"/>
            <w:vAlign w:val="center"/>
          </w:tcPr>
          <w:p w14:paraId="0E70D26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连续洗车平台</w:t>
            </w:r>
          </w:p>
        </w:tc>
        <w:tc>
          <w:tcPr>
            <w:tcW w:w="651" w:type="pct"/>
            <w:vAlign w:val="center"/>
          </w:tcPr>
          <w:p w14:paraId="5B4C32D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钢筋混凝土/钢结构</w:t>
            </w:r>
          </w:p>
        </w:tc>
        <w:tc>
          <w:tcPr>
            <w:tcW w:w="835" w:type="pct"/>
            <w:vAlign w:val="center"/>
          </w:tcPr>
          <w:p w14:paraId="3B68CD4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总长80m、40m</w:t>
            </w:r>
          </w:p>
        </w:tc>
        <w:tc>
          <w:tcPr>
            <w:tcW w:w="415" w:type="pct"/>
            <w:vAlign w:val="center"/>
          </w:tcPr>
          <w:p w14:paraId="6689137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w:t>
            </w:r>
          </w:p>
        </w:tc>
      </w:tr>
      <w:tr w14:paraId="378A0A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05" w:type="pct"/>
            <w:vAlign w:val="center"/>
          </w:tcPr>
          <w:p w14:paraId="55E0C39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4</w:t>
            </w:r>
          </w:p>
        </w:tc>
        <w:tc>
          <w:tcPr>
            <w:tcW w:w="802" w:type="pct"/>
            <w:vMerge w:val="continue"/>
            <w:vAlign w:val="center"/>
          </w:tcPr>
          <w:p w14:paraId="2D4FA68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298" w:type="pct"/>
            <w:vAlign w:val="center"/>
          </w:tcPr>
          <w:p w14:paraId="491965F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烟台港莱州港公司</w:t>
            </w:r>
          </w:p>
        </w:tc>
        <w:tc>
          <w:tcPr>
            <w:tcW w:w="691" w:type="pct"/>
            <w:vAlign w:val="center"/>
          </w:tcPr>
          <w:p w14:paraId="02EFE36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连续洗车平台</w:t>
            </w:r>
          </w:p>
        </w:tc>
        <w:tc>
          <w:tcPr>
            <w:tcW w:w="651" w:type="pct"/>
            <w:vAlign w:val="center"/>
          </w:tcPr>
          <w:p w14:paraId="33EBDFD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钢结构</w:t>
            </w:r>
          </w:p>
        </w:tc>
        <w:tc>
          <w:tcPr>
            <w:tcW w:w="835" w:type="pct"/>
            <w:vAlign w:val="center"/>
          </w:tcPr>
          <w:p w14:paraId="7D4B2BE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总长10m</w:t>
            </w:r>
          </w:p>
        </w:tc>
        <w:tc>
          <w:tcPr>
            <w:tcW w:w="415" w:type="pct"/>
            <w:vAlign w:val="center"/>
          </w:tcPr>
          <w:p w14:paraId="390AEBC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w:t>
            </w:r>
          </w:p>
        </w:tc>
      </w:tr>
      <w:tr w14:paraId="769AB7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05" w:type="pct"/>
            <w:vAlign w:val="center"/>
          </w:tcPr>
          <w:p w14:paraId="4842FD7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5</w:t>
            </w:r>
          </w:p>
        </w:tc>
        <w:tc>
          <w:tcPr>
            <w:tcW w:w="802" w:type="pct"/>
            <w:vMerge w:val="continue"/>
            <w:vAlign w:val="center"/>
          </w:tcPr>
          <w:p w14:paraId="27D9AEC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298" w:type="pct"/>
            <w:vAlign w:val="center"/>
          </w:tcPr>
          <w:p w14:paraId="6F03315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日照港岚山公司</w:t>
            </w:r>
          </w:p>
        </w:tc>
        <w:tc>
          <w:tcPr>
            <w:tcW w:w="691" w:type="pct"/>
            <w:vAlign w:val="center"/>
          </w:tcPr>
          <w:p w14:paraId="74D778E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651" w:type="pct"/>
            <w:vAlign w:val="center"/>
          </w:tcPr>
          <w:p w14:paraId="478BF4A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钢结构</w:t>
            </w:r>
          </w:p>
        </w:tc>
        <w:tc>
          <w:tcPr>
            <w:tcW w:w="835" w:type="pct"/>
            <w:vAlign w:val="center"/>
          </w:tcPr>
          <w:p w14:paraId="6A1305D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总长50m</w:t>
            </w:r>
          </w:p>
        </w:tc>
        <w:tc>
          <w:tcPr>
            <w:tcW w:w="415" w:type="pct"/>
            <w:vAlign w:val="center"/>
          </w:tcPr>
          <w:p w14:paraId="05BE0FE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顶棚封闭</w:t>
            </w:r>
          </w:p>
        </w:tc>
      </w:tr>
      <w:tr w14:paraId="02B24A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05" w:type="pct"/>
            <w:vAlign w:val="center"/>
          </w:tcPr>
          <w:p w14:paraId="506FEB7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6</w:t>
            </w:r>
          </w:p>
        </w:tc>
        <w:tc>
          <w:tcPr>
            <w:tcW w:w="802" w:type="pct"/>
            <w:vMerge w:val="continue"/>
            <w:vAlign w:val="center"/>
          </w:tcPr>
          <w:p w14:paraId="11F3E7A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298" w:type="pct"/>
            <w:vAlign w:val="center"/>
          </w:tcPr>
          <w:p w14:paraId="42F467C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日照港海港装卸公司</w:t>
            </w:r>
          </w:p>
        </w:tc>
        <w:tc>
          <w:tcPr>
            <w:tcW w:w="691" w:type="pct"/>
            <w:vAlign w:val="center"/>
          </w:tcPr>
          <w:p w14:paraId="624DDD8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Style w:val="16"/>
                <w:rFonts w:hint="default" w:ascii="Times New Roman" w:hAnsi="Times New Roman" w:eastAsia="宋体" w:cs="Times New Roman"/>
                <w:b w:val="0"/>
                <w:bCs/>
                <w:sz w:val="21"/>
                <w:szCs w:val="21"/>
                <w:lang w:val="en-US" w:eastAsia="zh-CN"/>
              </w:rPr>
            </w:pPr>
            <w:r>
              <w:rPr>
                <w:rStyle w:val="16"/>
                <w:rFonts w:hint="default" w:ascii="Times New Roman" w:hAnsi="Times New Roman" w:eastAsia="宋体" w:cs="Times New Roman"/>
                <w:b w:val="0"/>
                <w:bCs/>
                <w:sz w:val="21"/>
                <w:szCs w:val="21"/>
                <w:lang w:val="en-US" w:eastAsia="zh-CN"/>
              </w:rPr>
              <w:t>小型洗车平台</w:t>
            </w:r>
          </w:p>
        </w:tc>
        <w:tc>
          <w:tcPr>
            <w:tcW w:w="651" w:type="pct"/>
            <w:vAlign w:val="center"/>
          </w:tcPr>
          <w:p w14:paraId="72D3336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钢结构</w:t>
            </w:r>
          </w:p>
        </w:tc>
        <w:tc>
          <w:tcPr>
            <w:tcW w:w="835" w:type="pct"/>
            <w:vAlign w:val="center"/>
          </w:tcPr>
          <w:p w14:paraId="39F2C83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总长10m</w:t>
            </w:r>
          </w:p>
        </w:tc>
        <w:tc>
          <w:tcPr>
            <w:tcW w:w="415" w:type="pct"/>
            <w:vAlign w:val="center"/>
          </w:tcPr>
          <w:p w14:paraId="0ED6DF1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w:t>
            </w:r>
          </w:p>
        </w:tc>
      </w:tr>
      <w:tr w14:paraId="30E426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05" w:type="pct"/>
            <w:vAlign w:val="center"/>
          </w:tcPr>
          <w:p w14:paraId="4C36390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7</w:t>
            </w:r>
          </w:p>
        </w:tc>
        <w:tc>
          <w:tcPr>
            <w:tcW w:w="2100" w:type="pct"/>
            <w:gridSpan w:val="2"/>
            <w:vAlign w:val="center"/>
          </w:tcPr>
          <w:p w14:paraId="19589CF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太仓武港矿石码头有限公司</w:t>
            </w:r>
          </w:p>
        </w:tc>
        <w:tc>
          <w:tcPr>
            <w:tcW w:w="691" w:type="pct"/>
            <w:vAlign w:val="center"/>
          </w:tcPr>
          <w:p w14:paraId="278807E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651" w:type="pct"/>
            <w:vAlign w:val="center"/>
          </w:tcPr>
          <w:p w14:paraId="2B69E83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钢结构</w:t>
            </w:r>
          </w:p>
        </w:tc>
        <w:tc>
          <w:tcPr>
            <w:tcW w:w="835" w:type="pct"/>
            <w:vAlign w:val="center"/>
          </w:tcPr>
          <w:p w14:paraId="3B96010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总长6m</w:t>
            </w:r>
          </w:p>
        </w:tc>
        <w:tc>
          <w:tcPr>
            <w:tcW w:w="415" w:type="pct"/>
            <w:vAlign w:val="center"/>
          </w:tcPr>
          <w:p w14:paraId="61CA7CC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w:t>
            </w:r>
          </w:p>
        </w:tc>
      </w:tr>
      <w:tr w14:paraId="2F9EB2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05" w:type="pct"/>
            <w:vAlign w:val="center"/>
          </w:tcPr>
          <w:p w14:paraId="2D1B132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8</w:t>
            </w:r>
          </w:p>
        </w:tc>
        <w:tc>
          <w:tcPr>
            <w:tcW w:w="2100" w:type="pct"/>
            <w:gridSpan w:val="2"/>
            <w:vAlign w:val="center"/>
          </w:tcPr>
          <w:p w14:paraId="3362D02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厦门港务集团石湖山码头有限公司</w:t>
            </w:r>
          </w:p>
        </w:tc>
        <w:tc>
          <w:tcPr>
            <w:tcW w:w="691" w:type="pct"/>
            <w:vAlign w:val="center"/>
          </w:tcPr>
          <w:p w14:paraId="1C323F1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651" w:type="pct"/>
            <w:vAlign w:val="center"/>
          </w:tcPr>
          <w:p w14:paraId="0AB5A9C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钢结构</w:t>
            </w:r>
          </w:p>
        </w:tc>
        <w:tc>
          <w:tcPr>
            <w:tcW w:w="835" w:type="pct"/>
            <w:vAlign w:val="center"/>
          </w:tcPr>
          <w:p w14:paraId="64EA1B2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总长8m、4.4m</w:t>
            </w:r>
          </w:p>
        </w:tc>
        <w:tc>
          <w:tcPr>
            <w:tcW w:w="415" w:type="pct"/>
            <w:vAlign w:val="center"/>
          </w:tcPr>
          <w:p w14:paraId="3D83AE8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w:t>
            </w:r>
          </w:p>
        </w:tc>
      </w:tr>
      <w:tr w14:paraId="171FAE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05" w:type="pct"/>
            <w:vAlign w:val="center"/>
          </w:tcPr>
          <w:p w14:paraId="79232CC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9</w:t>
            </w:r>
          </w:p>
        </w:tc>
        <w:tc>
          <w:tcPr>
            <w:tcW w:w="802" w:type="pct"/>
            <w:vMerge w:val="restart"/>
            <w:vAlign w:val="center"/>
          </w:tcPr>
          <w:p w14:paraId="39DEA94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江苏连云港</w:t>
            </w:r>
          </w:p>
        </w:tc>
        <w:tc>
          <w:tcPr>
            <w:tcW w:w="1298" w:type="pct"/>
            <w:vAlign w:val="center"/>
          </w:tcPr>
          <w:p w14:paraId="45D4FD0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江苏连云港港口股份有限公司东方港务分公司</w:t>
            </w:r>
          </w:p>
        </w:tc>
        <w:tc>
          <w:tcPr>
            <w:tcW w:w="691" w:type="pct"/>
            <w:vAlign w:val="center"/>
          </w:tcPr>
          <w:p w14:paraId="6E53D90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651" w:type="pct"/>
            <w:vAlign w:val="center"/>
          </w:tcPr>
          <w:p w14:paraId="4B103AA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钢结构</w:t>
            </w:r>
          </w:p>
        </w:tc>
        <w:tc>
          <w:tcPr>
            <w:tcW w:w="835" w:type="pct"/>
            <w:vAlign w:val="center"/>
          </w:tcPr>
          <w:p w14:paraId="6046FED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总长30m</w:t>
            </w:r>
          </w:p>
        </w:tc>
        <w:tc>
          <w:tcPr>
            <w:tcW w:w="415" w:type="pct"/>
            <w:vAlign w:val="center"/>
          </w:tcPr>
          <w:p w14:paraId="147B753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w:t>
            </w:r>
          </w:p>
        </w:tc>
      </w:tr>
      <w:tr w14:paraId="09D1B1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05" w:type="pct"/>
            <w:vAlign w:val="center"/>
          </w:tcPr>
          <w:p w14:paraId="29D63C7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10</w:t>
            </w:r>
          </w:p>
        </w:tc>
        <w:tc>
          <w:tcPr>
            <w:tcW w:w="802" w:type="pct"/>
            <w:vMerge w:val="continue"/>
            <w:vAlign w:val="center"/>
          </w:tcPr>
          <w:p w14:paraId="128996A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298" w:type="pct"/>
            <w:vAlign w:val="center"/>
          </w:tcPr>
          <w:p w14:paraId="45B03BC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连云港新苏港码头有限公司</w:t>
            </w:r>
          </w:p>
        </w:tc>
        <w:tc>
          <w:tcPr>
            <w:tcW w:w="691" w:type="pct"/>
            <w:vAlign w:val="center"/>
          </w:tcPr>
          <w:p w14:paraId="18972B5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651" w:type="pct"/>
            <w:vAlign w:val="center"/>
          </w:tcPr>
          <w:p w14:paraId="59E028F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钢结构</w:t>
            </w:r>
          </w:p>
        </w:tc>
        <w:tc>
          <w:tcPr>
            <w:tcW w:w="835" w:type="pct"/>
            <w:vAlign w:val="center"/>
          </w:tcPr>
          <w:p w14:paraId="4C2465F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总长35m</w:t>
            </w:r>
          </w:p>
        </w:tc>
        <w:tc>
          <w:tcPr>
            <w:tcW w:w="415" w:type="pct"/>
            <w:vAlign w:val="center"/>
          </w:tcPr>
          <w:p w14:paraId="759E115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w:t>
            </w:r>
          </w:p>
        </w:tc>
      </w:tr>
      <w:tr w14:paraId="17DD8F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05" w:type="pct"/>
            <w:vAlign w:val="center"/>
          </w:tcPr>
          <w:p w14:paraId="26A351D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11</w:t>
            </w:r>
          </w:p>
        </w:tc>
        <w:tc>
          <w:tcPr>
            <w:tcW w:w="2100" w:type="pct"/>
            <w:gridSpan w:val="2"/>
            <w:vAlign w:val="center"/>
          </w:tcPr>
          <w:p w14:paraId="2625850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江苏盐城港响水港区港务公司</w:t>
            </w:r>
          </w:p>
        </w:tc>
        <w:tc>
          <w:tcPr>
            <w:tcW w:w="691" w:type="pct"/>
            <w:vAlign w:val="center"/>
          </w:tcPr>
          <w:p w14:paraId="4C9D8B3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651" w:type="pct"/>
            <w:vAlign w:val="center"/>
          </w:tcPr>
          <w:p w14:paraId="7A6F0EB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钢结构</w:t>
            </w:r>
          </w:p>
        </w:tc>
        <w:tc>
          <w:tcPr>
            <w:tcW w:w="835" w:type="pct"/>
            <w:vAlign w:val="center"/>
          </w:tcPr>
          <w:p w14:paraId="428E14A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总长10m</w:t>
            </w:r>
          </w:p>
        </w:tc>
        <w:tc>
          <w:tcPr>
            <w:tcW w:w="415" w:type="pct"/>
            <w:vAlign w:val="center"/>
          </w:tcPr>
          <w:p w14:paraId="19FE6B9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w:t>
            </w:r>
          </w:p>
        </w:tc>
      </w:tr>
      <w:tr w14:paraId="22C8C2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05" w:type="pct"/>
            <w:vAlign w:val="center"/>
          </w:tcPr>
          <w:p w14:paraId="6F71531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12</w:t>
            </w:r>
          </w:p>
        </w:tc>
        <w:tc>
          <w:tcPr>
            <w:tcW w:w="2100" w:type="pct"/>
            <w:gridSpan w:val="2"/>
            <w:vAlign w:val="center"/>
          </w:tcPr>
          <w:p w14:paraId="0544304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福建罗屿港</w:t>
            </w:r>
          </w:p>
        </w:tc>
        <w:tc>
          <w:tcPr>
            <w:tcW w:w="691" w:type="pct"/>
            <w:vAlign w:val="center"/>
          </w:tcPr>
          <w:p w14:paraId="76E3E37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651" w:type="pct"/>
            <w:vAlign w:val="center"/>
          </w:tcPr>
          <w:p w14:paraId="43D9F59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钢结构</w:t>
            </w:r>
          </w:p>
        </w:tc>
        <w:tc>
          <w:tcPr>
            <w:tcW w:w="835" w:type="pct"/>
            <w:vAlign w:val="center"/>
          </w:tcPr>
          <w:p w14:paraId="46E7D89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总长10m</w:t>
            </w:r>
          </w:p>
        </w:tc>
        <w:tc>
          <w:tcPr>
            <w:tcW w:w="415" w:type="pct"/>
            <w:vAlign w:val="center"/>
          </w:tcPr>
          <w:p w14:paraId="1DDB8E4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w:t>
            </w:r>
          </w:p>
        </w:tc>
      </w:tr>
    </w:tbl>
    <w:p w14:paraId="0F1ACB18">
      <w:pPr>
        <w:pStyle w:val="6"/>
        <w:bidi w:val="0"/>
        <w:rPr>
          <w:rFonts w:hint="default"/>
          <w:lang w:val="en-US" w:eastAsia="zh-CN"/>
        </w:rPr>
      </w:pPr>
      <w:r>
        <w:rPr>
          <w:rFonts w:hint="default"/>
          <w:lang w:val="en-US" w:eastAsia="zh-CN"/>
        </w:rPr>
        <w:t>由表</w:t>
      </w:r>
      <w:r>
        <w:rPr>
          <w:rFonts w:hint="eastAsia"/>
          <w:lang w:val="en-US" w:eastAsia="zh-CN"/>
        </w:rPr>
        <w:t>3-2</w:t>
      </w:r>
      <w:r>
        <w:rPr>
          <w:rFonts w:hint="default"/>
          <w:lang w:val="en-US" w:eastAsia="zh-CN"/>
        </w:rPr>
        <w:t>可知，调研的12家样本港口中，</w:t>
      </w:r>
      <w:r>
        <w:rPr>
          <w:rFonts w:hint="eastAsia"/>
          <w:lang w:val="en-US" w:eastAsia="zh-CN"/>
        </w:rPr>
        <w:t>洗车平台主体结构材质以钢结构为主，占比达83.3%，其余为钢筋混凝土结构。在洗车平台规格方面，</w:t>
      </w:r>
      <w:r>
        <w:rPr>
          <w:rFonts w:hint="default"/>
          <w:lang w:val="en-US" w:eastAsia="zh-CN"/>
        </w:rPr>
        <w:t>唐山港矿石码头洗车平台规模最大，总长为128m；受限于应用场景，厦门港务集团石湖山码头个别洗车平台规模最小，总长仅4.4m；总体来看，规模总长度在10m~50m之间的洗车平台较为常见。</w:t>
      </w:r>
      <w:r>
        <w:rPr>
          <w:rFonts w:hint="eastAsia"/>
          <w:lang w:val="en-US" w:eastAsia="zh-CN"/>
        </w:rPr>
        <w:t>从洗车平台建设形式来看，</w:t>
      </w:r>
      <w:r>
        <w:rPr>
          <w:rFonts w:hint="default"/>
          <w:lang w:val="en-US" w:eastAsia="zh-CN"/>
        </w:rPr>
        <w:t>3家样本港口隧道式连续洗车平台均加设了顶棚，在冬季时可以起到较好的保温作用</w:t>
      </w:r>
      <w:r>
        <w:rPr>
          <w:rFonts w:hint="eastAsia"/>
          <w:lang w:val="en-US" w:eastAsia="zh-CN"/>
        </w:rPr>
        <w:t>，</w:t>
      </w:r>
      <w:r>
        <w:rPr>
          <w:rFonts w:hint="default"/>
          <w:lang w:val="en-US" w:eastAsia="zh-CN"/>
        </w:rPr>
        <w:t>其余9家样本港口洗车平台均采取露天布置形式。</w:t>
      </w:r>
      <w:r>
        <w:rPr>
          <w:rFonts w:hint="eastAsia"/>
          <w:lang w:val="en-US" w:eastAsia="zh-CN"/>
        </w:rPr>
        <w:t>分析其原因，</w:t>
      </w:r>
      <w:r>
        <w:rPr>
          <w:rFonts w:hint="default"/>
          <w:lang w:val="en-US" w:eastAsia="zh-CN"/>
        </w:rPr>
        <w:t>不同港口的洗车平台在选用的材质、具体规格和整体建设形式上都存在差异</w:t>
      </w:r>
      <w:r>
        <w:rPr>
          <w:rFonts w:hint="eastAsia"/>
          <w:lang w:val="en-US" w:eastAsia="zh-CN"/>
        </w:rPr>
        <w:t>，主要</w:t>
      </w:r>
      <w:r>
        <w:rPr>
          <w:rFonts w:hint="default"/>
          <w:lang w:val="en-US" w:eastAsia="zh-CN"/>
        </w:rPr>
        <w:t>受港口自身经济实力、吞吐量规模、车辆流量以及建设位置等客观条件制约</w:t>
      </w:r>
      <w:r>
        <w:rPr>
          <w:rFonts w:hint="eastAsia"/>
          <w:lang w:val="en-US" w:eastAsia="zh-CN"/>
        </w:rPr>
        <w:t>。</w:t>
      </w:r>
    </w:p>
    <w:p w14:paraId="0B47768C">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eastAsia" w:ascii="Times New Roman" w:hAnsi="Times New Roman" w:eastAsia="黑体" w:cs="Times New Roman"/>
          <w:spacing w:val="-2"/>
          <w:sz w:val="24"/>
          <w:szCs w:val="24"/>
          <w:lang w:val="en-US" w:eastAsia="zh-CN"/>
        </w:rPr>
        <w:t>（2）</w:t>
      </w:r>
      <w:r>
        <w:rPr>
          <w:rFonts w:hint="default" w:ascii="Times New Roman" w:hAnsi="Times New Roman" w:eastAsia="黑体" w:cs="Times New Roman"/>
          <w:spacing w:val="-2"/>
          <w:sz w:val="24"/>
          <w:szCs w:val="24"/>
          <w:lang w:val="en-US" w:eastAsia="zh-CN"/>
        </w:rPr>
        <w:t xml:space="preserve"> 存在问题及解决方式</w:t>
      </w:r>
    </w:p>
    <w:p w14:paraId="4811BA36">
      <w:pPr>
        <w:keepNext w:val="0"/>
        <w:keepLines w:val="0"/>
        <w:pageBreakBefore w:val="0"/>
        <w:widowControl w:val="0"/>
        <w:kinsoku/>
        <w:wordWrap/>
        <w:overflowPunct/>
        <w:topLinePunct w:val="0"/>
        <w:autoSpaceDE w:val="0"/>
        <w:autoSpaceDN w:val="0"/>
        <w:bidi w:val="0"/>
        <w:adjustRightInd/>
        <w:snapToGrid/>
        <w:spacing w:before="157" w:beforeLines="50"/>
        <w:ind w:left="0" w:right="0" w:firstLine="480" w:firstLineChars="200"/>
        <w:textAlignment w:val="auto"/>
        <w:rPr>
          <w:rFonts w:hint="default" w:ascii="Times New Roman" w:hAnsi="Times New Roman" w:eastAsia="PingFang SC" w:cs="Times New Roman"/>
          <w:b/>
          <w:bCs/>
          <w:i w:val="0"/>
          <w:iCs w:val="0"/>
          <w:caps w:val="0"/>
          <w:spacing w:val="0"/>
          <w:kern w:val="0"/>
          <w:sz w:val="24"/>
          <w:szCs w:val="24"/>
          <w:shd w:val="clear" w:fill="FFFFFF"/>
          <w:lang w:val="en-US" w:eastAsia="zh-CN" w:bidi="ar"/>
        </w:rPr>
      </w:pPr>
      <w:r>
        <w:rPr>
          <w:rFonts w:hint="default" w:ascii="Times New Roman" w:hAnsi="Times New Roman" w:eastAsia="PingFang SC" w:cs="Times New Roman"/>
          <w:b/>
          <w:bCs/>
          <w:i w:val="0"/>
          <w:iCs w:val="0"/>
          <w:caps w:val="0"/>
          <w:spacing w:val="0"/>
          <w:kern w:val="0"/>
          <w:sz w:val="24"/>
          <w:szCs w:val="24"/>
          <w:shd w:val="clear" w:fill="FFFFFF"/>
          <w:lang w:val="en-US" w:eastAsia="zh-CN" w:bidi="ar"/>
        </w:rPr>
        <w:t>1）基础承载力设计不足</w:t>
      </w:r>
    </w:p>
    <w:p w14:paraId="5F5AFEAD">
      <w:pPr>
        <w:pStyle w:val="6"/>
        <w:bidi w:val="0"/>
        <w:rPr>
          <w:rFonts w:hint="default" w:ascii="Times New Roman" w:hAnsi="Times New Roman" w:eastAsia="宋体" w:cs="Times New Roman"/>
          <w:sz w:val="24"/>
          <w:szCs w:val="24"/>
          <w:lang w:val="en-US" w:eastAsia="zh-CN"/>
        </w:rPr>
      </w:pPr>
      <w:r>
        <w:rPr>
          <w:rFonts w:hint="default" w:ascii="Times New Roman" w:hAnsi="Times New Roman" w:cs="Times New Roman"/>
          <w:b/>
          <w:bCs/>
          <w:lang w:val="en-US" w:eastAsia="zh-CN"/>
        </w:rPr>
        <w:t>问题描述：</w:t>
      </w:r>
      <w:r>
        <w:rPr>
          <w:rFonts w:hint="default" w:ascii="Times New Roman" w:hAnsi="Times New Roman" w:cs="Times New Roman"/>
          <w:lang w:val="en-US" w:eastAsia="zh-CN"/>
        </w:rPr>
        <w:t>针对港口洗车平台</w:t>
      </w:r>
      <w:r>
        <w:rPr>
          <w:rFonts w:hint="default" w:ascii="Times New Roman" w:hAnsi="Times New Roman" w:eastAsia="宋体" w:cs="Times New Roman"/>
          <w:sz w:val="24"/>
          <w:szCs w:val="24"/>
        </w:rPr>
        <w:t>建设材质、规格和形式</w:t>
      </w:r>
      <w:r>
        <w:rPr>
          <w:rFonts w:hint="default" w:ascii="Times New Roman" w:hAnsi="Times New Roman" w:eastAsia="宋体" w:cs="Times New Roman"/>
          <w:sz w:val="24"/>
          <w:szCs w:val="24"/>
          <w:lang w:val="en-US" w:eastAsia="zh-CN"/>
        </w:rPr>
        <w:t>方面，主要问题存在于基础承重方面，由于煤炭或矿石等散货运输车辆载重量较大，且一些港口土地为填海造陆形成，洗车平台基础承载力设计不足时，易导致基础损坏、地面沉降等情况，影响洗车平台正常运行。</w:t>
      </w:r>
    </w:p>
    <w:p w14:paraId="7845C418">
      <w:pPr>
        <w:pStyle w:val="6"/>
        <w:bidi w:val="0"/>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pPr>
      <w:r>
        <w:rPr>
          <w:rFonts w:hint="default" w:ascii="Times New Roman" w:hAnsi="Times New Roman" w:cs="Times New Roman"/>
          <w:b/>
          <w:bCs/>
          <w:lang w:val="en-US" w:eastAsia="zh-CN"/>
        </w:rPr>
        <w:t>解决方式：</w:t>
      </w:r>
      <w:r>
        <w:rPr>
          <w:rFonts w:hint="default" w:ascii="Times New Roman" w:hAnsi="Times New Roman" w:eastAsia="宋体" w:cs="Times New Roman"/>
          <w:sz w:val="24"/>
          <w:szCs w:val="24"/>
          <w:lang w:val="en-US" w:eastAsia="zh-CN"/>
        </w:rPr>
        <w:t>针对此问题，在新建、改建洗车平台或对洗车平台进行维修时，应充分考虑基础承载能力，保障洗车平台基础完好无破损、沉降。</w:t>
      </w:r>
    </w:p>
    <w:p w14:paraId="6DF97301">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29" w:name="_Toc30997"/>
      <w:r>
        <w:rPr>
          <w:rFonts w:hint="default" w:ascii="Times New Roman" w:hAnsi="Times New Roman" w:eastAsia="黑体" w:cs="Times New Roman"/>
          <w:spacing w:val="-2"/>
          <w:sz w:val="28"/>
          <w:szCs w:val="28"/>
          <w:lang w:val="en-US" w:eastAsia="zh-CN"/>
        </w:rPr>
        <w:t>3 相关设施、设备组成</w:t>
      </w:r>
      <w:bookmarkEnd w:id="29"/>
    </w:p>
    <w:p w14:paraId="678194DF">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eastAsia" w:ascii="Times New Roman" w:hAnsi="Times New Roman" w:eastAsia="黑体" w:cs="Times New Roman"/>
          <w:spacing w:val="-2"/>
          <w:sz w:val="24"/>
          <w:szCs w:val="24"/>
          <w:lang w:val="en-US" w:eastAsia="zh-CN"/>
        </w:rPr>
        <w:t>（1）</w:t>
      </w:r>
      <w:r>
        <w:rPr>
          <w:rFonts w:hint="default" w:ascii="Times New Roman" w:hAnsi="Times New Roman" w:eastAsia="黑体" w:cs="Times New Roman"/>
          <w:spacing w:val="-2"/>
          <w:sz w:val="24"/>
          <w:szCs w:val="24"/>
          <w:lang w:val="en-US" w:eastAsia="zh-CN"/>
        </w:rPr>
        <w:t xml:space="preserve"> 样本港口对比</w:t>
      </w:r>
    </w:p>
    <w:p w14:paraId="3847AB12">
      <w:pPr>
        <w:pStyle w:val="6"/>
        <w:bidi w:val="0"/>
        <w:rPr>
          <w:rFonts w:hint="default"/>
          <w:lang w:val="en-US" w:eastAsia="zh-CN"/>
        </w:rPr>
        <w:sectPr>
          <w:footerReference r:id="rId4" w:type="default"/>
          <w:pgSz w:w="11906" w:h="16838"/>
          <w:pgMar w:top="1440" w:right="1800" w:bottom="1440" w:left="1800" w:header="851" w:footer="992" w:gutter="0"/>
          <w:pgNumType w:fmt="decimal"/>
          <w:cols w:space="425" w:num="1"/>
          <w:docGrid w:type="lines" w:linePitch="312" w:charSpace="0"/>
        </w:sectPr>
      </w:pPr>
      <w:r>
        <w:rPr>
          <w:rFonts w:hint="default"/>
          <w:lang w:val="en-US" w:eastAsia="zh-CN"/>
        </w:rPr>
        <w:t>基于调研结果，</w:t>
      </w:r>
      <w:r>
        <w:rPr>
          <w:rFonts w:hint="eastAsia"/>
          <w:lang w:val="en-US" w:eastAsia="zh-CN"/>
        </w:rPr>
        <w:t>针对</w:t>
      </w:r>
      <w:r>
        <w:rPr>
          <w:rFonts w:hint="default"/>
          <w:lang w:val="en-US" w:eastAsia="zh-CN"/>
        </w:rPr>
        <w:t>12家样本港口洗车平台</w:t>
      </w:r>
      <w:r>
        <w:rPr>
          <w:rFonts w:hint="eastAsia"/>
          <w:lang w:val="en-US" w:eastAsia="zh-CN"/>
        </w:rPr>
        <w:t>是否设置</w:t>
      </w:r>
      <w:r>
        <w:rPr>
          <w:rFonts w:hint="default"/>
          <w:lang w:val="en-US" w:eastAsia="zh-CN"/>
        </w:rPr>
        <w:t>洗车水箱、洗车通道、沥水通道、污水回收设施、两侧遮挡物及自动道闸</w:t>
      </w:r>
      <w:r>
        <w:rPr>
          <w:rFonts w:hint="eastAsia"/>
          <w:lang w:val="en-US" w:eastAsia="zh-CN"/>
        </w:rPr>
        <w:t>等</w:t>
      </w:r>
      <w:r>
        <w:rPr>
          <w:rFonts w:hint="default"/>
          <w:lang w:val="en-US" w:eastAsia="zh-CN"/>
        </w:rPr>
        <w:t>相关设施、设备</w:t>
      </w:r>
      <w:r>
        <w:rPr>
          <w:rFonts w:hint="eastAsia"/>
          <w:lang w:val="en-US" w:eastAsia="zh-CN"/>
        </w:rPr>
        <w:t>进行了汇总</w:t>
      </w:r>
      <w:r>
        <w:rPr>
          <w:rFonts w:hint="default"/>
          <w:lang w:val="en-US" w:eastAsia="zh-CN"/>
        </w:rPr>
        <w:t>，详见表</w:t>
      </w:r>
      <w:r>
        <w:rPr>
          <w:rFonts w:hint="eastAsia"/>
          <w:lang w:val="en-US" w:eastAsia="zh-CN"/>
        </w:rPr>
        <w:t>3-3</w:t>
      </w:r>
      <w:r>
        <w:rPr>
          <w:rFonts w:hint="default"/>
          <w:lang w:val="en-US" w:eastAsia="zh-CN"/>
        </w:rPr>
        <w:t>。</w:t>
      </w:r>
    </w:p>
    <w:p w14:paraId="5F097C53">
      <w:pPr>
        <w:pageBreakBefore w:val="0"/>
        <w:kinsoku/>
        <w:wordWrap/>
        <w:overflowPunct/>
        <w:topLinePunct w:val="0"/>
        <w:bidi w:val="0"/>
        <w:ind w:left="0" w:right="0"/>
        <w:jc w:val="center"/>
        <w:rPr>
          <w:rFonts w:hint="default" w:ascii="Times New Roman" w:hAnsi="Times New Roman" w:cs="Times New Roman"/>
          <w:lang w:val="en-US" w:eastAsia="zh-CN"/>
        </w:rPr>
      </w:pPr>
      <w:r>
        <w:rPr>
          <w:rFonts w:hint="default" w:ascii="Times New Roman" w:hAnsi="Times New Roman" w:eastAsia="宋体" w:cs="Times New Roman"/>
          <w:b/>
          <w:bCs w:val="0"/>
          <w:color w:val="000000" w:themeColor="text1"/>
          <w:sz w:val="21"/>
          <w:szCs w:val="20"/>
          <w:highlight w:val="none"/>
          <w:lang w:val="en-US" w:eastAsia="zh-CN"/>
          <w14:textFill>
            <w14:solidFill>
              <w14:schemeClr w14:val="tx1"/>
            </w14:solidFill>
          </w14:textFill>
        </w:rPr>
        <w:t>表</w:t>
      </w:r>
      <w:r>
        <w:rPr>
          <w:rFonts w:hint="eastAsia" w:ascii="Times New Roman" w:hAnsi="Times New Roman" w:cs="Times New Roman"/>
          <w:b/>
          <w:bCs w:val="0"/>
          <w:color w:val="000000" w:themeColor="text1"/>
          <w:sz w:val="21"/>
          <w:szCs w:val="20"/>
          <w:highlight w:val="none"/>
          <w:lang w:val="en-US" w:eastAsia="zh-CN"/>
          <w14:textFill>
            <w14:solidFill>
              <w14:schemeClr w14:val="tx1"/>
            </w14:solidFill>
          </w14:textFill>
        </w:rPr>
        <w:t>3-3</w:t>
      </w:r>
      <w:r>
        <w:rPr>
          <w:rFonts w:hint="default" w:ascii="Times New Roman" w:hAnsi="Times New Roman" w:eastAsia="宋体" w:cs="Times New Roman"/>
          <w:b/>
          <w:bCs w:val="0"/>
          <w:color w:val="000000" w:themeColor="text1"/>
          <w:sz w:val="21"/>
          <w:szCs w:val="20"/>
          <w:highlight w:val="none"/>
          <w:lang w:val="en-US" w:eastAsia="zh-CN"/>
          <w14:textFill>
            <w14:solidFill>
              <w14:schemeClr w14:val="tx1"/>
            </w14:solidFill>
          </w14:textFill>
        </w:rPr>
        <w:t xml:space="preserve">  12家样本港口洗车平台相关设施设备组成</w:t>
      </w:r>
    </w:p>
    <w:tbl>
      <w:tblPr>
        <w:tblStyle w:val="14"/>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2079"/>
        <w:gridCol w:w="3426"/>
        <w:gridCol w:w="1781"/>
        <w:gridCol w:w="1336"/>
        <w:gridCol w:w="1824"/>
        <w:gridCol w:w="743"/>
        <w:gridCol w:w="746"/>
        <w:gridCol w:w="746"/>
        <w:gridCol w:w="747"/>
      </w:tblGrid>
      <w:tr w14:paraId="187B98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61" w:type="pct"/>
            <w:shd w:val="clear" w:color="auto" w:fill="F1F1F1" w:themeFill="background1" w:themeFillShade="F2"/>
            <w:vAlign w:val="center"/>
          </w:tcPr>
          <w:p w14:paraId="3B43A59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序号</w:t>
            </w:r>
          </w:p>
        </w:tc>
        <w:tc>
          <w:tcPr>
            <w:tcW w:w="1941" w:type="pct"/>
            <w:gridSpan w:val="2"/>
            <w:shd w:val="clear" w:color="auto" w:fill="F1F1F1" w:themeFill="background1" w:themeFillShade="F2"/>
            <w:vAlign w:val="center"/>
          </w:tcPr>
          <w:p w14:paraId="2AA3DEA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港口名称</w:t>
            </w:r>
          </w:p>
        </w:tc>
        <w:tc>
          <w:tcPr>
            <w:tcW w:w="628" w:type="pct"/>
            <w:shd w:val="clear" w:color="auto" w:fill="F1F1F1" w:themeFill="background1" w:themeFillShade="F2"/>
            <w:vAlign w:val="center"/>
          </w:tcPr>
          <w:p w14:paraId="627C679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洗车平台类型</w:t>
            </w:r>
          </w:p>
        </w:tc>
        <w:tc>
          <w:tcPr>
            <w:tcW w:w="471" w:type="pct"/>
            <w:shd w:val="clear" w:color="auto" w:fill="F1F1F1" w:themeFill="background1" w:themeFillShade="F2"/>
            <w:vAlign w:val="center"/>
          </w:tcPr>
          <w:p w14:paraId="7084A93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洗车水箱</w:t>
            </w:r>
          </w:p>
        </w:tc>
        <w:tc>
          <w:tcPr>
            <w:tcW w:w="643" w:type="pct"/>
            <w:shd w:val="clear" w:color="auto" w:fill="F1F1F1" w:themeFill="background1" w:themeFillShade="F2"/>
            <w:vAlign w:val="center"/>
          </w:tcPr>
          <w:p w14:paraId="7B62574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洗车通道</w:t>
            </w:r>
          </w:p>
        </w:tc>
        <w:tc>
          <w:tcPr>
            <w:tcW w:w="262" w:type="pct"/>
            <w:shd w:val="clear" w:color="auto" w:fill="F1F1F1" w:themeFill="background1" w:themeFillShade="F2"/>
            <w:vAlign w:val="center"/>
          </w:tcPr>
          <w:p w14:paraId="758267E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沥水通道</w:t>
            </w:r>
          </w:p>
        </w:tc>
        <w:tc>
          <w:tcPr>
            <w:tcW w:w="263" w:type="pct"/>
            <w:shd w:val="clear" w:color="auto" w:fill="F1F1F1" w:themeFill="background1" w:themeFillShade="F2"/>
            <w:vAlign w:val="center"/>
          </w:tcPr>
          <w:p w14:paraId="4B91040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污水回收设施</w:t>
            </w:r>
          </w:p>
        </w:tc>
        <w:tc>
          <w:tcPr>
            <w:tcW w:w="263" w:type="pct"/>
            <w:shd w:val="clear" w:color="auto" w:fill="F1F1F1" w:themeFill="background1" w:themeFillShade="F2"/>
            <w:vAlign w:val="center"/>
          </w:tcPr>
          <w:p w14:paraId="2CA75D9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两侧遮挡物</w:t>
            </w:r>
          </w:p>
        </w:tc>
        <w:tc>
          <w:tcPr>
            <w:tcW w:w="263" w:type="pct"/>
            <w:shd w:val="clear" w:color="auto" w:fill="F1F1F1" w:themeFill="background1" w:themeFillShade="F2"/>
            <w:vAlign w:val="center"/>
          </w:tcPr>
          <w:p w14:paraId="5AC347B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自动道闸</w:t>
            </w:r>
          </w:p>
        </w:tc>
      </w:tr>
      <w:tr w14:paraId="361E0C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261" w:type="pct"/>
            <w:vAlign w:val="center"/>
          </w:tcPr>
          <w:p w14:paraId="0B1B1D7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w:t>
            </w:r>
          </w:p>
        </w:tc>
        <w:tc>
          <w:tcPr>
            <w:tcW w:w="733" w:type="pct"/>
            <w:vMerge w:val="restart"/>
            <w:vAlign w:val="center"/>
          </w:tcPr>
          <w:p w14:paraId="1BEA474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唐山港集团股份有限公司</w:t>
            </w:r>
          </w:p>
        </w:tc>
        <w:tc>
          <w:tcPr>
            <w:tcW w:w="1208" w:type="pct"/>
            <w:vAlign w:val="center"/>
          </w:tcPr>
          <w:p w14:paraId="6082D00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矿石码头公司</w:t>
            </w:r>
          </w:p>
        </w:tc>
        <w:tc>
          <w:tcPr>
            <w:tcW w:w="628" w:type="pct"/>
            <w:vAlign w:val="center"/>
          </w:tcPr>
          <w:p w14:paraId="0565AF2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471" w:type="pct"/>
            <w:vAlign w:val="center"/>
          </w:tcPr>
          <w:p w14:paraId="111BE9E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643" w:type="pct"/>
            <w:vAlign w:val="center"/>
          </w:tcPr>
          <w:p w14:paraId="3BE8727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2" w:type="pct"/>
            <w:vAlign w:val="center"/>
          </w:tcPr>
          <w:p w14:paraId="4C6BD99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651C2A8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31AFB21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6327E57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r>
      <w:tr w14:paraId="3DBE885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261" w:type="pct"/>
            <w:vAlign w:val="center"/>
          </w:tcPr>
          <w:p w14:paraId="09A4D28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lang w:val="en-US" w:eastAsia="zh-CN"/>
              </w:rPr>
              <w:t>2</w:t>
            </w:r>
          </w:p>
        </w:tc>
        <w:tc>
          <w:tcPr>
            <w:tcW w:w="733" w:type="pct"/>
            <w:vMerge w:val="continue"/>
            <w:vAlign w:val="center"/>
          </w:tcPr>
          <w:p w14:paraId="4B6D9CA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rPr>
            </w:pPr>
          </w:p>
        </w:tc>
        <w:tc>
          <w:tcPr>
            <w:tcW w:w="1208" w:type="pct"/>
            <w:vAlign w:val="center"/>
          </w:tcPr>
          <w:p w14:paraId="7D30773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煤炭码头公司</w:t>
            </w:r>
          </w:p>
        </w:tc>
        <w:tc>
          <w:tcPr>
            <w:tcW w:w="628" w:type="pct"/>
            <w:vAlign w:val="center"/>
          </w:tcPr>
          <w:p w14:paraId="1124926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471" w:type="pct"/>
            <w:vAlign w:val="center"/>
          </w:tcPr>
          <w:p w14:paraId="20517BC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有</w:t>
            </w:r>
          </w:p>
        </w:tc>
        <w:tc>
          <w:tcPr>
            <w:tcW w:w="643" w:type="pct"/>
            <w:vAlign w:val="center"/>
          </w:tcPr>
          <w:p w14:paraId="74C1C2B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2" w:type="pct"/>
            <w:vAlign w:val="center"/>
          </w:tcPr>
          <w:p w14:paraId="5DE85B4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5000686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44CC639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18B86D6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r>
      <w:tr w14:paraId="48EA26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 w:type="pct"/>
            <w:vAlign w:val="center"/>
          </w:tcPr>
          <w:p w14:paraId="72AB121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3</w:t>
            </w:r>
          </w:p>
        </w:tc>
        <w:tc>
          <w:tcPr>
            <w:tcW w:w="733" w:type="pct"/>
            <w:vMerge w:val="restart"/>
            <w:vAlign w:val="center"/>
          </w:tcPr>
          <w:p w14:paraId="3C7A8A4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山东省港口集团有限公司</w:t>
            </w:r>
          </w:p>
        </w:tc>
        <w:tc>
          <w:tcPr>
            <w:tcW w:w="1208" w:type="pct"/>
            <w:vAlign w:val="center"/>
          </w:tcPr>
          <w:p w14:paraId="1407C34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青岛港董家口矿石码头</w:t>
            </w:r>
          </w:p>
        </w:tc>
        <w:tc>
          <w:tcPr>
            <w:tcW w:w="628" w:type="pct"/>
            <w:vAlign w:val="center"/>
          </w:tcPr>
          <w:p w14:paraId="349D2C4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连续洗车平台</w:t>
            </w:r>
          </w:p>
        </w:tc>
        <w:tc>
          <w:tcPr>
            <w:tcW w:w="471" w:type="pct"/>
            <w:vAlign w:val="center"/>
          </w:tcPr>
          <w:p w14:paraId="1462649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643" w:type="pct"/>
            <w:vAlign w:val="center"/>
          </w:tcPr>
          <w:p w14:paraId="32FEBFC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2" w:type="pct"/>
            <w:vAlign w:val="center"/>
          </w:tcPr>
          <w:p w14:paraId="7CA9C49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63" w:type="pct"/>
            <w:vAlign w:val="center"/>
          </w:tcPr>
          <w:p w14:paraId="0CAF723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66204BB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有/无</w:t>
            </w:r>
          </w:p>
        </w:tc>
        <w:tc>
          <w:tcPr>
            <w:tcW w:w="263" w:type="pct"/>
            <w:vAlign w:val="center"/>
          </w:tcPr>
          <w:p w14:paraId="7FDECAC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2322EF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 w:type="pct"/>
            <w:vAlign w:val="center"/>
          </w:tcPr>
          <w:p w14:paraId="580DB53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4</w:t>
            </w:r>
          </w:p>
        </w:tc>
        <w:tc>
          <w:tcPr>
            <w:tcW w:w="733" w:type="pct"/>
            <w:vMerge w:val="continue"/>
            <w:vAlign w:val="center"/>
          </w:tcPr>
          <w:p w14:paraId="02BC361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208" w:type="pct"/>
            <w:vAlign w:val="center"/>
          </w:tcPr>
          <w:p w14:paraId="6FDE0E6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烟台港莱州港公司</w:t>
            </w:r>
          </w:p>
        </w:tc>
        <w:tc>
          <w:tcPr>
            <w:tcW w:w="628" w:type="pct"/>
            <w:vAlign w:val="center"/>
          </w:tcPr>
          <w:p w14:paraId="4CBC49B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连续洗车平台</w:t>
            </w:r>
          </w:p>
        </w:tc>
        <w:tc>
          <w:tcPr>
            <w:tcW w:w="471" w:type="pct"/>
            <w:vAlign w:val="center"/>
          </w:tcPr>
          <w:p w14:paraId="1F75BE5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643" w:type="pct"/>
            <w:vAlign w:val="center"/>
          </w:tcPr>
          <w:p w14:paraId="271B5FD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2" w:type="pct"/>
            <w:vAlign w:val="center"/>
          </w:tcPr>
          <w:p w14:paraId="455C2DC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4FE9D2F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0AC3343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5B0AFB2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4F963F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 w:type="pct"/>
            <w:vAlign w:val="center"/>
          </w:tcPr>
          <w:p w14:paraId="0666056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5</w:t>
            </w:r>
          </w:p>
        </w:tc>
        <w:tc>
          <w:tcPr>
            <w:tcW w:w="733" w:type="pct"/>
            <w:vMerge w:val="continue"/>
            <w:vAlign w:val="center"/>
          </w:tcPr>
          <w:p w14:paraId="4666451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208" w:type="pct"/>
            <w:vAlign w:val="center"/>
          </w:tcPr>
          <w:p w14:paraId="1D024DD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日照港岚山公司</w:t>
            </w:r>
          </w:p>
        </w:tc>
        <w:tc>
          <w:tcPr>
            <w:tcW w:w="628" w:type="pct"/>
            <w:vAlign w:val="center"/>
          </w:tcPr>
          <w:p w14:paraId="323F92E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471" w:type="pct"/>
            <w:vAlign w:val="center"/>
          </w:tcPr>
          <w:p w14:paraId="3C0A533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643" w:type="pct"/>
            <w:vAlign w:val="center"/>
          </w:tcPr>
          <w:p w14:paraId="553AED2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2" w:type="pct"/>
            <w:vAlign w:val="center"/>
          </w:tcPr>
          <w:p w14:paraId="1DD40E4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48E60B2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461B33B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366A8CA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r>
      <w:tr w14:paraId="0ACE61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 w:type="pct"/>
            <w:vAlign w:val="center"/>
          </w:tcPr>
          <w:p w14:paraId="66D73D9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6</w:t>
            </w:r>
          </w:p>
        </w:tc>
        <w:tc>
          <w:tcPr>
            <w:tcW w:w="733" w:type="pct"/>
            <w:vMerge w:val="continue"/>
            <w:vAlign w:val="center"/>
          </w:tcPr>
          <w:p w14:paraId="3912587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208" w:type="pct"/>
            <w:vAlign w:val="center"/>
          </w:tcPr>
          <w:p w14:paraId="1F45E52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日照港海港装卸公司</w:t>
            </w:r>
          </w:p>
        </w:tc>
        <w:tc>
          <w:tcPr>
            <w:tcW w:w="628" w:type="pct"/>
            <w:vAlign w:val="center"/>
          </w:tcPr>
          <w:p w14:paraId="30F68C6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Style w:val="16"/>
                <w:rFonts w:hint="default" w:ascii="Times New Roman" w:hAnsi="Times New Roman" w:eastAsia="宋体" w:cs="Times New Roman"/>
                <w:b w:val="0"/>
                <w:bCs/>
                <w:sz w:val="21"/>
                <w:szCs w:val="21"/>
                <w:lang w:val="en-US" w:eastAsia="zh-CN"/>
              </w:rPr>
            </w:pPr>
            <w:r>
              <w:rPr>
                <w:rStyle w:val="16"/>
                <w:rFonts w:hint="default" w:ascii="Times New Roman" w:hAnsi="Times New Roman" w:eastAsia="宋体" w:cs="Times New Roman"/>
                <w:b w:val="0"/>
                <w:bCs/>
                <w:sz w:val="21"/>
                <w:szCs w:val="21"/>
                <w:lang w:val="en-US" w:eastAsia="zh-CN"/>
              </w:rPr>
              <w:t>小型洗车平台</w:t>
            </w:r>
          </w:p>
        </w:tc>
        <w:tc>
          <w:tcPr>
            <w:tcW w:w="471" w:type="pct"/>
            <w:vAlign w:val="center"/>
          </w:tcPr>
          <w:p w14:paraId="4E2B63D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643" w:type="pct"/>
            <w:vAlign w:val="center"/>
          </w:tcPr>
          <w:p w14:paraId="6CAC754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2" w:type="pct"/>
            <w:vAlign w:val="center"/>
          </w:tcPr>
          <w:p w14:paraId="6B79A9E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63" w:type="pct"/>
            <w:vAlign w:val="center"/>
          </w:tcPr>
          <w:p w14:paraId="641858C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775984B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6334E56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37C945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 w:type="pct"/>
            <w:vAlign w:val="center"/>
          </w:tcPr>
          <w:p w14:paraId="62B6BC5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7</w:t>
            </w:r>
          </w:p>
        </w:tc>
        <w:tc>
          <w:tcPr>
            <w:tcW w:w="1941" w:type="pct"/>
            <w:gridSpan w:val="2"/>
            <w:vAlign w:val="center"/>
          </w:tcPr>
          <w:p w14:paraId="6FEE190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太仓武港矿石码头有限公司</w:t>
            </w:r>
          </w:p>
        </w:tc>
        <w:tc>
          <w:tcPr>
            <w:tcW w:w="628" w:type="pct"/>
            <w:vAlign w:val="center"/>
          </w:tcPr>
          <w:p w14:paraId="722F728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471" w:type="pct"/>
            <w:vAlign w:val="center"/>
          </w:tcPr>
          <w:p w14:paraId="593E2A4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643" w:type="pct"/>
            <w:vAlign w:val="center"/>
          </w:tcPr>
          <w:p w14:paraId="0DE3D53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2" w:type="pct"/>
            <w:vAlign w:val="center"/>
          </w:tcPr>
          <w:p w14:paraId="60BE66C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63" w:type="pct"/>
            <w:vAlign w:val="center"/>
          </w:tcPr>
          <w:p w14:paraId="6243701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48F2B1C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11D0F3A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16A051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 w:type="pct"/>
            <w:vAlign w:val="center"/>
          </w:tcPr>
          <w:p w14:paraId="33AAFD7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8</w:t>
            </w:r>
          </w:p>
        </w:tc>
        <w:tc>
          <w:tcPr>
            <w:tcW w:w="1941" w:type="pct"/>
            <w:gridSpan w:val="2"/>
            <w:vAlign w:val="center"/>
          </w:tcPr>
          <w:p w14:paraId="464E6A9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厦门港务集团石湖山码头有限公司</w:t>
            </w:r>
          </w:p>
        </w:tc>
        <w:tc>
          <w:tcPr>
            <w:tcW w:w="628" w:type="pct"/>
            <w:vAlign w:val="center"/>
          </w:tcPr>
          <w:p w14:paraId="368C1DC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471" w:type="pct"/>
            <w:vAlign w:val="center"/>
          </w:tcPr>
          <w:p w14:paraId="6087E9D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643" w:type="pct"/>
            <w:vAlign w:val="center"/>
          </w:tcPr>
          <w:p w14:paraId="118DC32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2" w:type="pct"/>
            <w:vAlign w:val="center"/>
          </w:tcPr>
          <w:p w14:paraId="2515721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63" w:type="pct"/>
            <w:vAlign w:val="center"/>
          </w:tcPr>
          <w:p w14:paraId="551E3FD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2DCB93A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09DCA4B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r>
      <w:tr w14:paraId="0ABC90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 w:type="pct"/>
            <w:vAlign w:val="center"/>
          </w:tcPr>
          <w:p w14:paraId="100B1B1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9</w:t>
            </w:r>
          </w:p>
        </w:tc>
        <w:tc>
          <w:tcPr>
            <w:tcW w:w="733" w:type="pct"/>
            <w:vMerge w:val="restart"/>
            <w:vAlign w:val="center"/>
          </w:tcPr>
          <w:p w14:paraId="3FAB2C6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江苏连云港</w:t>
            </w:r>
          </w:p>
        </w:tc>
        <w:tc>
          <w:tcPr>
            <w:tcW w:w="1208" w:type="pct"/>
            <w:vAlign w:val="center"/>
          </w:tcPr>
          <w:p w14:paraId="18ECD18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江苏连云港港口股份有限公司东方港务分公司</w:t>
            </w:r>
          </w:p>
        </w:tc>
        <w:tc>
          <w:tcPr>
            <w:tcW w:w="628" w:type="pct"/>
            <w:vAlign w:val="center"/>
          </w:tcPr>
          <w:p w14:paraId="68AB51D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471" w:type="pct"/>
            <w:vAlign w:val="center"/>
          </w:tcPr>
          <w:p w14:paraId="79582E9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643" w:type="pct"/>
            <w:vAlign w:val="center"/>
          </w:tcPr>
          <w:p w14:paraId="666BB7B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2" w:type="pct"/>
            <w:vAlign w:val="center"/>
          </w:tcPr>
          <w:p w14:paraId="5DDF101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63" w:type="pct"/>
            <w:vAlign w:val="center"/>
          </w:tcPr>
          <w:p w14:paraId="0037CD2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0A55151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10919C7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5B9AF6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 w:type="pct"/>
            <w:vAlign w:val="center"/>
          </w:tcPr>
          <w:p w14:paraId="16231C3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10</w:t>
            </w:r>
          </w:p>
        </w:tc>
        <w:tc>
          <w:tcPr>
            <w:tcW w:w="733" w:type="pct"/>
            <w:vMerge w:val="continue"/>
            <w:vAlign w:val="center"/>
          </w:tcPr>
          <w:p w14:paraId="26516FE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208" w:type="pct"/>
            <w:vAlign w:val="center"/>
          </w:tcPr>
          <w:p w14:paraId="1E4A16F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连云港新苏港码头有限公司</w:t>
            </w:r>
          </w:p>
        </w:tc>
        <w:tc>
          <w:tcPr>
            <w:tcW w:w="628" w:type="pct"/>
            <w:vAlign w:val="center"/>
          </w:tcPr>
          <w:p w14:paraId="77DFAE6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471" w:type="pct"/>
            <w:vAlign w:val="center"/>
          </w:tcPr>
          <w:p w14:paraId="14416EA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643" w:type="pct"/>
            <w:vAlign w:val="center"/>
          </w:tcPr>
          <w:p w14:paraId="682D0DA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2" w:type="pct"/>
            <w:vAlign w:val="center"/>
          </w:tcPr>
          <w:p w14:paraId="3B648A6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63" w:type="pct"/>
            <w:vAlign w:val="center"/>
          </w:tcPr>
          <w:p w14:paraId="3B179AF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5DC11D5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546A781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r>
      <w:tr w14:paraId="0D7DB7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 w:type="pct"/>
            <w:vAlign w:val="center"/>
          </w:tcPr>
          <w:p w14:paraId="334E6A6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11</w:t>
            </w:r>
          </w:p>
        </w:tc>
        <w:tc>
          <w:tcPr>
            <w:tcW w:w="1941" w:type="pct"/>
            <w:gridSpan w:val="2"/>
            <w:vAlign w:val="center"/>
          </w:tcPr>
          <w:p w14:paraId="4C30580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江苏盐城港响水港区港务公司</w:t>
            </w:r>
          </w:p>
        </w:tc>
        <w:tc>
          <w:tcPr>
            <w:tcW w:w="628" w:type="pct"/>
            <w:vAlign w:val="center"/>
          </w:tcPr>
          <w:p w14:paraId="46411D9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471" w:type="pct"/>
            <w:vAlign w:val="center"/>
          </w:tcPr>
          <w:p w14:paraId="50A03C3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643" w:type="pct"/>
            <w:vAlign w:val="center"/>
          </w:tcPr>
          <w:p w14:paraId="6B10B46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2" w:type="pct"/>
            <w:vAlign w:val="center"/>
          </w:tcPr>
          <w:p w14:paraId="483CAD8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63" w:type="pct"/>
            <w:vAlign w:val="center"/>
          </w:tcPr>
          <w:p w14:paraId="7196697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77116A7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2A0F1E6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65F09B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 w:type="pct"/>
            <w:vAlign w:val="center"/>
          </w:tcPr>
          <w:p w14:paraId="21B423F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12</w:t>
            </w:r>
          </w:p>
        </w:tc>
        <w:tc>
          <w:tcPr>
            <w:tcW w:w="1941" w:type="pct"/>
            <w:gridSpan w:val="2"/>
            <w:vAlign w:val="center"/>
          </w:tcPr>
          <w:p w14:paraId="306CAB2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福建罗屿港</w:t>
            </w:r>
          </w:p>
        </w:tc>
        <w:tc>
          <w:tcPr>
            <w:tcW w:w="628" w:type="pct"/>
            <w:vAlign w:val="center"/>
          </w:tcPr>
          <w:p w14:paraId="202990F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471" w:type="pct"/>
            <w:vAlign w:val="center"/>
          </w:tcPr>
          <w:p w14:paraId="45DD9D7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643" w:type="pct"/>
            <w:vAlign w:val="center"/>
          </w:tcPr>
          <w:p w14:paraId="272C4C9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2" w:type="pct"/>
            <w:vAlign w:val="center"/>
          </w:tcPr>
          <w:p w14:paraId="459C6E5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63" w:type="pct"/>
            <w:vAlign w:val="center"/>
          </w:tcPr>
          <w:p w14:paraId="616B400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0815C56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63" w:type="pct"/>
            <w:vAlign w:val="center"/>
          </w:tcPr>
          <w:p w14:paraId="16FB8DB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r>
    </w:tbl>
    <w:p w14:paraId="750D52BD">
      <w:pPr>
        <w:pageBreakBefore w:val="0"/>
        <w:kinsoku/>
        <w:wordWrap/>
        <w:overflowPunct/>
        <w:topLinePunct w:val="0"/>
        <w:bidi w:val="0"/>
        <w:ind w:left="0" w:right="0"/>
        <w:rPr>
          <w:rFonts w:hint="default" w:ascii="Times New Roman" w:hAnsi="Times New Roman" w:cs="Times New Roman"/>
          <w:lang w:val="en-US" w:eastAsia="zh-CN"/>
        </w:rPr>
      </w:pPr>
    </w:p>
    <w:p w14:paraId="1F4B7E61">
      <w:pPr>
        <w:pageBreakBefore w:val="0"/>
        <w:kinsoku/>
        <w:wordWrap/>
        <w:overflowPunct/>
        <w:topLinePunct w:val="0"/>
        <w:bidi w:val="0"/>
        <w:ind w:left="0" w:right="0"/>
        <w:rPr>
          <w:rFonts w:hint="default" w:ascii="Times New Roman" w:hAnsi="Times New Roman" w:cs="Times New Roman"/>
          <w:lang w:val="en-US" w:eastAsia="zh-CN"/>
        </w:rPr>
        <w:sectPr>
          <w:pgSz w:w="16838" w:h="11906" w:orient="landscape"/>
          <w:pgMar w:top="1800" w:right="1440" w:bottom="1800" w:left="1440" w:header="851" w:footer="992" w:gutter="0"/>
          <w:pgNumType w:fmt="decimal"/>
          <w:cols w:space="425" w:num="1"/>
          <w:docGrid w:type="lines" w:linePitch="312" w:charSpace="0"/>
        </w:sectPr>
      </w:pPr>
    </w:p>
    <w:p w14:paraId="2B930F2E">
      <w:pPr>
        <w:pStyle w:val="6"/>
        <w:bidi w:val="0"/>
        <w:rPr>
          <w:rFonts w:hint="default"/>
          <w:lang w:val="en-US" w:eastAsia="zh-CN"/>
        </w:rPr>
      </w:pPr>
      <w:r>
        <w:rPr>
          <w:rFonts w:hint="default"/>
          <w:lang w:val="en-US" w:eastAsia="zh-CN"/>
        </w:rPr>
        <w:t>由表</w:t>
      </w:r>
      <w:r>
        <w:rPr>
          <w:rFonts w:hint="eastAsia"/>
          <w:lang w:val="en-US" w:eastAsia="zh-CN"/>
        </w:rPr>
        <w:t>3-3</w:t>
      </w:r>
      <w:r>
        <w:rPr>
          <w:rFonts w:hint="default"/>
          <w:lang w:val="en-US" w:eastAsia="zh-CN"/>
        </w:rPr>
        <w:t>可知，在调研的12家样本港口洗车平台中，</w:t>
      </w:r>
      <w:r>
        <w:rPr>
          <w:rFonts w:hint="eastAsia"/>
          <w:lang w:val="en-US" w:eastAsia="zh-CN"/>
        </w:rPr>
        <w:t>设置洗车水箱的有3家、设置沥水通道的有4家，设置自动道闸的有7家，12家样本港口洗车平台均设置了洗车通道、污水回收设施及两侧遮挡物。由此可见，不同港口在洗车平台设施、设备组成方面仍有一些不同，同时也有一些共性之处，主要是洗车通道及两侧的遮挡物和污水回收设施。</w:t>
      </w:r>
    </w:p>
    <w:p w14:paraId="390329C0">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2</w:t>
      </w: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 xml:space="preserve"> 存在问题及解决方式</w:t>
      </w:r>
    </w:p>
    <w:p w14:paraId="73B1B029">
      <w:pPr>
        <w:keepNext w:val="0"/>
        <w:keepLines w:val="0"/>
        <w:pageBreakBefore w:val="0"/>
        <w:widowControl w:val="0"/>
        <w:kinsoku/>
        <w:wordWrap/>
        <w:overflowPunct/>
        <w:topLinePunct w:val="0"/>
        <w:autoSpaceDE w:val="0"/>
        <w:autoSpaceDN w:val="0"/>
        <w:bidi w:val="0"/>
        <w:adjustRightInd/>
        <w:snapToGrid/>
        <w:spacing w:before="157" w:beforeLines="50"/>
        <w:ind w:left="0" w:right="0" w:firstLine="480" w:firstLineChars="200"/>
        <w:textAlignment w:val="auto"/>
        <w:rPr>
          <w:rFonts w:hint="default" w:ascii="Times New Roman" w:hAnsi="Times New Roman" w:eastAsia="PingFang SC" w:cs="Times New Roman"/>
          <w:b/>
          <w:bCs/>
          <w:i w:val="0"/>
          <w:iCs w:val="0"/>
          <w:caps w:val="0"/>
          <w:spacing w:val="0"/>
          <w:kern w:val="0"/>
          <w:sz w:val="24"/>
          <w:szCs w:val="24"/>
          <w:shd w:val="clear" w:fill="FFFFFF"/>
          <w:lang w:val="en-US" w:eastAsia="zh-CN" w:bidi="ar"/>
        </w:rPr>
      </w:pPr>
      <w:r>
        <w:rPr>
          <w:rFonts w:hint="default" w:ascii="Times New Roman" w:hAnsi="Times New Roman" w:eastAsia="PingFang SC" w:cs="Times New Roman"/>
          <w:b/>
          <w:bCs/>
          <w:i w:val="0"/>
          <w:iCs w:val="0"/>
          <w:caps w:val="0"/>
          <w:spacing w:val="0"/>
          <w:kern w:val="0"/>
          <w:sz w:val="24"/>
          <w:szCs w:val="24"/>
          <w:shd w:val="clear" w:fill="FFFFFF"/>
          <w:lang w:val="en-US" w:eastAsia="zh-CN" w:bidi="ar"/>
        </w:rPr>
        <w:t>1）车辆实际冲洗时长缩短</w:t>
      </w:r>
    </w:p>
    <w:p w14:paraId="4228DA49">
      <w:pPr>
        <w:pageBreakBefore w:val="0"/>
        <w:kinsoku/>
        <w:wordWrap/>
        <w:overflowPunct/>
        <w:topLinePunct w:val="0"/>
        <w:bidi w:val="0"/>
        <w:ind w:left="0" w:right="0" w:firstLine="442" w:firstLineChars="200"/>
        <w:rPr>
          <w:rFonts w:hint="default" w:ascii="Times New Roman" w:hAnsi="Times New Roman" w:cs="Times New Roman"/>
          <w:b/>
          <w:bCs/>
          <w:lang w:val="en-US" w:eastAsia="zh-CN"/>
        </w:rPr>
      </w:pPr>
      <w:r>
        <w:rPr>
          <w:rFonts w:hint="default" w:ascii="Times New Roman" w:hAnsi="Times New Roman" w:eastAsia="宋体" w:cs="Times New Roman"/>
          <w:b/>
          <w:bCs/>
          <w:lang w:val="en-US" w:eastAsia="zh-CN"/>
        </w:rPr>
        <w:t>①</w:t>
      </w:r>
      <w:r>
        <w:rPr>
          <w:rFonts w:hint="default" w:ascii="Times New Roman" w:hAnsi="Times New Roman" w:cs="Times New Roman"/>
          <w:b/>
          <w:bCs/>
          <w:lang w:val="en-US" w:eastAsia="zh-CN"/>
        </w:rPr>
        <w:t>案列一：</w:t>
      </w:r>
    </w:p>
    <w:p w14:paraId="2DAE8311">
      <w:pPr>
        <w:pStyle w:val="6"/>
        <w:bidi w:val="0"/>
        <w:rPr>
          <w:rFonts w:hint="default" w:ascii="Times New Roman" w:hAnsi="Times New Roman" w:cs="Times New Roman"/>
          <w:lang w:val="en-US" w:eastAsia="zh-CN"/>
        </w:rPr>
      </w:pPr>
      <w:r>
        <w:rPr>
          <w:rFonts w:hint="default" w:ascii="Times New Roman" w:hAnsi="Times New Roman" w:cs="Times New Roman"/>
          <w:b/>
          <w:bCs/>
          <w:lang w:val="en-US" w:eastAsia="zh-CN"/>
        </w:rPr>
        <w:t>问题描述：</w:t>
      </w:r>
      <w:r>
        <w:rPr>
          <w:rFonts w:hint="default" w:ascii="Times New Roman" w:hAnsi="Times New Roman" w:cs="Times New Roman"/>
          <w:lang w:val="en-US" w:eastAsia="zh-CN"/>
        </w:rPr>
        <w:t>福建罗屿港原有洗车平台在日常运行中，在车辆通道出口未设置限制措施时，车辆冲洗时间偏短，易造成车辆冲洗效果下降。</w:t>
      </w:r>
    </w:p>
    <w:p w14:paraId="457EE5BC">
      <w:pPr>
        <w:pStyle w:val="6"/>
        <w:bidi w:val="0"/>
        <w:rPr>
          <w:rFonts w:hint="default" w:ascii="Times New Roman" w:hAnsi="Times New Roman" w:cs="Times New Roman"/>
          <w:lang w:val="en-US" w:eastAsia="zh-CN"/>
        </w:rPr>
      </w:pPr>
      <w:r>
        <w:rPr>
          <w:rFonts w:hint="default" w:ascii="Times New Roman" w:hAnsi="Times New Roman" w:cs="Times New Roman"/>
          <w:b/>
          <w:bCs/>
          <w:lang w:val="en-US" w:eastAsia="zh-CN"/>
        </w:rPr>
        <w:t>解决方式：</w:t>
      </w:r>
      <w:r>
        <w:rPr>
          <w:rFonts w:hint="default" w:ascii="Times New Roman" w:hAnsi="Times New Roman" w:cs="Times New Roman"/>
          <w:lang w:val="en-US" w:eastAsia="zh-CN"/>
        </w:rPr>
        <w:t>企业通过在洗车平台出口设置联动道闸，解决了原洗车平台系统车辆冲洗时间偏短问题。</w:t>
      </w:r>
    </w:p>
    <w:p w14:paraId="5F6EC6A1">
      <w:pPr>
        <w:pageBreakBefore w:val="0"/>
        <w:kinsoku/>
        <w:wordWrap/>
        <w:overflowPunct/>
        <w:topLinePunct w:val="0"/>
        <w:bidi w:val="0"/>
        <w:ind w:left="0" w:right="0" w:firstLine="442" w:firstLineChars="200"/>
        <w:rPr>
          <w:rFonts w:hint="default" w:ascii="Times New Roman" w:hAnsi="Times New Roman" w:cs="Times New Roman"/>
          <w:b/>
          <w:bCs/>
          <w:lang w:val="en-US" w:eastAsia="zh-CN"/>
        </w:rPr>
      </w:pPr>
      <w:r>
        <w:rPr>
          <w:rFonts w:hint="default" w:ascii="Times New Roman" w:hAnsi="Times New Roman" w:eastAsia="宋体" w:cs="Times New Roman"/>
          <w:b/>
          <w:bCs/>
          <w:lang w:val="en-US" w:eastAsia="zh-CN"/>
        </w:rPr>
        <w:t>②</w:t>
      </w:r>
      <w:r>
        <w:rPr>
          <w:rFonts w:hint="default" w:ascii="Times New Roman" w:hAnsi="Times New Roman" w:cs="Times New Roman"/>
          <w:b/>
          <w:bCs/>
          <w:lang w:val="en-US" w:eastAsia="zh-CN"/>
        </w:rPr>
        <w:t>案列二：</w:t>
      </w:r>
    </w:p>
    <w:p w14:paraId="07E7FC91">
      <w:pPr>
        <w:pStyle w:val="6"/>
        <w:bidi w:val="0"/>
        <w:rPr>
          <w:rFonts w:hint="default" w:ascii="Times New Roman" w:hAnsi="Times New Roman" w:eastAsia="宋体" w:cs="Times New Roman"/>
          <w:kern w:val="0"/>
          <w:sz w:val="24"/>
          <w:szCs w:val="24"/>
          <w:lang w:val="en-US" w:eastAsia="zh-CN" w:bidi="ar"/>
        </w:rPr>
      </w:pPr>
      <w:r>
        <w:rPr>
          <w:rFonts w:hint="default" w:ascii="Times New Roman" w:hAnsi="Times New Roman" w:cs="Times New Roman"/>
          <w:b/>
          <w:bCs/>
          <w:lang w:val="en-US" w:eastAsia="zh-CN"/>
        </w:rPr>
        <w:t>问题描述：</w:t>
      </w:r>
      <w:r>
        <w:rPr>
          <w:rFonts w:hint="default" w:ascii="Times New Roman" w:hAnsi="Times New Roman" w:cs="Times New Roman"/>
          <w:lang w:val="en-US" w:eastAsia="zh-CN"/>
        </w:rPr>
        <w:t>山东港口烟台港</w:t>
      </w:r>
      <w:r>
        <w:rPr>
          <w:rFonts w:hint="default" w:ascii="Times New Roman" w:hAnsi="Times New Roman" w:eastAsia="宋体" w:cs="Times New Roman"/>
          <w:kern w:val="0"/>
          <w:sz w:val="24"/>
          <w:szCs w:val="24"/>
          <w:lang w:val="en-US" w:eastAsia="zh-CN" w:bidi="ar"/>
        </w:rPr>
        <w:t>莱州港公司洗车平台未安装自动道闸系统，在投用过程中发现存在部分车辆洗车不彻底驶离，导致轮胎黏带货物造成道路污染等问题。</w:t>
      </w:r>
    </w:p>
    <w:p w14:paraId="55F634BC">
      <w:pPr>
        <w:pStyle w:val="6"/>
        <w:bidi w:val="0"/>
        <w:rPr>
          <w:rFonts w:hint="default" w:ascii="Times New Roman" w:hAnsi="Times New Roman" w:eastAsia="宋体" w:cs="Times New Roman"/>
          <w:kern w:val="0"/>
          <w:sz w:val="24"/>
          <w:szCs w:val="24"/>
          <w:lang w:val="en-US" w:eastAsia="zh-CN" w:bidi="ar"/>
        </w:rPr>
      </w:pPr>
      <w:r>
        <w:rPr>
          <w:rFonts w:hint="default" w:ascii="Times New Roman" w:hAnsi="Times New Roman" w:cs="Times New Roman"/>
          <w:b/>
          <w:bCs/>
          <w:lang w:val="en-US" w:eastAsia="zh-CN"/>
        </w:rPr>
        <w:t>解决方式：</w:t>
      </w:r>
      <w:r>
        <w:rPr>
          <w:rFonts w:hint="default" w:ascii="Times New Roman" w:hAnsi="Times New Roman" w:cs="Times New Roman"/>
          <w:lang w:val="en-US" w:eastAsia="zh-CN"/>
        </w:rPr>
        <w:t>企业同样通过在洗车平台出口设置道闸，解决了车辆洗车不彻底问题。</w:t>
      </w:r>
    </w:p>
    <w:p w14:paraId="7DEA3DD4">
      <w:pPr>
        <w:keepNext w:val="0"/>
        <w:keepLines w:val="0"/>
        <w:pageBreakBefore w:val="0"/>
        <w:widowControl w:val="0"/>
        <w:kinsoku/>
        <w:wordWrap/>
        <w:overflowPunct/>
        <w:topLinePunct w:val="0"/>
        <w:autoSpaceDE w:val="0"/>
        <w:autoSpaceDN w:val="0"/>
        <w:bidi w:val="0"/>
        <w:adjustRightInd/>
        <w:snapToGrid/>
        <w:spacing w:before="157" w:beforeLines="50"/>
        <w:ind w:left="0" w:right="0" w:firstLine="480" w:firstLineChars="200"/>
        <w:textAlignment w:val="auto"/>
        <w:rPr>
          <w:rFonts w:hint="default" w:ascii="Times New Roman" w:hAnsi="Times New Roman" w:eastAsia="PingFang SC" w:cs="Times New Roman"/>
          <w:b/>
          <w:bCs/>
          <w:i w:val="0"/>
          <w:iCs w:val="0"/>
          <w:caps w:val="0"/>
          <w:spacing w:val="0"/>
          <w:kern w:val="0"/>
          <w:sz w:val="24"/>
          <w:szCs w:val="24"/>
          <w:shd w:val="clear" w:fill="FFFFFF"/>
          <w:lang w:val="en-US" w:eastAsia="zh-CN" w:bidi="ar"/>
        </w:rPr>
      </w:pPr>
      <w:r>
        <w:rPr>
          <w:rFonts w:hint="default" w:ascii="Times New Roman" w:hAnsi="Times New Roman" w:eastAsia="PingFang SC" w:cs="Times New Roman"/>
          <w:b/>
          <w:bCs/>
          <w:i w:val="0"/>
          <w:iCs w:val="0"/>
          <w:caps w:val="0"/>
          <w:spacing w:val="0"/>
          <w:kern w:val="0"/>
          <w:sz w:val="24"/>
          <w:szCs w:val="24"/>
          <w:shd w:val="clear" w:fill="FFFFFF"/>
          <w:lang w:val="en-US" w:eastAsia="zh-CN" w:bidi="ar"/>
        </w:rPr>
        <w:t>2）洗车平台车辆通道入口感应装置性能下降</w:t>
      </w:r>
    </w:p>
    <w:p w14:paraId="5A2CE480">
      <w:pPr>
        <w:pStyle w:val="6"/>
        <w:bidi w:val="0"/>
        <w:rPr>
          <w:rFonts w:hint="default" w:ascii="Times New Roman" w:hAnsi="Times New Roman" w:cs="Times New Roman"/>
          <w:b/>
          <w:bCs/>
          <w:sz w:val="28"/>
          <w:highlight w:val="none"/>
        </w:rPr>
      </w:pPr>
      <w:r>
        <w:rPr>
          <w:rFonts w:hint="default" w:ascii="Times New Roman" w:hAnsi="Times New Roman" w:cs="Times New Roman"/>
          <w:b/>
          <w:bCs/>
          <w:lang w:val="en-US" w:eastAsia="zh-CN"/>
        </w:rPr>
        <w:t>问题描述：</w:t>
      </w:r>
      <w:r>
        <w:rPr>
          <w:rFonts w:hint="default" w:ascii="Times New Roman" w:hAnsi="Times New Roman" w:cs="Times New Roman"/>
          <w:lang w:val="en-US" w:eastAsia="zh-CN"/>
        </w:rPr>
        <w:t>山东港口日照港海港装卸公司洗车平台在实际运行中，曾出现车辆通道入口感应装置灵敏度较低，导致出现车辆存在空洗、漏洗问题。</w:t>
      </w:r>
    </w:p>
    <w:p w14:paraId="32A48590">
      <w:pPr>
        <w:pStyle w:val="6"/>
        <w:bidi w:val="0"/>
        <w:rPr>
          <w:rFonts w:hint="default" w:ascii="Times New Roman" w:hAnsi="Times New Roman" w:cs="Times New Roman"/>
          <w:b/>
          <w:bCs/>
          <w:lang w:val="en-US" w:eastAsia="zh-CN"/>
        </w:rPr>
      </w:pPr>
      <w:r>
        <w:rPr>
          <w:rFonts w:hint="default" w:ascii="Times New Roman" w:hAnsi="Times New Roman" w:cs="Times New Roman"/>
          <w:b/>
          <w:bCs/>
          <w:lang w:val="en-US" w:eastAsia="zh-CN"/>
        </w:rPr>
        <w:t>解决方式：</w:t>
      </w:r>
      <w:r>
        <w:rPr>
          <w:rFonts w:hint="default" w:ascii="Times New Roman" w:hAnsi="Times New Roman" w:cs="Times New Roman"/>
          <w:lang w:val="en-US" w:eastAsia="zh-CN"/>
        </w:rPr>
        <w:t>企业通过在车辆入口处安装双光束红外探测器，提高了冲洗设施感应灵敏度，解决了因感应滞后导致的空洗、漏洗问题。</w:t>
      </w:r>
    </w:p>
    <w:p w14:paraId="26396A14">
      <w:pPr>
        <w:keepNext w:val="0"/>
        <w:keepLines w:val="0"/>
        <w:pageBreakBefore w:val="0"/>
        <w:widowControl w:val="0"/>
        <w:kinsoku/>
        <w:wordWrap/>
        <w:overflowPunct/>
        <w:topLinePunct w:val="0"/>
        <w:autoSpaceDE w:val="0"/>
        <w:autoSpaceDN w:val="0"/>
        <w:bidi w:val="0"/>
        <w:adjustRightInd/>
        <w:snapToGrid/>
        <w:spacing w:before="157" w:beforeLines="50"/>
        <w:ind w:left="0" w:right="0" w:firstLine="480" w:firstLineChars="200"/>
        <w:textAlignment w:val="auto"/>
        <w:rPr>
          <w:rFonts w:hint="default" w:ascii="Times New Roman" w:hAnsi="Times New Roman" w:eastAsia="PingFang SC" w:cs="Times New Roman"/>
          <w:b/>
          <w:bCs/>
          <w:i w:val="0"/>
          <w:iCs w:val="0"/>
          <w:caps w:val="0"/>
          <w:spacing w:val="0"/>
          <w:kern w:val="0"/>
          <w:sz w:val="24"/>
          <w:szCs w:val="24"/>
          <w:shd w:val="clear" w:fill="FFFFFF"/>
          <w:lang w:val="en-US" w:eastAsia="zh-CN" w:bidi="ar"/>
        </w:rPr>
      </w:pPr>
      <w:r>
        <w:rPr>
          <w:rFonts w:hint="default" w:ascii="Times New Roman" w:hAnsi="Times New Roman" w:eastAsia="PingFang SC" w:cs="Times New Roman"/>
          <w:b/>
          <w:bCs/>
          <w:i w:val="0"/>
          <w:iCs w:val="0"/>
          <w:caps w:val="0"/>
          <w:spacing w:val="0"/>
          <w:kern w:val="0"/>
          <w:sz w:val="24"/>
          <w:szCs w:val="24"/>
          <w:shd w:val="clear" w:fill="FFFFFF"/>
          <w:lang w:val="en-US" w:eastAsia="zh-CN" w:bidi="ar"/>
        </w:rPr>
        <w:t>3）洗车平台设施设备腐蚀概率增加</w:t>
      </w:r>
    </w:p>
    <w:p w14:paraId="212DE8EF">
      <w:pPr>
        <w:pStyle w:val="6"/>
        <w:bidi w:val="0"/>
        <w:rPr>
          <w:rFonts w:hint="default" w:ascii="Times New Roman" w:hAnsi="Times New Roman" w:cs="Times New Roman"/>
          <w:lang w:val="en-US" w:eastAsia="zh-CN"/>
        </w:rPr>
      </w:pPr>
      <w:r>
        <w:rPr>
          <w:rFonts w:hint="default" w:ascii="Times New Roman" w:hAnsi="Times New Roman" w:cs="Times New Roman"/>
          <w:b/>
          <w:bCs/>
          <w:lang w:val="en-US" w:eastAsia="zh-CN"/>
        </w:rPr>
        <w:t>问题描述：</w:t>
      </w:r>
      <w:r>
        <w:rPr>
          <w:rFonts w:hint="default" w:ascii="Times New Roman" w:hAnsi="Times New Roman" w:cs="Times New Roman"/>
          <w:lang w:val="en-US" w:eastAsia="zh-CN"/>
        </w:rPr>
        <w:t>福建罗屿港洗车平台主体结构与冲洗水路距离较近，冲洗水飞溅，导致设备腐蚀、使用寿命下降。</w:t>
      </w:r>
    </w:p>
    <w:p w14:paraId="621D3737">
      <w:pPr>
        <w:pStyle w:val="6"/>
        <w:bidi w:val="0"/>
        <w:rPr>
          <w:rFonts w:hint="default" w:ascii="Times New Roman" w:hAnsi="Times New Roman" w:cs="Times New Roman"/>
          <w:b/>
          <w:bCs/>
          <w:lang w:val="en-US" w:eastAsia="zh-CN"/>
        </w:rPr>
      </w:pPr>
      <w:r>
        <w:rPr>
          <w:rFonts w:hint="default" w:ascii="Times New Roman" w:hAnsi="Times New Roman" w:cs="Times New Roman"/>
          <w:b/>
          <w:bCs/>
          <w:lang w:val="en-US" w:eastAsia="zh-CN"/>
        </w:rPr>
        <w:t>解决方式：</w:t>
      </w:r>
      <w:r>
        <w:rPr>
          <w:rFonts w:hint="default" w:ascii="Times New Roman" w:hAnsi="Times New Roman" w:cs="Times New Roman"/>
          <w:lang w:val="en-US" w:eastAsia="zh-CN"/>
        </w:rPr>
        <w:t>企业通过将洗车平台系统主体结构与冲洗水路分离，有效延长设备使用寿命。</w:t>
      </w:r>
    </w:p>
    <w:p w14:paraId="1B155F0B">
      <w:pPr>
        <w:keepNext w:val="0"/>
        <w:keepLines w:val="0"/>
        <w:pageBreakBefore w:val="0"/>
        <w:widowControl w:val="0"/>
        <w:kinsoku/>
        <w:wordWrap/>
        <w:overflowPunct/>
        <w:topLinePunct w:val="0"/>
        <w:autoSpaceDE w:val="0"/>
        <w:autoSpaceDN w:val="0"/>
        <w:bidi w:val="0"/>
        <w:adjustRightInd/>
        <w:snapToGrid/>
        <w:spacing w:before="157" w:beforeLines="50"/>
        <w:ind w:left="0" w:right="0" w:firstLine="480" w:firstLineChars="200"/>
        <w:textAlignment w:val="auto"/>
        <w:rPr>
          <w:rFonts w:hint="default" w:ascii="Times New Roman" w:hAnsi="Times New Roman" w:eastAsia="PingFang SC" w:cs="Times New Roman"/>
          <w:b/>
          <w:bCs/>
          <w:i w:val="0"/>
          <w:iCs w:val="0"/>
          <w:caps w:val="0"/>
          <w:spacing w:val="0"/>
          <w:kern w:val="0"/>
          <w:sz w:val="24"/>
          <w:szCs w:val="24"/>
          <w:shd w:val="clear" w:fill="FFFFFF"/>
          <w:lang w:val="en-US" w:eastAsia="zh-CN" w:bidi="ar"/>
        </w:rPr>
      </w:pPr>
      <w:r>
        <w:rPr>
          <w:rFonts w:hint="default" w:ascii="Times New Roman" w:hAnsi="Times New Roman" w:eastAsia="PingFang SC" w:cs="Times New Roman"/>
          <w:b/>
          <w:bCs/>
          <w:i w:val="0"/>
          <w:iCs w:val="0"/>
          <w:caps w:val="0"/>
          <w:spacing w:val="0"/>
          <w:kern w:val="0"/>
          <w:sz w:val="24"/>
          <w:szCs w:val="24"/>
          <w:shd w:val="clear" w:fill="FFFFFF"/>
          <w:lang w:val="en-US" w:eastAsia="zh-CN" w:bidi="ar"/>
        </w:rPr>
        <w:t>4）洗车平台安全措施设置不到位</w:t>
      </w:r>
    </w:p>
    <w:p w14:paraId="1DAAE50C">
      <w:pPr>
        <w:pStyle w:val="6"/>
        <w:bidi w:val="0"/>
        <w:rPr>
          <w:rFonts w:hint="default" w:ascii="Times New Roman" w:hAnsi="Times New Roman" w:cs="Times New Roman"/>
          <w:lang w:val="en-US" w:eastAsia="zh-CN"/>
        </w:rPr>
      </w:pPr>
      <w:r>
        <w:rPr>
          <w:rFonts w:hint="default" w:ascii="Times New Roman" w:hAnsi="Times New Roman" w:cs="Times New Roman"/>
          <w:b/>
          <w:bCs/>
          <w:lang w:val="en-US" w:eastAsia="zh-CN"/>
        </w:rPr>
        <w:t>问题描述：</w:t>
      </w:r>
      <w:r>
        <w:rPr>
          <w:rFonts w:hint="default" w:ascii="Times New Roman" w:hAnsi="Times New Roman" w:cs="Times New Roman"/>
          <w:lang w:val="en-US" w:eastAsia="zh-CN"/>
        </w:rPr>
        <w:t>福建罗屿港原有洗车平台未设置车辆防撞柱，在日常运行过程中，曾存在车辆刮碰设施设备情况。</w:t>
      </w:r>
    </w:p>
    <w:p w14:paraId="03FBBA9D">
      <w:pPr>
        <w:pStyle w:val="6"/>
        <w:bidi w:val="0"/>
        <w:rPr>
          <w:rFonts w:hint="default" w:ascii="Times New Roman" w:hAnsi="Times New Roman" w:cs="Times New Roman"/>
          <w:lang w:val="en-US" w:eastAsia="zh-CN"/>
        </w:rPr>
      </w:pPr>
      <w:r>
        <w:rPr>
          <w:rFonts w:hint="default" w:ascii="Times New Roman" w:hAnsi="Times New Roman" w:cs="Times New Roman"/>
          <w:b/>
          <w:bCs/>
          <w:lang w:val="en-US" w:eastAsia="zh-CN"/>
        </w:rPr>
        <w:t>解决方式：</w:t>
      </w:r>
      <w:r>
        <w:rPr>
          <w:rFonts w:hint="default" w:ascii="Times New Roman" w:hAnsi="Times New Roman" w:cs="Times New Roman"/>
          <w:lang w:val="en-US" w:eastAsia="zh-CN"/>
        </w:rPr>
        <w:t>企业通过在洗车平台设置车辆防撞柱，降低了车辆刮碰设备设施的风险。</w:t>
      </w:r>
    </w:p>
    <w:p w14:paraId="468D6B34">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30" w:name="_Toc22487"/>
      <w:r>
        <w:rPr>
          <w:rFonts w:hint="default" w:ascii="Times New Roman" w:hAnsi="Times New Roman" w:eastAsia="黑体" w:cs="Times New Roman"/>
          <w:spacing w:val="-2"/>
          <w:sz w:val="28"/>
          <w:szCs w:val="28"/>
          <w:lang w:val="en-US" w:eastAsia="zh-CN"/>
        </w:rPr>
        <w:t>4 冲洗系统</w:t>
      </w:r>
      <w:bookmarkEnd w:id="30"/>
    </w:p>
    <w:p w14:paraId="23BDDBF9">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1</w:t>
      </w: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 xml:space="preserve"> 样本港口对比</w:t>
      </w:r>
    </w:p>
    <w:p w14:paraId="66905E1A">
      <w:pPr>
        <w:pStyle w:val="6"/>
        <w:bidi w:val="0"/>
        <w:rPr>
          <w:rFonts w:hint="default"/>
          <w:lang w:val="en-US" w:eastAsia="zh-CN"/>
        </w:rPr>
        <w:sectPr>
          <w:footerReference r:id="rId6" w:type="first"/>
          <w:footerReference r:id="rId5" w:type="default"/>
          <w:pgSz w:w="11906" w:h="16838"/>
          <w:pgMar w:top="1440" w:right="1800" w:bottom="1440" w:left="1800" w:header="851" w:footer="992" w:gutter="0"/>
          <w:pgNumType w:fmt="decimal"/>
          <w:cols w:space="425" w:num="1"/>
          <w:docGrid w:type="lines" w:linePitch="312" w:charSpace="0"/>
        </w:sectPr>
      </w:pPr>
      <w:r>
        <w:rPr>
          <w:rFonts w:hint="default"/>
          <w:lang w:val="en-US" w:eastAsia="zh-CN"/>
        </w:rPr>
        <w:t>基于调研结果，12家样本港口洗车平台冲洗系统组成，详见表</w:t>
      </w:r>
      <w:r>
        <w:rPr>
          <w:rFonts w:hint="eastAsia"/>
          <w:lang w:val="en-US" w:eastAsia="zh-CN"/>
        </w:rPr>
        <w:t>3-4</w:t>
      </w:r>
      <w:r>
        <w:rPr>
          <w:rFonts w:hint="default"/>
          <w:lang w:val="en-US" w:eastAsia="zh-CN"/>
        </w:rPr>
        <w:t>。</w:t>
      </w:r>
    </w:p>
    <w:p w14:paraId="5CA67D9A">
      <w:pPr>
        <w:pageBreakBefore w:val="0"/>
        <w:kinsoku/>
        <w:wordWrap/>
        <w:overflowPunct/>
        <w:topLinePunct w:val="0"/>
        <w:bidi w:val="0"/>
        <w:ind w:left="0" w:right="0"/>
        <w:jc w:val="center"/>
        <w:rPr>
          <w:rFonts w:hint="default" w:ascii="Times New Roman" w:hAnsi="Times New Roman" w:cs="Times New Roman"/>
          <w:lang w:val="en-US" w:eastAsia="zh-CN"/>
        </w:rPr>
      </w:pPr>
      <w:r>
        <w:rPr>
          <w:rFonts w:hint="default" w:ascii="Times New Roman" w:hAnsi="Times New Roman" w:eastAsia="宋体" w:cs="Times New Roman"/>
          <w:b/>
          <w:bCs w:val="0"/>
          <w:color w:val="000000" w:themeColor="text1"/>
          <w:sz w:val="21"/>
          <w:szCs w:val="20"/>
          <w:highlight w:val="none"/>
          <w:lang w:val="en-US" w:eastAsia="zh-CN"/>
          <w14:textFill>
            <w14:solidFill>
              <w14:schemeClr w14:val="tx1"/>
            </w14:solidFill>
          </w14:textFill>
        </w:rPr>
        <w:t>表</w:t>
      </w:r>
      <w:r>
        <w:rPr>
          <w:rFonts w:hint="eastAsia" w:ascii="Times New Roman" w:hAnsi="Times New Roman" w:cs="Times New Roman"/>
          <w:b/>
          <w:bCs w:val="0"/>
          <w:color w:val="000000" w:themeColor="text1"/>
          <w:sz w:val="21"/>
          <w:szCs w:val="20"/>
          <w:highlight w:val="none"/>
          <w:lang w:val="en-US" w:eastAsia="zh-CN"/>
          <w14:textFill>
            <w14:solidFill>
              <w14:schemeClr w14:val="tx1"/>
            </w14:solidFill>
          </w14:textFill>
        </w:rPr>
        <w:t>3-4</w:t>
      </w:r>
      <w:r>
        <w:rPr>
          <w:rFonts w:hint="default" w:ascii="Times New Roman" w:hAnsi="Times New Roman" w:eastAsia="宋体" w:cs="Times New Roman"/>
          <w:b/>
          <w:bCs w:val="0"/>
          <w:color w:val="000000" w:themeColor="text1"/>
          <w:sz w:val="21"/>
          <w:szCs w:val="20"/>
          <w:highlight w:val="none"/>
          <w:lang w:val="en-US" w:eastAsia="zh-CN"/>
          <w14:textFill>
            <w14:solidFill>
              <w14:schemeClr w14:val="tx1"/>
            </w14:solidFill>
          </w14:textFill>
        </w:rPr>
        <w:t xml:space="preserve">  12家样本港口洗车平台冲洗系统相关信息</w:t>
      </w:r>
    </w:p>
    <w:tbl>
      <w:tblPr>
        <w:tblStyle w:val="14"/>
        <w:tblW w:w="4996"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85"/>
        <w:gridCol w:w="1347"/>
        <w:gridCol w:w="1974"/>
        <w:gridCol w:w="1514"/>
        <w:gridCol w:w="905"/>
        <w:gridCol w:w="1208"/>
        <w:gridCol w:w="706"/>
        <w:gridCol w:w="848"/>
        <w:gridCol w:w="510"/>
        <w:gridCol w:w="510"/>
        <w:gridCol w:w="522"/>
        <w:gridCol w:w="624"/>
        <w:gridCol w:w="1137"/>
        <w:gridCol w:w="737"/>
        <w:gridCol w:w="625"/>
        <w:gridCol w:w="511"/>
      </w:tblGrid>
      <w:tr w14:paraId="079719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71" w:type="pct"/>
            <w:vMerge w:val="restart"/>
            <w:shd w:val="clear" w:color="auto" w:fill="F1F1F1" w:themeFill="background1" w:themeFillShade="F2"/>
            <w:vAlign w:val="center"/>
          </w:tcPr>
          <w:p w14:paraId="080984B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序号</w:t>
            </w:r>
          </w:p>
        </w:tc>
        <w:tc>
          <w:tcPr>
            <w:tcW w:w="1171" w:type="pct"/>
            <w:gridSpan w:val="2"/>
            <w:vMerge w:val="restart"/>
            <w:shd w:val="clear" w:color="auto" w:fill="F1F1F1" w:themeFill="background1" w:themeFillShade="F2"/>
            <w:vAlign w:val="center"/>
          </w:tcPr>
          <w:p w14:paraId="4258244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港口名称</w:t>
            </w:r>
          </w:p>
        </w:tc>
        <w:tc>
          <w:tcPr>
            <w:tcW w:w="534" w:type="pct"/>
            <w:vMerge w:val="restart"/>
            <w:shd w:val="clear" w:color="auto" w:fill="F1F1F1" w:themeFill="background1" w:themeFillShade="F2"/>
            <w:vAlign w:val="center"/>
          </w:tcPr>
          <w:p w14:paraId="15D1151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洗车平台类型</w:t>
            </w:r>
          </w:p>
        </w:tc>
        <w:tc>
          <w:tcPr>
            <w:tcW w:w="319" w:type="pct"/>
            <w:vMerge w:val="restart"/>
            <w:shd w:val="clear" w:color="auto" w:fill="F1F1F1" w:themeFill="background1" w:themeFillShade="F2"/>
            <w:vAlign w:val="center"/>
          </w:tcPr>
          <w:p w14:paraId="63DE331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水源</w:t>
            </w:r>
          </w:p>
        </w:tc>
        <w:tc>
          <w:tcPr>
            <w:tcW w:w="426" w:type="pct"/>
            <w:vMerge w:val="restart"/>
            <w:shd w:val="clear" w:color="auto" w:fill="F1F1F1" w:themeFill="background1" w:themeFillShade="F2"/>
            <w:vAlign w:val="center"/>
          </w:tcPr>
          <w:p w14:paraId="746CDE6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冲洗方式</w:t>
            </w:r>
          </w:p>
        </w:tc>
        <w:tc>
          <w:tcPr>
            <w:tcW w:w="249" w:type="pct"/>
            <w:vMerge w:val="restart"/>
            <w:shd w:val="clear" w:color="auto" w:fill="F1F1F1" w:themeFill="background1" w:themeFillShade="F2"/>
            <w:vAlign w:val="center"/>
          </w:tcPr>
          <w:p w14:paraId="16DDF72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冲洗时长</w:t>
            </w:r>
          </w:p>
        </w:tc>
        <w:tc>
          <w:tcPr>
            <w:tcW w:w="299" w:type="pct"/>
            <w:vMerge w:val="restart"/>
            <w:shd w:val="clear" w:color="auto" w:fill="F1F1F1" w:themeFill="background1" w:themeFillShade="F2"/>
            <w:vAlign w:val="center"/>
          </w:tcPr>
          <w:p w14:paraId="1233D77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管道布置</w:t>
            </w:r>
          </w:p>
        </w:tc>
        <w:tc>
          <w:tcPr>
            <w:tcW w:w="544" w:type="pct"/>
            <w:gridSpan w:val="3"/>
            <w:shd w:val="clear" w:color="auto" w:fill="F1F1F1" w:themeFill="background1" w:themeFillShade="F2"/>
            <w:vAlign w:val="center"/>
          </w:tcPr>
          <w:p w14:paraId="433A160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喷嘴/喷头布置</w:t>
            </w:r>
          </w:p>
        </w:tc>
        <w:tc>
          <w:tcPr>
            <w:tcW w:w="220" w:type="pct"/>
            <w:vMerge w:val="restart"/>
            <w:shd w:val="clear" w:color="auto" w:fill="F1F1F1" w:themeFill="background1" w:themeFillShade="F2"/>
            <w:vAlign w:val="center"/>
          </w:tcPr>
          <w:p w14:paraId="151BA5B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水泵</w:t>
            </w:r>
          </w:p>
        </w:tc>
        <w:tc>
          <w:tcPr>
            <w:tcW w:w="401" w:type="pct"/>
            <w:vMerge w:val="restart"/>
            <w:shd w:val="clear" w:color="auto" w:fill="F1F1F1" w:themeFill="background1" w:themeFillShade="F2"/>
            <w:vAlign w:val="center"/>
          </w:tcPr>
          <w:p w14:paraId="3B51812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阀门</w:t>
            </w:r>
          </w:p>
        </w:tc>
        <w:tc>
          <w:tcPr>
            <w:tcW w:w="260" w:type="pct"/>
            <w:vMerge w:val="restart"/>
            <w:shd w:val="clear" w:color="auto" w:fill="F1F1F1" w:themeFill="background1" w:themeFillShade="F2"/>
            <w:vAlign w:val="center"/>
          </w:tcPr>
          <w:p w14:paraId="5C2C678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用水计量</w:t>
            </w:r>
          </w:p>
        </w:tc>
        <w:tc>
          <w:tcPr>
            <w:tcW w:w="220" w:type="pct"/>
            <w:vMerge w:val="restart"/>
            <w:shd w:val="clear" w:color="auto" w:fill="F1F1F1" w:themeFill="background1" w:themeFillShade="F2"/>
            <w:vAlign w:val="center"/>
          </w:tcPr>
          <w:p w14:paraId="4776F36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信息化</w:t>
            </w:r>
          </w:p>
        </w:tc>
        <w:tc>
          <w:tcPr>
            <w:tcW w:w="180" w:type="pct"/>
            <w:vMerge w:val="restart"/>
            <w:shd w:val="clear" w:color="auto" w:fill="F1F1F1" w:themeFill="background1" w:themeFillShade="F2"/>
            <w:vAlign w:val="center"/>
          </w:tcPr>
          <w:p w14:paraId="6027BE5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伴热</w:t>
            </w:r>
          </w:p>
        </w:tc>
      </w:tr>
      <w:tr w14:paraId="4BCB20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71" w:type="pct"/>
            <w:vMerge w:val="continue"/>
            <w:shd w:val="clear" w:color="auto" w:fill="F1F1F1" w:themeFill="background1" w:themeFillShade="F2"/>
            <w:vAlign w:val="center"/>
          </w:tcPr>
          <w:p w14:paraId="58D7D3A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rPr>
            </w:pPr>
          </w:p>
        </w:tc>
        <w:tc>
          <w:tcPr>
            <w:tcW w:w="1171" w:type="pct"/>
            <w:gridSpan w:val="2"/>
            <w:vMerge w:val="continue"/>
            <w:shd w:val="clear" w:color="auto" w:fill="F1F1F1" w:themeFill="background1" w:themeFillShade="F2"/>
            <w:vAlign w:val="center"/>
          </w:tcPr>
          <w:p w14:paraId="0B02182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rPr>
            </w:pPr>
          </w:p>
        </w:tc>
        <w:tc>
          <w:tcPr>
            <w:tcW w:w="534" w:type="pct"/>
            <w:vMerge w:val="continue"/>
            <w:shd w:val="clear" w:color="auto" w:fill="F1F1F1" w:themeFill="background1" w:themeFillShade="F2"/>
            <w:vAlign w:val="center"/>
          </w:tcPr>
          <w:p w14:paraId="31C12E1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rPr>
            </w:pPr>
          </w:p>
        </w:tc>
        <w:tc>
          <w:tcPr>
            <w:tcW w:w="319" w:type="pct"/>
            <w:vMerge w:val="continue"/>
            <w:shd w:val="clear" w:color="auto" w:fill="F1F1F1" w:themeFill="background1" w:themeFillShade="F2"/>
            <w:vAlign w:val="center"/>
          </w:tcPr>
          <w:p w14:paraId="6B41A24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rPr>
            </w:pPr>
          </w:p>
        </w:tc>
        <w:tc>
          <w:tcPr>
            <w:tcW w:w="426" w:type="pct"/>
            <w:vMerge w:val="continue"/>
            <w:shd w:val="clear" w:color="auto" w:fill="F1F1F1" w:themeFill="background1" w:themeFillShade="F2"/>
            <w:vAlign w:val="center"/>
          </w:tcPr>
          <w:p w14:paraId="5C3A48C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rPr>
            </w:pPr>
          </w:p>
        </w:tc>
        <w:tc>
          <w:tcPr>
            <w:tcW w:w="249" w:type="pct"/>
            <w:vMerge w:val="continue"/>
            <w:shd w:val="clear" w:color="auto" w:fill="F1F1F1" w:themeFill="background1" w:themeFillShade="F2"/>
            <w:vAlign w:val="center"/>
          </w:tcPr>
          <w:p w14:paraId="2F655A4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rPr>
            </w:pPr>
          </w:p>
        </w:tc>
        <w:tc>
          <w:tcPr>
            <w:tcW w:w="299" w:type="pct"/>
            <w:vMerge w:val="continue"/>
            <w:shd w:val="clear" w:color="auto" w:fill="F1F1F1" w:themeFill="background1" w:themeFillShade="F2"/>
            <w:vAlign w:val="center"/>
          </w:tcPr>
          <w:p w14:paraId="292C362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rPr>
            </w:pPr>
          </w:p>
        </w:tc>
        <w:tc>
          <w:tcPr>
            <w:tcW w:w="180" w:type="pct"/>
            <w:shd w:val="clear" w:color="auto" w:fill="F1F1F1" w:themeFill="background1" w:themeFillShade="F2"/>
            <w:vAlign w:val="center"/>
          </w:tcPr>
          <w:p w14:paraId="6532ABA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侧喷</w:t>
            </w:r>
          </w:p>
        </w:tc>
        <w:tc>
          <w:tcPr>
            <w:tcW w:w="180" w:type="pct"/>
            <w:shd w:val="clear" w:color="auto" w:fill="F1F1F1" w:themeFill="background1" w:themeFillShade="F2"/>
            <w:vAlign w:val="center"/>
          </w:tcPr>
          <w:p w14:paraId="4BCA072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底喷</w:t>
            </w:r>
          </w:p>
        </w:tc>
        <w:tc>
          <w:tcPr>
            <w:tcW w:w="183" w:type="pct"/>
            <w:shd w:val="clear" w:color="auto" w:fill="F1F1F1" w:themeFill="background1" w:themeFillShade="F2"/>
            <w:vAlign w:val="center"/>
          </w:tcPr>
          <w:p w14:paraId="514B303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顶喷</w:t>
            </w:r>
          </w:p>
        </w:tc>
        <w:tc>
          <w:tcPr>
            <w:tcW w:w="220" w:type="pct"/>
            <w:vMerge w:val="continue"/>
            <w:shd w:val="clear" w:color="auto" w:fill="F1F1F1" w:themeFill="background1" w:themeFillShade="F2"/>
            <w:vAlign w:val="center"/>
          </w:tcPr>
          <w:p w14:paraId="2487C73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p>
        </w:tc>
        <w:tc>
          <w:tcPr>
            <w:tcW w:w="401" w:type="pct"/>
            <w:vMerge w:val="continue"/>
            <w:shd w:val="clear" w:color="auto" w:fill="F1F1F1" w:themeFill="background1" w:themeFillShade="F2"/>
            <w:vAlign w:val="center"/>
          </w:tcPr>
          <w:p w14:paraId="6E3B3AC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p>
        </w:tc>
        <w:tc>
          <w:tcPr>
            <w:tcW w:w="260" w:type="pct"/>
            <w:vMerge w:val="continue"/>
            <w:shd w:val="clear" w:color="auto" w:fill="F1F1F1" w:themeFill="background1" w:themeFillShade="F2"/>
            <w:vAlign w:val="center"/>
          </w:tcPr>
          <w:p w14:paraId="2A87FE4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p>
        </w:tc>
        <w:tc>
          <w:tcPr>
            <w:tcW w:w="220" w:type="pct"/>
            <w:vMerge w:val="continue"/>
            <w:shd w:val="clear" w:color="auto" w:fill="F1F1F1" w:themeFill="background1" w:themeFillShade="F2"/>
            <w:vAlign w:val="center"/>
          </w:tcPr>
          <w:p w14:paraId="1ED9D49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p>
        </w:tc>
        <w:tc>
          <w:tcPr>
            <w:tcW w:w="180" w:type="pct"/>
            <w:vMerge w:val="continue"/>
            <w:shd w:val="clear" w:color="auto" w:fill="F1F1F1" w:themeFill="background1" w:themeFillShade="F2"/>
            <w:vAlign w:val="center"/>
          </w:tcPr>
          <w:p w14:paraId="1397BBA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p>
        </w:tc>
      </w:tr>
      <w:tr w14:paraId="642F80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07" w:hRule="atLeast"/>
        </w:trPr>
        <w:tc>
          <w:tcPr>
            <w:tcW w:w="171" w:type="pct"/>
            <w:vAlign w:val="center"/>
          </w:tcPr>
          <w:p w14:paraId="5B7BBCF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w:t>
            </w:r>
          </w:p>
        </w:tc>
        <w:tc>
          <w:tcPr>
            <w:tcW w:w="475" w:type="pct"/>
            <w:vMerge w:val="restart"/>
            <w:vAlign w:val="center"/>
          </w:tcPr>
          <w:p w14:paraId="4909A9C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唐山港集团股份有限公司</w:t>
            </w:r>
          </w:p>
        </w:tc>
        <w:tc>
          <w:tcPr>
            <w:tcW w:w="695" w:type="pct"/>
            <w:vAlign w:val="center"/>
          </w:tcPr>
          <w:p w14:paraId="13C07F8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矿石码头公司</w:t>
            </w:r>
          </w:p>
        </w:tc>
        <w:tc>
          <w:tcPr>
            <w:tcW w:w="534" w:type="pct"/>
            <w:vAlign w:val="center"/>
          </w:tcPr>
          <w:p w14:paraId="41E3989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319" w:type="pct"/>
            <w:vAlign w:val="center"/>
          </w:tcPr>
          <w:p w14:paraId="686E276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循环水</w:t>
            </w:r>
          </w:p>
        </w:tc>
        <w:tc>
          <w:tcPr>
            <w:tcW w:w="426" w:type="pct"/>
            <w:vAlign w:val="center"/>
          </w:tcPr>
          <w:p w14:paraId="1EDD68A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自动感应/自动启停</w:t>
            </w:r>
          </w:p>
        </w:tc>
        <w:tc>
          <w:tcPr>
            <w:tcW w:w="249" w:type="pct"/>
            <w:vAlign w:val="center"/>
          </w:tcPr>
          <w:p w14:paraId="67CFD38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60s</w:t>
            </w:r>
          </w:p>
        </w:tc>
        <w:tc>
          <w:tcPr>
            <w:tcW w:w="299" w:type="pct"/>
            <w:vAlign w:val="center"/>
          </w:tcPr>
          <w:p w14:paraId="4B46923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半露天布置</w:t>
            </w:r>
          </w:p>
        </w:tc>
        <w:tc>
          <w:tcPr>
            <w:tcW w:w="180" w:type="pct"/>
            <w:shd w:val="clear" w:color="auto" w:fill="auto"/>
            <w:vAlign w:val="center"/>
          </w:tcPr>
          <w:p w14:paraId="19034A3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0" w:type="pct"/>
            <w:shd w:val="clear" w:color="auto" w:fill="auto"/>
            <w:vAlign w:val="center"/>
          </w:tcPr>
          <w:p w14:paraId="4BC8788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3" w:type="pct"/>
            <w:shd w:val="clear" w:color="auto" w:fill="auto"/>
            <w:vAlign w:val="center"/>
          </w:tcPr>
          <w:p w14:paraId="027AA7E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20" w:type="pct"/>
            <w:vAlign w:val="center"/>
          </w:tcPr>
          <w:p w14:paraId="74ACFC7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增压泵</w:t>
            </w:r>
          </w:p>
        </w:tc>
        <w:tc>
          <w:tcPr>
            <w:tcW w:w="401" w:type="pct"/>
            <w:shd w:val="clear" w:color="auto" w:fill="auto"/>
            <w:vAlign w:val="center"/>
          </w:tcPr>
          <w:p w14:paraId="052F12E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手动/电动/电磁动</w:t>
            </w:r>
          </w:p>
        </w:tc>
        <w:tc>
          <w:tcPr>
            <w:tcW w:w="260" w:type="pct"/>
            <w:vAlign w:val="center"/>
          </w:tcPr>
          <w:p w14:paraId="0ADAA83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vAlign w:val="center"/>
          </w:tcPr>
          <w:p w14:paraId="1B62453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0" w:type="pct"/>
            <w:vAlign w:val="center"/>
          </w:tcPr>
          <w:p w14:paraId="7EE7079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r>
      <w:tr w14:paraId="08C9F5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171" w:type="pct"/>
            <w:vAlign w:val="center"/>
          </w:tcPr>
          <w:p w14:paraId="1A272D9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lang w:val="en-US" w:eastAsia="zh-CN"/>
              </w:rPr>
              <w:t>2</w:t>
            </w:r>
          </w:p>
        </w:tc>
        <w:tc>
          <w:tcPr>
            <w:tcW w:w="475" w:type="pct"/>
            <w:vMerge w:val="continue"/>
            <w:vAlign w:val="center"/>
          </w:tcPr>
          <w:p w14:paraId="12FA35D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rPr>
            </w:pPr>
          </w:p>
        </w:tc>
        <w:tc>
          <w:tcPr>
            <w:tcW w:w="695" w:type="pct"/>
            <w:vAlign w:val="center"/>
          </w:tcPr>
          <w:p w14:paraId="793430E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煤炭码头公司</w:t>
            </w:r>
          </w:p>
        </w:tc>
        <w:tc>
          <w:tcPr>
            <w:tcW w:w="534" w:type="pct"/>
            <w:vAlign w:val="center"/>
          </w:tcPr>
          <w:p w14:paraId="0401F20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319" w:type="pct"/>
            <w:vAlign w:val="center"/>
          </w:tcPr>
          <w:p w14:paraId="6D8DFF0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循环水</w:t>
            </w:r>
          </w:p>
        </w:tc>
        <w:tc>
          <w:tcPr>
            <w:tcW w:w="426" w:type="pct"/>
            <w:vAlign w:val="center"/>
          </w:tcPr>
          <w:p w14:paraId="6033899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自动感应/</w:t>
            </w:r>
          </w:p>
          <w:p w14:paraId="2CCA68E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自动启停</w:t>
            </w:r>
          </w:p>
        </w:tc>
        <w:tc>
          <w:tcPr>
            <w:tcW w:w="249" w:type="pct"/>
            <w:vAlign w:val="center"/>
          </w:tcPr>
          <w:p w14:paraId="29DA55D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60s</w:t>
            </w:r>
          </w:p>
        </w:tc>
        <w:tc>
          <w:tcPr>
            <w:tcW w:w="299" w:type="pct"/>
            <w:vAlign w:val="center"/>
          </w:tcPr>
          <w:p w14:paraId="5877A1F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半露天布置</w:t>
            </w:r>
          </w:p>
        </w:tc>
        <w:tc>
          <w:tcPr>
            <w:tcW w:w="180" w:type="pct"/>
            <w:shd w:val="clear" w:color="auto" w:fill="auto"/>
            <w:vAlign w:val="center"/>
          </w:tcPr>
          <w:p w14:paraId="24673FA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0" w:type="pct"/>
            <w:shd w:val="clear" w:color="auto" w:fill="auto"/>
            <w:vAlign w:val="center"/>
          </w:tcPr>
          <w:p w14:paraId="0B036F1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3" w:type="pct"/>
            <w:shd w:val="clear" w:color="auto" w:fill="auto"/>
            <w:vAlign w:val="center"/>
          </w:tcPr>
          <w:p w14:paraId="6D2FFA0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20" w:type="pct"/>
            <w:shd w:val="clear" w:color="auto" w:fill="auto"/>
            <w:vAlign w:val="center"/>
          </w:tcPr>
          <w:p w14:paraId="0CACF80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t>增压泵</w:t>
            </w:r>
          </w:p>
        </w:tc>
        <w:tc>
          <w:tcPr>
            <w:tcW w:w="401" w:type="pct"/>
            <w:shd w:val="clear" w:color="auto" w:fill="auto"/>
            <w:vAlign w:val="center"/>
          </w:tcPr>
          <w:p w14:paraId="16FBB98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手动/电动/电磁动</w:t>
            </w:r>
          </w:p>
        </w:tc>
        <w:tc>
          <w:tcPr>
            <w:tcW w:w="260" w:type="pct"/>
            <w:vAlign w:val="center"/>
          </w:tcPr>
          <w:p w14:paraId="586AB3C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vAlign w:val="center"/>
          </w:tcPr>
          <w:p w14:paraId="7AA9EEA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有</w:t>
            </w:r>
          </w:p>
        </w:tc>
        <w:tc>
          <w:tcPr>
            <w:tcW w:w="180" w:type="pct"/>
            <w:vAlign w:val="center"/>
          </w:tcPr>
          <w:p w14:paraId="1ACE721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有</w:t>
            </w:r>
          </w:p>
        </w:tc>
      </w:tr>
      <w:tr w14:paraId="2A07C8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1" w:type="pct"/>
            <w:vAlign w:val="center"/>
          </w:tcPr>
          <w:p w14:paraId="2DDA9A5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3</w:t>
            </w:r>
          </w:p>
        </w:tc>
        <w:tc>
          <w:tcPr>
            <w:tcW w:w="475" w:type="pct"/>
            <w:vMerge w:val="restart"/>
            <w:vAlign w:val="center"/>
          </w:tcPr>
          <w:p w14:paraId="428177B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山东省港口集团有限公司</w:t>
            </w:r>
          </w:p>
        </w:tc>
        <w:tc>
          <w:tcPr>
            <w:tcW w:w="695" w:type="pct"/>
            <w:vAlign w:val="center"/>
          </w:tcPr>
          <w:p w14:paraId="3220DC3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青岛港董家口矿石码头</w:t>
            </w:r>
          </w:p>
        </w:tc>
        <w:tc>
          <w:tcPr>
            <w:tcW w:w="534" w:type="pct"/>
            <w:vAlign w:val="center"/>
          </w:tcPr>
          <w:p w14:paraId="3999660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连续洗车平台</w:t>
            </w:r>
          </w:p>
        </w:tc>
        <w:tc>
          <w:tcPr>
            <w:tcW w:w="319" w:type="pct"/>
            <w:vAlign w:val="center"/>
          </w:tcPr>
          <w:p w14:paraId="074ECC1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循环水</w:t>
            </w:r>
          </w:p>
        </w:tc>
        <w:tc>
          <w:tcPr>
            <w:tcW w:w="426" w:type="pct"/>
            <w:vAlign w:val="center"/>
          </w:tcPr>
          <w:p w14:paraId="0645A10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自动感应/</w:t>
            </w:r>
          </w:p>
          <w:p w14:paraId="35E1BD4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自动启停</w:t>
            </w:r>
          </w:p>
        </w:tc>
        <w:tc>
          <w:tcPr>
            <w:tcW w:w="249" w:type="pct"/>
            <w:vAlign w:val="center"/>
          </w:tcPr>
          <w:p w14:paraId="237950E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50s</w:t>
            </w:r>
          </w:p>
        </w:tc>
        <w:tc>
          <w:tcPr>
            <w:tcW w:w="299" w:type="pct"/>
            <w:vAlign w:val="center"/>
          </w:tcPr>
          <w:p w14:paraId="2D39A4D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露天布置</w:t>
            </w:r>
          </w:p>
        </w:tc>
        <w:tc>
          <w:tcPr>
            <w:tcW w:w="180" w:type="pct"/>
            <w:vAlign w:val="center"/>
          </w:tcPr>
          <w:p w14:paraId="681DFB8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0" w:type="pct"/>
            <w:vAlign w:val="center"/>
          </w:tcPr>
          <w:p w14:paraId="2E6B100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183" w:type="pct"/>
            <w:vAlign w:val="center"/>
          </w:tcPr>
          <w:p w14:paraId="4A1AD70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20" w:type="pct"/>
            <w:shd w:val="clear" w:color="auto" w:fill="auto"/>
            <w:vAlign w:val="center"/>
          </w:tcPr>
          <w:p w14:paraId="0D535AD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t>增压泵</w:t>
            </w:r>
          </w:p>
        </w:tc>
        <w:tc>
          <w:tcPr>
            <w:tcW w:w="401" w:type="pct"/>
            <w:shd w:val="clear" w:color="auto" w:fill="auto"/>
            <w:vAlign w:val="center"/>
          </w:tcPr>
          <w:p w14:paraId="1D2D421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手动/电动/电磁动</w:t>
            </w:r>
          </w:p>
        </w:tc>
        <w:tc>
          <w:tcPr>
            <w:tcW w:w="260" w:type="pct"/>
            <w:vAlign w:val="center"/>
          </w:tcPr>
          <w:p w14:paraId="5C5A0FF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vAlign w:val="center"/>
          </w:tcPr>
          <w:p w14:paraId="247A42C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180" w:type="pct"/>
            <w:vAlign w:val="center"/>
          </w:tcPr>
          <w:p w14:paraId="3C4F35F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23DE79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1" w:type="pct"/>
            <w:vAlign w:val="center"/>
          </w:tcPr>
          <w:p w14:paraId="025A79A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4</w:t>
            </w:r>
          </w:p>
        </w:tc>
        <w:tc>
          <w:tcPr>
            <w:tcW w:w="475" w:type="pct"/>
            <w:vMerge w:val="continue"/>
            <w:vAlign w:val="center"/>
          </w:tcPr>
          <w:p w14:paraId="068A43E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695" w:type="pct"/>
            <w:vAlign w:val="center"/>
          </w:tcPr>
          <w:p w14:paraId="3EC4123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烟台港莱州港公司</w:t>
            </w:r>
          </w:p>
        </w:tc>
        <w:tc>
          <w:tcPr>
            <w:tcW w:w="534" w:type="pct"/>
            <w:vAlign w:val="center"/>
          </w:tcPr>
          <w:p w14:paraId="18AD05C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连续洗车平台</w:t>
            </w:r>
          </w:p>
        </w:tc>
        <w:tc>
          <w:tcPr>
            <w:tcW w:w="319" w:type="pct"/>
            <w:vAlign w:val="center"/>
          </w:tcPr>
          <w:p w14:paraId="58EB065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中水</w:t>
            </w:r>
          </w:p>
        </w:tc>
        <w:tc>
          <w:tcPr>
            <w:tcW w:w="426" w:type="pct"/>
            <w:vAlign w:val="center"/>
          </w:tcPr>
          <w:p w14:paraId="2F18F67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自动感应/</w:t>
            </w:r>
          </w:p>
          <w:p w14:paraId="7506F18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自动启停</w:t>
            </w:r>
          </w:p>
        </w:tc>
        <w:tc>
          <w:tcPr>
            <w:tcW w:w="249" w:type="pct"/>
            <w:vAlign w:val="center"/>
          </w:tcPr>
          <w:p w14:paraId="000E5F6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40s</w:t>
            </w:r>
          </w:p>
        </w:tc>
        <w:tc>
          <w:tcPr>
            <w:tcW w:w="299" w:type="pct"/>
            <w:vAlign w:val="center"/>
          </w:tcPr>
          <w:p w14:paraId="4953C04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露天布置</w:t>
            </w:r>
          </w:p>
        </w:tc>
        <w:tc>
          <w:tcPr>
            <w:tcW w:w="180" w:type="pct"/>
            <w:shd w:val="clear" w:color="auto" w:fill="auto"/>
            <w:vAlign w:val="center"/>
          </w:tcPr>
          <w:p w14:paraId="67A8423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0" w:type="pct"/>
            <w:shd w:val="clear" w:color="auto" w:fill="auto"/>
            <w:vAlign w:val="center"/>
          </w:tcPr>
          <w:p w14:paraId="303CD5E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3" w:type="pct"/>
            <w:shd w:val="clear" w:color="auto" w:fill="auto"/>
            <w:vAlign w:val="center"/>
          </w:tcPr>
          <w:p w14:paraId="551F85D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20" w:type="pct"/>
            <w:shd w:val="clear" w:color="auto" w:fill="auto"/>
            <w:vAlign w:val="center"/>
          </w:tcPr>
          <w:p w14:paraId="7706167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t>潜水泵</w:t>
            </w:r>
          </w:p>
        </w:tc>
        <w:tc>
          <w:tcPr>
            <w:tcW w:w="401" w:type="pct"/>
            <w:shd w:val="clear" w:color="auto" w:fill="auto"/>
            <w:vAlign w:val="center"/>
          </w:tcPr>
          <w:p w14:paraId="0D0B3E3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手动/电动/电磁动</w:t>
            </w:r>
          </w:p>
        </w:tc>
        <w:tc>
          <w:tcPr>
            <w:tcW w:w="260" w:type="pct"/>
            <w:vAlign w:val="center"/>
          </w:tcPr>
          <w:p w14:paraId="1863EA1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vAlign w:val="center"/>
          </w:tcPr>
          <w:p w14:paraId="0721CF8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180" w:type="pct"/>
            <w:vAlign w:val="center"/>
          </w:tcPr>
          <w:p w14:paraId="0337BDB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36B31F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1" w:type="pct"/>
            <w:vAlign w:val="center"/>
          </w:tcPr>
          <w:p w14:paraId="617C96A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5</w:t>
            </w:r>
          </w:p>
        </w:tc>
        <w:tc>
          <w:tcPr>
            <w:tcW w:w="475" w:type="pct"/>
            <w:vMerge w:val="continue"/>
            <w:vAlign w:val="center"/>
          </w:tcPr>
          <w:p w14:paraId="28FD878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695" w:type="pct"/>
            <w:vAlign w:val="center"/>
          </w:tcPr>
          <w:p w14:paraId="58B815A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日照港岚山公司</w:t>
            </w:r>
          </w:p>
        </w:tc>
        <w:tc>
          <w:tcPr>
            <w:tcW w:w="534" w:type="pct"/>
            <w:vAlign w:val="center"/>
          </w:tcPr>
          <w:p w14:paraId="42EFE71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319" w:type="pct"/>
            <w:vAlign w:val="center"/>
          </w:tcPr>
          <w:p w14:paraId="5CC322B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中水</w:t>
            </w:r>
          </w:p>
        </w:tc>
        <w:tc>
          <w:tcPr>
            <w:tcW w:w="426" w:type="pct"/>
            <w:vAlign w:val="center"/>
          </w:tcPr>
          <w:p w14:paraId="55F3562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自动感应/</w:t>
            </w:r>
          </w:p>
          <w:p w14:paraId="08A5FFA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自动启停</w:t>
            </w:r>
          </w:p>
        </w:tc>
        <w:tc>
          <w:tcPr>
            <w:tcW w:w="249" w:type="pct"/>
            <w:vAlign w:val="center"/>
          </w:tcPr>
          <w:p w14:paraId="5846C30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40s</w:t>
            </w:r>
          </w:p>
        </w:tc>
        <w:tc>
          <w:tcPr>
            <w:tcW w:w="299" w:type="pct"/>
            <w:vAlign w:val="center"/>
          </w:tcPr>
          <w:p w14:paraId="77C0E8F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半露天布置</w:t>
            </w:r>
          </w:p>
        </w:tc>
        <w:tc>
          <w:tcPr>
            <w:tcW w:w="180" w:type="pct"/>
            <w:shd w:val="clear" w:color="auto" w:fill="auto"/>
            <w:vAlign w:val="center"/>
          </w:tcPr>
          <w:p w14:paraId="7F43577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0" w:type="pct"/>
            <w:shd w:val="clear" w:color="auto" w:fill="auto"/>
            <w:vAlign w:val="center"/>
          </w:tcPr>
          <w:p w14:paraId="7946971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3" w:type="pct"/>
            <w:shd w:val="clear" w:color="auto" w:fill="auto"/>
            <w:vAlign w:val="center"/>
          </w:tcPr>
          <w:p w14:paraId="76B6AB1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shd w:val="clear" w:color="auto" w:fill="auto"/>
            <w:vAlign w:val="center"/>
          </w:tcPr>
          <w:p w14:paraId="608EEA8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t>增压泵</w:t>
            </w:r>
          </w:p>
        </w:tc>
        <w:tc>
          <w:tcPr>
            <w:tcW w:w="401" w:type="pct"/>
            <w:shd w:val="clear" w:color="auto" w:fill="auto"/>
            <w:vAlign w:val="center"/>
          </w:tcPr>
          <w:p w14:paraId="2320A06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手动/电动/电磁动</w:t>
            </w:r>
          </w:p>
        </w:tc>
        <w:tc>
          <w:tcPr>
            <w:tcW w:w="260" w:type="pct"/>
            <w:vAlign w:val="center"/>
          </w:tcPr>
          <w:p w14:paraId="29DDFF2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vAlign w:val="center"/>
          </w:tcPr>
          <w:p w14:paraId="27ECEC3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180" w:type="pct"/>
            <w:vAlign w:val="center"/>
          </w:tcPr>
          <w:p w14:paraId="0BDF38B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73D34A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1" w:type="pct"/>
            <w:vAlign w:val="center"/>
          </w:tcPr>
          <w:p w14:paraId="2EFFF83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6</w:t>
            </w:r>
          </w:p>
        </w:tc>
        <w:tc>
          <w:tcPr>
            <w:tcW w:w="475" w:type="pct"/>
            <w:vMerge w:val="continue"/>
            <w:vAlign w:val="center"/>
          </w:tcPr>
          <w:p w14:paraId="72108EF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695" w:type="pct"/>
            <w:vAlign w:val="center"/>
          </w:tcPr>
          <w:p w14:paraId="26082EA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日照港海港装卸公司</w:t>
            </w:r>
          </w:p>
        </w:tc>
        <w:tc>
          <w:tcPr>
            <w:tcW w:w="534" w:type="pct"/>
            <w:vAlign w:val="center"/>
          </w:tcPr>
          <w:p w14:paraId="0F32045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Style w:val="16"/>
                <w:rFonts w:hint="default" w:ascii="Times New Roman" w:hAnsi="Times New Roman" w:eastAsia="宋体" w:cs="Times New Roman"/>
                <w:b w:val="0"/>
                <w:bCs/>
                <w:sz w:val="21"/>
                <w:szCs w:val="21"/>
                <w:lang w:val="en-US" w:eastAsia="zh-CN"/>
              </w:rPr>
            </w:pPr>
            <w:r>
              <w:rPr>
                <w:rStyle w:val="16"/>
                <w:rFonts w:hint="default" w:ascii="Times New Roman" w:hAnsi="Times New Roman" w:eastAsia="宋体" w:cs="Times New Roman"/>
                <w:b w:val="0"/>
                <w:bCs/>
                <w:sz w:val="21"/>
                <w:szCs w:val="21"/>
                <w:lang w:val="en-US" w:eastAsia="zh-CN"/>
              </w:rPr>
              <w:t>小型洗车平台</w:t>
            </w:r>
          </w:p>
        </w:tc>
        <w:tc>
          <w:tcPr>
            <w:tcW w:w="319" w:type="pct"/>
            <w:vAlign w:val="center"/>
          </w:tcPr>
          <w:p w14:paraId="6B05E71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循环水</w:t>
            </w:r>
          </w:p>
        </w:tc>
        <w:tc>
          <w:tcPr>
            <w:tcW w:w="426" w:type="pct"/>
            <w:vAlign w:val="center"/>
          </w:tcPr>
          <w:p w14:paraId="00D23BF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自动感应/</w:t>
            </w:r>
          </w:p>
          <w:p w14:paraId="30C07AC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自动启停</w:t>
            </w:r>
          </w:p>
        </w:tc>
        <w:tc>
          <w:tcPr>
            <w:tcW w:w="249" w:type="pct"/>
            <w:vAlign w:val="center"/>
          </w:tcPr>
          <w:p w14:paraId="0688928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30s</w:t>
            </w:r>
          </w:p>
        </w:tc>
        <w:tc>
          <w:tcPr>
            <w:tcW w:w="299" w:type="pct"/>
            <w:vAlign w:val="center"/>
          </w:tcPr>
          <w:p w14:paraId="4FA7079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露天布置</w:t>
            </w:r>
          </w:p>
        </w:tc>
        <w:tc>
          <w:tcPr>
            <w:tcW w:w="180" w:type="pct"/>
            <w:vAlign w:val="center"/>
          </w:tcPr>
          <w:p w14:paraId="33D250A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0" w:type="pct"/>
            <w:vAlign w:val="center"/>
          </w:tcPr>
          <w:p w14:paraId="1C9128A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3" w:type="pct"/>
            <w:vAlign w:val="center"/>
          </w:tcPr>
          <w:p w14:paraId="1411F47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20" w:type="pct"/>
            <w:shd w:val="clear" w:color="auto" w:fill="auto"/>
            <w:vAlign w:val="center"/>
          </w:tcPr>
          <w:p w14:paraId="26E919B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t>潜水泵</w:t>
            </w:r>
          </w:p>
        </w:tc>
        <w:tc>
          <w:tcPr>
            <w:tcW w:w="401" w:type="pct"/>
            <w:shd w:val="clear" w:color="auto" w:fill="auto"/>
            <w:vAlign w:val="center"/>
          </w:tcPr>
          <w:p w14:paraId="462AEAF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手动/电动/电磁动</w:t>
            </w:r>
          </w:p>
        </w:tc>
        <w:tc>
          <w:tcPr>
            <w:tcW w:w="260" w:type="pct"/>
            <w:vAlign w:val="center"/>
          </w:tcPr>
          <w:p w14:paraId="4B69406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vAlign w:val="center"/>
          </w:tcPr>
          <w:p w14:paraId="040F875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180" w:type="pct"/>
            <w:vAlign w:val="center"/>
          </w:tcPr>
          <w:p w14:paraId="5086437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21B05C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1" w:type="pct"/>
            <w:vAlign w:val="center"/>
          </w:tcPr>
          <w:p w14:paraId="73715BA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7</w:t>
            </w:r>
          </w:p>
        </w:tc>
        <w:tc>
          <w:tcPr>
            <w:tcW w:w="1171" w:type="pct"/>
            <w:gridSpan w:val="2"/>
            <w:vAlign w:val="center"/>
          </w:tcPr>
          <w:p w14:paraId="4020DEC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太仓武港矿石码头有限公司</w:t>
            </w:r>
          </w:p>
        </w:tc>
        <w:tc>
          <w:tcPr>
            <w:tcW w:w="534" w:type="pct"/>
            <w:vAlign w:val="center"/>
          </w:tcPr>
          <w:p w14:paraId="2505C6E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319" w:type="pct"/>
            <w:vAlign w:val="center"/>
          </w:tcPr>
          <w:p w14:paraId="3DE3FFF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中水</w:t>
            </w:r>
          </w:p>
        </w:tc>
        <w:tc>
          <w:tcPr>
            <w:tcW w:w="426" w:type="pct"/>
            <w:vAlign w:val="center"/>
          </w:tcPr>
          <w:p w14:paraId="6538773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自动感应/</w:t>
            </w:r>
          </w:p>
          <w:p w14:paraId="41EC12B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自动启停</w:t>
            </w:r>
          </w:p>
        </w:tc>
        <w:tc>
          <w:tcPr>
            <w:tcW w:w="249" w:type="pct"/>
            <w:vAlign w:val="center"/>
          </w:tcPr>
          <w:p w14:paraId="6440D1B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20s</w:t>
            </w:r>
          </w:p>
        </w:tc>
        <w:tc>
          <w:tcPr>
            <w:tcW w:w="299" w:type="pct"/>
            <w:vAlign w:val="center"/>
          </w:tcPr>
          <w:p w14:paraId="66EDC0F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露天布置</w:t>
            </w:r>
          </w:p>
        </w:tc>
        <w:tc>
          <w:tcPr>
            <w:tcW w:w="180" w:type="pct"/>
            <w:vAlign w:val="center"/>
          </w:tcPr>
          <w:p w14:paraId="34B469C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0" w:type="pct"/>
            <w:vAlign w:val="center"/>
          </w:tcPr>
          <w:p w14:paraId="1E3F817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3" w:type="pct"/>
            <w:vAlign w:val="center"/>
          </w:tcPr>
          <w:p w14:paraId="1D17C81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20" w:type="pct"/>
            <w:shd w:val="clear" w:color="auto" w:fill="auto"/>
            <w:vAlign w:val="center"/>
          </w:tcPr>
          <w:p w14:paraId="65ADFD9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t>增压泵</w:t>
            </w:r>
          </w:p>
        </w:tc>
        <w:tc>
          <w:tcPr>
            <w:tcW w:w="401" w:type="pct"/>
            <w:shd w:val="clear" w:color="auto" w:fill="auto"/>
            <w:vAlign w:val="center"/>
          </w:tcPr>
          <w:p w14:paraId="606A039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手动/电动/电磁动</w:t>
            </w:r>
          </w:p>
        </w:tc>
        <w:tc>
          <w:tcPr>
            <w:tcW w:w="260" w:type="pct"/>
            <w:shd w:val="clear" w:color="auto" w:fill="auto"/>
            <w:vAlign w:val="center"/>
          </w:tcPr>
          <w:p w14:paraId="6C83AA3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vAlign w:val="center"/>
          </w:tcPr>
          <w:p w14:paraId="1EABB03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180" w:type="pct"/>
            <w:vAlign w:val="center"/>
          </w:tcPr>
          <w:p w14:paraId="70AA137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6E5248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1" w:type="pct"/>
            <w:vAlign w:val="center"/>
          </w:tcPr>
          <w:p w14:paraId="6AFAF0B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8</w:t>
            </w:r>
          </w:p>
        </w:tc>
        <w:tc>
          <w:tcPr>
            <w:tcW w:w="1171" w:type="pct"/>
            <w:gridSpan w:val="2"/>
            <w:vAlign w:val="center"/>
          </w:tcPr>
          <w:p w14:paraId="06BC000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厦门港务集团石湖山码头有限公司</w:t>
            </w:r>
          </w:p>
        </w:tc>
        <w:tc>
          <w:tcPr>
            <w:tcW w:w="534" w:type="pct"/>
            <w:vAlign w:val="center"/>
          </w:tcPr>
          <w:p w14:paraId="31D76EE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319" w:type="pct"/>
            <w:vAlign w:val="center"/>
          </w:tcPr>
          <w:p w14:paraId="75245D6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中水</w:t>
            </w:r>
          </w:p>
        </w:tc>
        <w:tc>
          <w:tcPr>
            <w:tcW w:w="426" w:type="pct"/>
            <w:vAlign w:val="center"/>
          </w:tcPr>
          <w:p w14:paraId="6E9397B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自动感应/</w:t>
            </w:r>
          </w:p>
          <w:p w14:paraId="69C0315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自动启停</w:t>
            </w:r>
          </w:p>
        </w:tc>
        <w:tc>
          <w:tcPr>
            <w:tcW w:w="249" w:type="pct"/>
            <w:vAlign w:val="center"/>
          </w:tcPr>
          <w:p w14:paraId="4D1AB19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30s</w:t>
            </w:r>
          </w:p>
        </w:tc>
        <w:tc>
          <w:tcPr>
            <w:tcW w:w="299" w:type="pct"/>
            <w:vAlign w:val="center"/>
          </w:tcPr>
          <w:p w14:paraId="1A9D2E2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露天布置</w:t>
            </w:r>
          </w:p>
        </w:tc>
        <w:tc>
          <w:tcPr>
            <w:tcW w:w="180" w:type="pct"/>
            <w:vAlign w:val="center"/>
          </w:tcPr>
          <w:p w14:paraId="7819902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0" w:type="pct"/>
            <w:vAlign w:val="center"/>
          </w:tcPr>
          <w:p w14:paraId="535DEEA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183" w:type="pct"/>
            <w:vAlign w:val="center"/>
          </w:tcPr>
          <w:p w14:paraId="586314A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20" w:type="pct"/>
            <w:shd w:val="clear" w:color="auto" w:fill="auto"/>
            <w:vAlign w:val="center"/>
          </w:tcPr>
          <w:p w14:paraId="40BD804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t>潜水泵</w:t>
            </w:r>
          </w:p>
        </w:tc>
        <w:tc>
          <w:tcPr>
            <w:tcW w:w="401" w:type="pct"/>
            <w:shd w:val="clear" w:color="auto" w:fill="auto"/>
            <w:vAlign w:val="center"/>
          </w:tcPr>
          <w:p w14:paraId="1BB0EA7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手动/电动/电磁动</w:t>
            </w:r>
          </w:p>
        </w:tc>
        <w:tc>
          <w:tcPr>
            <w:tcW w:w="260" w:type="pct"/>
            <w:shd w:val="clear" w:color="auto" w:fill="auto"/>
            <w:vAlign w:val="center"/>
          </w:tcPr>
          <w:p w14:paraId="30F2679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vAlign w:val="center"/>
          </w:tcPr>
          <w:p w14:paraId="6EF0C7F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180" w:type="pct"/>
            <w:vAlign w:val="center"/>
          </w:tcPr>
          <w:p w14:paraId="41F00CA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40527B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1" w:type="pct"/>
            <w:vAlign w:val="center"/>
          </w:tcPr>
          <w:p w14:paraId="4D74F21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9</w:t>
            </w:r>
          </w:p>
        </w:tc>
        <w:tc>
          <w:tcPr>
            <w:tcW w:w="475" w:type="pct"/>
            <w:vMerge w:val="restart"/>
            <w:vAlign w:val="center"/>
          </w:tcPr>
          <w:p w14:paraId="52ACF1D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江苏连云港</w:t>
            </w:r>
          </w:p>
        </w:tc>
        <w:tc>
          <w:tcPr>
            <w:tcW w:w="695" w:type="pct"/>
            <w:vAlign w:val="center"/>
          </w:tcPr>
          <w:p w14:paraId="6FB61F3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江苏连云港港口股份有限公司东方港务分公司</w:t>
            </w:r>
          </w:p>
        </w:tc>
        <w:tc>
          <w:tcPr>
            <w:tcW w:w="534" w:type="pct"/>
            <w:vAlign w:val="center"/>
          </w:tcPr>
          <w:p w14:paraId="01EAF85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319" w:type="pct"/>
            <w:vAlign w:val="center"/>
          </w:tcPr>
          <w:p w14:paraId="78B5B83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中水</w:t>
            </w:r>
          </w:p>
        </w:tc>
        <w:tc>
          <w:tcPr>
            <w:tcW w:w="426" w:type="pct"/>
            <w:vAlign w:val="center"/>
          </w:tcPr>
          <w:p w14:paraId="7671A70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自动感应/</w:t>
            </w:r>
          </w:p>
          <w:p w14:paraId="136AF56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自动启停</w:t>
            </w:r>
          </w:p>
        </w:tc>
        <w:tc>
          <w:tcPr>
            <w:tcW w:w="249" w:type="pct"/>
            <w:vAlign w:val="center"/>
          </w:tcPr>
          <w:p w14:paraId="41A2D50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30s</w:t>
            </w:r>
          </w:p>
        </w:tc>
        <w:tc>
          <w:tcPr>
            <w:tcW w:w="299" w:type="pct"/>
            <w:vAlign w:val="center"/>
          </w:tcPr>
          <w:p w14:paraId="4AF0405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露天布置</w:t>
            </w:r>
          </w:p>
        </w:tc>
        <w:tc>
          <w:tcPr>
            <w:tcW w:w="180" w:type="pct"/>
            <w:vAlign w:val="center"/>
          </w:tcPr>
          <w:p w14:paraId="6EDEE2F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0" w:type="pct"/>
            <w:vAlign w:val="center"/>
          </w:tcPr>
          <w:p w14:paraId="6147D75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3" w:type="pct"/>
            <w:vAlign w:val="center"/>
          </w:tcPr>
          <w:p w14:paraId="416F7F4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shd w:val="clear" w:color="auto" w:fill="auto"/>
            <w:vAlign w:val="center"/>
          </w:tcPr>
          <w:p w14:paraId="07F903C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t>增压泵</w:t>
            </w:r>
          </w:p>
        </w:tc>
        <w:tc>
          <w:tcPr>
            <w:tcW w:w="401" w:type="pct"/>
            <w:shd w:val="clear" w:color="auto" w:fill="auto"/>
            <w:vAlign w:val="center"/>
          </w:tcPr>
          <w:p w14:paraId="774A09A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手动/电动/电磁动</w:t>
            </w:r>
          </w:p>
        </w:tc>
        <w:tc>
          <w:tcPr>
            <w:tcW w:w="260" w:type="pct"/>
            <w:vAlign w:val="center"/>
          </w:tcPr>
          <w:p w14:paraId="20B7837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vAlign w:val="center"/>
          </w:tcPr>
          <w:p w14:paraId="54CF2DD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180" w:type="pct"/>
            <w:vAlign w:val="center"/>
          </w:tcPr>
          <w:p w14:paraId="02BD44C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4C4445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1" w:type="pct"/>
            <w:vAlign w:val="center"/>
          </w:tcPr>
          <w:p w14:paraId="565BB7C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10</w:t>
            </w:r>
          </w:p>
        </w:tc>
        <w:tc>
          <w:tcPr>
            <w:tcW w:w="475" w:type="pct"/>
            <w:vMerge w:val="continue"/>
            <w:vAlign w:val="center"/>
          </w:tcPr>
          <w:p w14:paraId="027C2A3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695" w:type="pct"/>
            <w:vAlign w:val="center"/>
          </w:tcPr>
          <w:p w14:paraId="5A034B5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连云港新苏港码头有限公司</w:t>
            </w:r>
          </w:p>
        </w:tc>
        <w:tc>
          <w:tcPr>
            <w:tcW w:w="534" w:type="pct"/>
            <w:vAlign w:val="center"/>
          </w:tcPr>
          <w:p w14:paraId="249652A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319" w:type="pct"/>
            <w:vAlign w:val="center"/>
          </w:tcPr>
          <w:p w14:paraId="7BB520F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循环水</w:t>
            </w:r>
          </w:p>
        </w:tc>
        <w:tc>
          <w:tcPr>
            <w:tcW w:w="426" w:type="pct"/>
            <w:vAlign w:val="center"/>
          </w:tcPr>
          <w:p w14:paraId="273ADFD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自动感应/</w:t>
            </w:r>
          </w:p>
          <w:p w14:paraId="5C86398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自动启停</w:t>
            </w:r>
          </w:p>
        </w:tc>
        <w:tc>
          <w:tcPr>
            <w:tcW w:w="249" w:type="pct"/>
            <w:vAlign w:val="center"/>
          </w:tcPr>
          <w:p w14:paraId="4D0F351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30s</w:t>
            </w:r>
          </w:p>
        </w:tc>
        <w:tc>
          <w:tcPr>
            <w:tcW w:w="299" w:type="pct"/>
            <w:vAlign w:val="center"/>
          </w:tcPr>
          <w:p w14:paraId="381E31F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露天布置</w:t>
            </w:r>
          </w:p>
        </w:tc>
        <w:tc>
          <w:tcPr>
            <w:tcW w:w="180" w:type="pct"/>
            <w:vAlign w:val="center"/>
          </w:tcPr>
          <w:p w14:paraId="5365705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0" w:type="pct"/>
            <w:vAlign w:val="center"/>
          </w:tcPr>
          <w:p w14:paraId="2C32B95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3" w:type="pct"/>
            <w:vAlign w:val="center"/>
          </w:tcPr>
          <w:p w14:paraId="4601F0C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20" w:type="pct"/>
            <w:shd w:val="clear" w:color="auto" w:fill="auto"/>
            <w:vAlign w:val="center"/>
          </w:tcPr>
          <w:p w14:paraId="7A585AC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t>增压泵</w:t>
            </w:r>
          </w:p>
        </w:tc>
        <w:tc>
          <w:tcPr>
            <w:tcW w:w="401" w:type="pct"/>
            <w:shd w:val="clear" w:color="auto" w:fill="auto"/>
            <w:vAlign w:val="center"/>
          </w:tcPr>
          <w:p w14:paraId="1FF16D5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手动/电动/电磁动</w:t>
            </w:r>
          </w:p>
        </w:tc>
        <w:tc>
          <w:tcPr>
            <w:tcW w:w="260" w:type="pct"/>
            <w:vAlign w:val="center"/>
          </w:tcPr>
          <w:p w14:paraId="5E5EC9E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vAlign w:val="center"/>
          </w:tcPr>
          <w:p w14:paraId="0BD9F1C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180" w:type="pct"/>
            <w:vAlign w:val="center"/>
          </w:tcPr>
          <w:p w14:paraId="2575A88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4525D3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1" w:type="pct"/>
            <w:vAlign w:val="center"/>
          </w:tcPr>
          <w:p w14:paraId="561FAE8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11</w:t>
            </w:r>
          </w:p>
        </w:tc>
        <w:tc>
          <w:tcPr>
            <w:tcW w:w="1171" w:type="pct"/>
            <w:gridSpan w:val="2"/>
            <w:vAlign w:val="center"/>
          </w:tcPr>
          <w:p w14:paraId="5E47549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江苏盐城港响水港区港务公司</w:t>
            </w:r>
          </w:p>
        </w:tc>
        <w:tc>
          <w:tcPr>
            <w:tcW w:w="534" w:type="pct"/>
            <w:vAlign w:val="center"/>
          </w:tcPr>
          <w:p w14:paraId="0578898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319" w:type="pct"/>
            <w:vAlign w:val="center"/>
          </w:tcPr>
          <w:p w14:paraId="4886A8E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中水</w:t>
            </w:r>
          </w:p>
        </w:tc>
        <w:tc>
          <w:tcPr>
            <w:tcW w:w="426" w:type="pct"/>
            <w:vAlign w:val="center"/>
          </w:tcPr>
          <w:p w14:paraId="32240D2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自动感应/</w:t>
            </w:r>
          </w:p>
          <w:p w14:paraId="5AE1BF5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自动启停</w:t>
            </w:r>
          </w:p>
        </w:tc>
        <w:tc>
          <w:tcPr>
            <w:tcW w:w="249" w:type="pct"/>
            <w:vAlign w:val="center"/>
          </w:tcPr>
          <w:p w14:paraId="0974330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20s</w:t>
            </w:r>
          </w:p>
        </w:tc>
        <w:tc>
          <w:tcPr>
            <w:tcW w:w="299" w:type="pct"/>
            <w:vAlign w:val="center"/>
          </w:tcPr>
          <w:p w14:paraId="5AF5566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露天布置</w:t>
            </w:r>
          </w:p>
        </w:tc>
        <w:tc>
          <w:tcPr>
            <w:tcW w:w="180" w:type="pct"/>
            <w:vAlign w:val="center"/>
          </w:tcPr>
          <w:p w14:paraId="2EE5BF8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0" w:type="pct"/>
            <w:vAlign w:val="center"/>
          </w:tcPr>
          <w:p w14:paraId="102CEB4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3" w:type="pct"/>
            <w:vAlign w:val="center"/>
          </w:tcPr>
          <w:p w14:paraId="63CCC13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20" w:type="pct"/>
            <w:shd w:val="clear" w:color="auto" w:fill="auto"/>
            <w:vAlign w:val="center"/>
          </w:tcPr>
          <w:p w14:paraId="050317A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t>潜水泵</w:t>
            </w:r>
          </w:p>
        </w:tc>
        <w:tc>
          <w:tcPr>
            <w:tcW w:w="401" w:type="pct"/>
            <w:shd w:val="clear" w:color="auto" w:fill="auto"/>
            <w:vAlign w:val="center"/>
          </w:tcPr>
          <w:p w14:paraId="35EC4C3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手动/电动/电磁动</w:t>
            </w:r>
          </w:p>
        </w:tc>
        <w:tc>
          <w:tcPr>
            <w:tcW w:w="260" w:type="pct"/>
            <w:shd w:val="clear" w:color="auto" w:fill="auto"/>
            <w:vAlign w:val="center"/>
          </w:tcPr>
          <w:p w14:paraId="2A107DE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vAlign w:val="center"/>
          </w:tcPr>
          <w:p w14:paraId="50E8FA3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180" w:type="pct"/>
            <w:vAlign w:val="center"/>
          </w:tcPr>
          <w:p w14:paraId="74F3FA4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r w14:paraId="2E1F80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1" w:type="pct"/>
            <w:vAlign w:val="center"/>
          </w:tcPr>
          <w:p w14:paraId="63424FF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12</w:t>
            </w:r>
          </w:p>
        </w:tc>
        <w:tc>
          <w:tcPr>
            <w:tcW w:w="1171" w:type="pct"/>
            <w:gridSpan w:val="2"/>
            <w:vAlign w:val="center"/>
          </w:tcPr>
          <w:p w14:paraId="6F582F0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福建罗屿港</w:t>
            </w:r>
          </w:p>
        </w:tc>
        <w:tc>
          <w:tcPr>
            <w:tcW w:w="534" w:type="pct"/>
            <w:vAlign w:val="center"/>
          </w:tcPr>
          <w:p w14:paraId="52474E7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319" w:type="pct"/>
            <w:vAlign w:val="center"/>
          </w:tcPr>
          <w:p w14:paraId="5497791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中水</w:t>
            </w:r>
          </w:p>
        </w:tc>
        <w:tc>
          <w:tcPr>
            <w:tcW w:w="426" w:type="pct"/>
            <w:vAlign w:val="center"/>
          </w:tcPr>
          <w:p w14:paraId="74682AD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自动感应/</w:t>
            </w:r>
          </w:p>
          <w:p w14:paraId="436F8BD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自动启停</w:t>
            </w:r>
          </w:p>
        </w:tc>
        <w:tc>
          <w:tcPr>
            <w:tcW w:w="249" w:type="pct"/>
            <w:vAlign w:val="center"/>
          </w:tcPr>
          <w:p w14:paraId="1FF2A84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25s</w:t>
            </w:r>
          </w:p>
        </w:tc>
        <w:tc>
          <w:tcPr>
            <w:tcW w:w="299" w:type="pct"/>
            <w:vAlign w:val="center"/>
          </w:tcPr>
          <w:p w14:paraId="5CD3260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露天布置</w:t>
            </w:r>
          </w:p>
        </w:tc>
        <w:tc>
          <w:tcPr>
            <w:tcW w:w="180" w:type="pct"/>
            <w:vAlign w:val="center"/>
          </w:tcPr>
          <w:p w14:paraId="3D3D990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0" w:type="pct"/>
            <w:vAlign w:val="center"/>
          </w:tcPr>
          <w:p w14:paraId="4A34C5F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183" w:type="pct"/>
            <w:vAlign w:val="center"/>
          </w:tcPr>
          <w:p w14:paraId="5CCBD54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220" w:type="pct"/>
            <w:shd w:val="clear" w:color="auto" w:fill="auto"/>
            <w:vAlign w:val="center"/>
          </w:tcPr>
          <w:p w14:paraId="0E20BDF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t>增压泵</w:t>
            </w:r>
          </w:p>
        </w:tc>
        <w:tc>
          <w:tcPr>
            <w:tcW w:w="401" w:type="pct"/>
            <w:shd w:val="clear" w:color="auto" w:fill="auto"/>
            <w:vAlign w:val="center"/>
          </w:tcPr>
          <w:p w14:paraId="0C1005C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手动/电动/电磁动</w:t>
            </w:r>
          </w:p>
        </w:tc>
        <w:tc>
          <w:tcPr>
            <w:tcW w:w="260" w:type="pct"/>
            <w:shd w:val="clear" w:color="auto" w:fill="auto"/>
            <w:vAlign w:val="center"/>
          </w:tcPr>
          <w:p w14:paraId="28018D5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220" w:type="pct"/>
            <w:vAlign w:val="center"/>
          </w:tcPr>
          <w:p w14:paraId="5F14169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180" w:type="pct"/>
            <w:vAlign w:val="center"/>
          </w:tcPr>
          <w:p w14:paraId="7422037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r>
    </w:tbl>
    <w:p w14:paraId="05CB09AA">
      <w:pPr>
        <w:pageBreakBefore w:val="0"/>
        <w:kinsoku/>
        <w:wordWrap/>
        <w:overflowPunct/>
        <w:topLinePunct w:val="0"/>
        <w:bidi w:val="0"/>
        <w:ind w:left="0" w:right="0"/>
        <w:rPr>
          <w:rFonts w:hint="default" w:ascii="Times New Roman" w:hAnsi="Times New Roman" w:cs="Times New Roman"/>
          <w:lang w:val="en-US" w:eastAsia="zh-CN"/>
        </w:rPr>
      </w:pPr>
    </w:p>
    <w:p w14:paraId="17E99B97">
      <w:pPr>
        <w:pageBreakBefore w:val="0"/>
        <w:kinsoku/>
        <w:wordWrap/>
        <w:overflowPunct/>
        <w:topLinePunct w:val="0"/>
        <w:bidi w:val="0"/>
        <w:ind w:left="0" w:right="0"/>
        <w:rPr>
          <w:rFonts w:hint="default" w:ascii="Times New Roman" w:hAnsi="Times New Roman" w:cs="Times New Roman"/>
          <w:lang w:val="en-US" w:eastAsia="zh-CN"/>
        </w:rPr>
        <w:sectPr>
          <w:pgSz w:w="16838" w:h="11906" w:orient="landscape"/>
          <w:pgMar w:top="1800" w:right="1440" w:bottom="1800" w:left="1440" w:header="851" w:footer="992" w:gutter="0"/>
          <w:pgNumType w:fmt="decimal"/>
          <w:cols w:space="425" w:num="1"/>
          <w:docGrid w:type="lines" w:linePitch="312" w:charSpace="0"/>
        </w:sectPr>
      </w:pPr>
    </w:p>
    <w:p w14:paraId="01B2311E">
      <w:pPr>
        <w:pStyle w:val="6"/>
        <w:bidi w:val="0"/>
        <w:rPr>
          <w:rFonts w:hint="default"/>
          <w:lang w:val="en-US" w:eastAsia="zh-CN"/>
        </w:rPr>
      </w:pPr>
      <w:r>
        <w:rPr>
          <w:rFonts w:hint="default"/>
          <w:lang w:val="en-US" w:eastAsia="zh-CN"/>
        </w:rPr>
        <w:t>由表</w:t>
      </w:r>
      <w:r>
        <w:rPr>
          <w:rFonts w:hint="eastAsia"/>
          <w:lang w:val="en-US" w:eastAsia="zh-CN"/>
        </w:rPr>
        <w:t>3-4</w:t>
      </w:r>
      <w:r>
        <w:rPr>
          <w:rFonts w:hint="default"/>
          <w:lang w:val="en-US" w:eastAsia="zh-CN"/>
        </w:rPr>
        <w:t>可知，在调研的12家样本港口洗车平台中，洗车平台</w:t>
      </w:r>
      <w:r>
        <w:rPr>
          <w:rFonts w:hint="eastAsia"/>
          <w:lang w:val="en-US" w:eastAsia="zh-CN"/>
        </w:rPr>
        <w:t>水源主要为中水和循环水，占比分别为58%、42%；所有港口洗车平台的冲洗方式均为自动感应、自动启停，冲洗时长各不相同，为20s~60s；管道布置主要为露天布置，仅四分之一的港口采用半露天布置；在喷嘴/喷头设置上，所有的港口均设置了侧喷，一些港口增加了底喷和顶喷；水泵主要为增压泵和潜水泵；不同位置的阀门分别具有手动、电动及电磁动功能；各个港口均设置了用水计量装置；在信息化和伴热方面，多数港口基本未实现，仅唐山港新建的洗车平台实施了信息化管控和冲洗系统伴热，缺点是增加了港口的投资。</w:t>
      </w:r>
    </w:p>
    <w:p w14:paraId="1E2AF5FA">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2</w:t>
      </w: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 xml:space="preserve"> 存在问题及解决方式</w:t>
      </w:r>
    </w:p>
    <w:p w14:paraId="144990DA">
      <w:pPr>
        <w:keepNext w:val="0"/>
        <w:keepLines w:val="0"/>
        <w:pageBreakBefore w:val="0"/>
        <w:widowControl w:val="0"/>
        <w:kinsoku/>
        <w:wordWrap/>
        <w:overflowPunct/>
        <w:topLinePunct w:val="0"/>
        <w:autoSpaceDE w:val="0"/>
        <w:autoSpaceDN w:val="0"/>
        <w:bidi w:val="0"/>
        <w:adjustRightInd/>
        <w:snapToGrid/>
        <w:spacing w:before="157" w:beforeLines="50"/>
        <w:ind w:left="0" w:right="0" w:firstLine="480" w:firstLineChars="200"/>
        <w:textAlignment w:val="auto"/>
        <w:rPr>
          <w:rFonts w:hint="default" w:ascii="Times New Roman" w:hAnsi="Times New Roman" w:eastAsia="PingFang SC" w:cs="Times New Roman"/>
          <w:b/>
          <w:bCs/>
          <w:i w:val="0"/>
          <w:iCs w:val="0"/>
          <w:caps w:val="0"/>
          <w:spacing w:val="0"/>
          <w:kern w:val="0"/>
          <w:sz w:val="24"/>
          <w:szCs w:val="24"/>
          <w:shd w:val="clear" w:fill="FFFFFF"/>
          <w:lang w:val="en-US" w:eastAsia="zh-CN" w:bidi="ar"/>
        </w:rPr>
      </w:pPr>
      <w:r>
        <w:rPr>
          <w:rFonts w:hint="default" w:ascii="Times New Roman" w:hAnsi="Times New Roman" w:eastAsia="PingFang SC" w:cs="Times New Roman"/>
          <w:b/>
          <w:bCs/>
          <w:i w:val="0"/>
          <w:iCs w:val="0"/>
          <w:caps w:val="0"/>
          <w:spacing w:val="0"/>
          <w:kern w:val="0"/>
          <w:sz w:val="24"/>
          <w:szCs w:val="24"/>
          <w:shd w:val="clear" w:fill="FFFFFF"/>
          <w:lang w:val="en-US" w:eastAsia="zh-CN" w:bidi="ar"/>
        </w:rPr>
        <w:t>1）洗车平台车辆冲洗效果变差</w:t>
      </w:r>
    </w:p>
    <w:p w14:paraId="4AED724C">
      <w:pPr>
        <w:pStyle w:val="6"/>
        <w:bidi w:val="0"/>
        <w:rPr>
          <w:rFonts w:hint="default" w:ascii="Times New Roman" w:hAnsi="Times New Roman" w:cs="Times New Roman"/>
          <w:lang w:val="en-US" w:eastAsia="zh-CN"/>
        </w:rPr>
      </w:pPr>
      <w:r>
        <w:rPr>
          <w:rFonts w:hint="default" w:ascii="Times New Roman" w:hAnsi="Times New Roman" w:cs="Times New Roman"/>
          <w:b/>
          <w:bCs/>
          <w:lang w:val="en-US" w:eastAsia="zh-CN"/>
        </w:rPr>
        <w:t>问题描述：</w:t>
      </w:r>
      <w:r>
        <w:rPr>
          <w:rFonts w:hint="default" w:ascii="Times New Roman" w:hAnsi="Times New Roman" w:cs="Times New Roman"/>
          <w:lang w:val="en-US" w:eastAsia="zh-CN"/>
        </w:rPr>
        <w:t>福建罗屿港原有洗车平台在实际运行中，曾面临喷头数量较少，导致冲洗系统冲击力较小，车辆冲洗效果变差的问题。</w:t>
      </w:r>
    </w:p>
    <w:p w14:paraId="6A3BC88D">
      <w:pPr>
        <w:pStyle w:val="6"/>
        <w:bidi w:val="0"/>
        <w:rPr>
          <w:rFonts w:hint="default" w:ascii="Times New Roman" w:hAnsi="Times New Roman" w:cs="Times New Roman"/>
          <w:lang w:val="en-US" w:eastAsia="zh-CN"/>
        </w:rPr>
      </w:pPr>
      <w:r>
        <w:rPr>
          <w:rFonts w:hint="default" w:ascii="Times New Roman" w:hAnsi="Times New Roman" w:cs="Times New Roman"/>
          <w:b/>
          <w:bCs/>
          <w:lang w:val="en-US" w:eastAsia="zh-CN"/>
        </w:rPr>
        <w:t>解决方式：</w:t>
      </w:r>
      <w:r>
        <w:rPr>
          <w:rFonts w:hint="default" w:ascii="Times New Roman" w:hAnsi="Times New Roman" w:cs="Times New Roman"/>
          <w:lang w:val="en-US" w:eastAsia="zh-CN"/>
        </w:rPr>
        <w:t>企业针对原有洗车平台增加了冲洗喷头数量，进一步提升了冲洗系统的冲击力，车辆清洁更加全面且高效；同时，通过对沉淀池进行加高，在洗车平台底部增设了喷头，进一步增强了车辆冲洗效果。</w:t>
      </w:r>
    </w:p>
    <w:p w14:paraId="0F1A3724">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31" w:name="_Toc15055"/>
      <w:r>
        <w:rPr>
          <w:rFonts w:hint="default" w:ascii="Times New Roman" w:hAnsi="Times New Roman" w:eastAsia="黑体" w:cs="Times New Roman"/>
          <w:spacing w:val="-2"/>
          <w:sz w:val="28"/>
          <w:szCs w:val="28"/>
          <w:lang w:val="en-US" w:eastAsia="zh-CN"/>
        </w:rPr>
        <w:t>5 污水处置与利用</w:t>
      </w:r>
      <w:bookmarkEnd w:id="31"/>
    </w:p>
    <w:p w14:paraId="432E6051">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1</w:t>
      </w: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 xml:space="preserve"> 样本港口对比</w:t>
      </w:r>
    </w:p>
    <w:p w14:paraId="3C57E7D6">
      <w:pPr>
        <w:pStyle w:val="6"/>
        <w:bidi w:val="0"/>
        <w:rPr>
          <w:rFonts w:hint="default"/>
          <w:lang w:val="en-US" w:eastAsia="zh-CN"/>
        </w:rPr>
        <w:sectPr>
          <w:footerReference r:id="rId8" w:type="first"/>
          <w:footerReference r:id="rId7" w:type="default"/>
          <w:pgSz w:w="11906" w:h="16838"/>
          <w:pgMar w:top="1440" w:right="1800" w:bottom="1440" w:left="1800" w:header="851" w:footer="992" w:gutter="0"/>
          <w:pgNumType w:fmt="decimal"/>
          <w:cols w:space="425" w:num="1"/>
          <w:docGrid w:type="lines" w:linePitch="312" w:charSpace="0"/>
        </w:sectPr>
      </w:pPr>
      <w:r>
        <w:rPr>
          <w:rFonts w:hint="default"/>
          <w:lang w:val="en-US" w:eastAsia="zh-CN"/>
        </w:rPr>
        <w:t>基于调研结果，12家样本港口洗车平台污水收集、处置与利用，详见表</w:t>
      </w:r>
      <w:r>
        <w:rPr>
          <w:rFonts w:hint="eastAsia"/>
          <w:lang w:val="en-US" w:eastAsia="zh-CN"/>
        </w:rPr>
        <w:t>3-5</w:t>
      </w:r>
      <w:r>
        <w:rPr>
          <w:rFonts w:hint="default"/>
          <w:lang w:val="en-US" w:eastAsia="zh-CN"/>
        </w:rPr>
        <w:t>。</w:t>
      </w:r>
    </w:p>
    <w:p w14:paraId="2FC34842">
      <w:pPr>
        <w:pageBreakBefore w:val="0"/>
        <w:kinsoku/>
        <w:wordWrap/>
        <w:overflowPunct/>
        <w:topLinePunct w:val="0"/>
        <w:bidi w:val="0"/>
        <w:ind w:left="0" w:right="0"/>
        <w:jc w:val="center"/>
        <w:rPr>
          <w:rFonts w:hint="default" w:ascii="Times New Roman" w:hAnsi="Times New Roman" w:cs="Times New Roman"/>
          <w:lang w:val="en-US" w:eastAsia="zh-CN"/>
        </w:rPr>
      </w:pPr>
      <w:r>
        <w:rPr>
          <w:rFonts w:hint="default" w:ascii="Times New Roman" w:hAnsi="Times New Roman" w:eastAsia="宋体" w:cs="Times New Roman"/>
          <w:b/>
          <w:bCs w:val="0"/>
          <w:color w:val="000000" w:themeColor="text1"/>
          <w:sz w:val="21"/>
          <w:szCs w:val="20"/>
          <w:highlight w:val="none"/>
          <w:lang w:val="en-US" w:eastAsia="zh-CN"/>
          <w14:textFill>
            <w14:solidFill>
              <w14:schemeClr w14:val="tx1"/>
            </w14:solidFill>
          </w14:textFill>
        </w:rPr>
        <w:t>表</w:t>
      </w:r>
      <w:r>
        <w:rPr>
          <w:rFonts w:hint="eastAsia" w:ascii="Times New Roman" w:hAnsi="Times New Roman" w:cs="Times New Roman"/>
          <w:b/>
          <w:bCs w:val="0"/>
          <w:color w:val="000000" w:themeColor="text1"/>
          <w:sz w:val="21"/>
          <w:szCs w:val="20"/>
          <w:highlight w:val="none"/>
          <w:lang w:val="en-US" w:eastAsia="zh-CN"/>
          <w14:textFill>
            <w14:solidFill>
              <w14:schemeClr w14:val="tx1"/>
            </w14:solidFill>
          </w14:textFill>
        </w:rPr>
        <w:t>3-5</w:t>
      </w:r>
      <w:r>
        <w:rPr>
          <w:rFonts w:hint="default" w:ascii="Times New Roman" w:hAnsi="Times New Roman" w:eastAsia="宋体" w:cs="Times New Roman"/>
          <w:b/>
          <w:bCs w:val="0"/>
          <w:color w:val="000000" w:themeColor="text1"/>
          <w:sz w:val="21"/>
          <w:szCs w:val="20"/>
          <w:highlight w:val="none"/>
          <w:lang w:val="en-US" w:eastAsia="zh-CN"/>
          <w14:textFill>
            <w14:solidFill>
              <w14:schemeClr w14:val="tx1"/>
            </w14:solidFill>
          </w14:textFill>
        </w:rPr>
        <w:t xml:space="preserve">  12家样本港口洗车平台</w:t>
      </w:r>
      <w:r>
        <w:rPr>
          <w:rFonts w:hint="eastAsia" w:ascii="Times New Roman" w:hAnsi="Times New Roman" w:eastAsia="宋体" w:cs="Times New Roman"/>
          <w:b/>
          <w:bCs w:val="0"/>
          <w:color w:val="000000" w:themeColor="text1"/>
          <w:sz w:val="21"/>
          <w:szCs w:val="20"/>
          <w:highlight w:val="none"/>
          <w:lang w:val="en-US" w:eastAsia="zh-CN"/>
          <w14:textFill>
            <w14:solidFill>
              <w14:schemeClr w14:val="tx1"/>
            </w14:solidFill>
          </w14:textFill>
        </w:rPr>
        <w:t>污水处置与利用情况</w:t>
      </w:r>
    </w:p>
    <w:tbl>
      <w:tblPr>
        <w:tblStyle w:val="14"/>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92"/>
        <w:gridCol w:w="2135"/>
        <w:gridCol w:w="3103"/>
        <w:gridCol w:w="2008"/>
        <w:gridCol w:w="2326"/>
        <w:gridCol w:w="1792"/>
        <w:gridCol w:w="939"/>
        <w:gridCol w:w="1279"/>
      </w:tblGrid>
      <w:tr w14:paraId="3795F7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9" w:type="pct"/>
            <w:shd w:val="clear" w:color="auto" w:fill="F1F1F1" w:themeFill="background1" w:themeFillShade="F2"/>
            <w:vAlign w:val="center"/>
          </w:tcPr>
          <w:p w14:paraId="2C1C6DD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序号</w:t>
            </w:r>
          </w:p>
        </w:tc>
        <w:tc>
          <w:tcPr>
            <w:tcW w:w="1847" w:type="pct"/>
            <w:gridSpan w:val="2"/>
            <w:shd w:val="clear" w:color="auto" w:fill="F1F1F1" w:themeFill="background1" w:themeFillShade="F2"/>
            <w:vAlign w:val="center"/>
          </w:tcPr>
          <w:p w14:paraId="0DED5A4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港口名称</w:t>
            </w:r>
          </w:p>
        </w:tc>
        <w:tc>
          <w:tcPr>
            <w:tcW w:w="708" w:type="pct"/>
            <w:shd w:val="clear" w:color="auto" w:fill="F1F1F1" w:themeFill="background1" w:themeFillShade="F2"/>
            <w:vAlign w:val="center"/>
          </w:tcPr>
          <w:p w14:paraId="5E28AD7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洗车平台类型</w:t>
            </w:r>
          </w:p>
        </w:tc>
        <w:tc>
          <w:tcPr>
            <w:tcW w:w="820" w:type="pct"/>
            <w:shd w:val="clear" w:color="auto" w:fill="F1F1F1" w:themeFill="background1" w:themeFillShade="F2"/>
            <w:vAlign w:val="center"/>
          </w:tcPr>
          <w:p w14:paraId="4DB07B1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洗车通道</w:t>
            </w:r>
          </w:p>
          <w:p w14:paraId="2AB3925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污水收集</w:t>
            </w:r>
          </w:p>
        </w:tc>
        <w:tc>
          <w:tcPr>
            <w:tcW w:w="632" w:type="pct"/>
            <w:shd w:val="clear" w:color="auto" w:fill="F1F1F1" w:themeFill="background1" w:themeFillShade="F2"/>
            <w:vAlign w:val="center"/>
          </w:tcPr>
          <w:p w14:paraId="4F2D60F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污水收集处理设施</w:t>
            </w:r>
          </w:p>
        </w:tc>
        <w:tc>
          <w:tcPr>
            <w:tcW w:w="331" w:type="pct"/>
            <w:shd w:val="clear" w:color="auto" w:fill="F1F1F1" w:themeFill="background1" w:themeFillShade="F2"/>
            <w:vAlign w:val="center"/>
          </w:tcPr>
          <w:p w14:paraId="5637220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药剂投加</w:t>
            </w:r>
          </w:p>
        </w:tc>
        <w:tc>
          <w:tcPr>
            <w:tcW w:w="451" w:type="pct"/>
            <w:shd w:val="clear" w:color="auto" w:fill="F1F1F1" w:themeFill="background1" w:themeFillShade="F2"/>
            <w:vAlign w:val="center"/>
          </w:tcPr>
          <w:p w14:paraId="1277EE4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中水循环利用</w:t>
            </w:r>
          </w:p>
        </w:tc>
      </w:tr>
      <w:tr w14:paraId="134A65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9" w:type="pct"/>
            <w:vAlign w:val="center"/>
          </w:tcPr>
          <w:p w14:paraId="19A448D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w:t>
            </w:r>
          </w:p>
        </w:tc>
        <w:tc>
          <w:tcPr>
            <w:tcW w:w="753" w:type="pct"/>
            <w:vMerge w:val="restart"/>
            <w:vAlign w:val="center"/>
          </w:tcPr>
          <w:p w14:paraId="4C399EB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唐山港集团股份有限公司</w:t>
            </w:r>
          </w:p>
        </w:tc>
        <w:tc>
          <w:tcPr>
            <w:tcW w:w="1093" w:type="pct"/>
            <w:vAlign w:val="center"/>
          </w:tcPr>
          <w:p w14:paraId="7CBFD96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矿石码头公司</w:t>
            </w:r>
          </w:p>
        </w:tc>
        <w:tc>
          <w:tcPr>
            <w:tcW w:w="708" w:type="pct"/>
            <w:vAlign w:val="center"/>
          </w:tcPr>
          <w:p w14:paraId="1B2D2A9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820" w:type="pct"/>
            <w:vAlign w:val="center"/>
          </w:tcPr>
          <w:p w14:paraId="1E8B518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通过铺装钢制格栅沥水</w:t>
            </w:r>
          </w:p>
        </w:tc>
        <w:tc>
          <w:tcPr>
            <w:tcW w:w="632" w:type="pct"/>
            <w:vAlign w:val="center"/>
          </w:tcPr>
          <w:p w14:paraId="16C8B18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一体化污水处理设备</w:t>
            </w:r>
          </w:p>
        </w:tc>
        <w:tc>
          <w:tcPr>
            <w:tcW w:w="331" w:type="pct"/>
            <w:vAlign w:val="center"/>
          </w:tcPr>
          <w:p w14:paraId="219F2DA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451" w:type="pct"/>
            <w:vAlign w:val="center"/>
          </w:tcPr>
          <w:p w14:paraId="5CE1B6D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是</w:t>
            </w:r>
          </w:p>
        </w:tc>
      </w:tr>
      <w:tr w14:paraId="7EB269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9" w:type="pct"/>
            <w:vAlign w:val="center"/>
          </w:tcPr>
          <w:p w14:paraId="737B743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lang w:val="en-US" w:eastAsia="zh-CN"/>
              </w:rPr>
              <w:t>2</w:t>
            </w:r>
          </w:p>
        </w:tc>
        <w:tc>
          <w:tcPr>
            <w:tcW w:w="753" w:type="pct"/>
            <w:vMerge w:val="continue"/>
            <w:vAlign w:val="center"/>
          </w:tcPr>
          <w:p w14:paraId="7379A46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rPr>
            </w:pPr>
          </w:p>
        </w:tc>
        <w:tc>
          <w:tcPr>
            <w:tcW w:w="1093" w:type="pct"/>
            <w:vAlign w:val="center"/>
          </w:tcPr>
          <w:p w14:paraId="00031D9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煤炭码头公司</w:t>
            </w:r>
          </w:p>
        </w:tc>
        <w:tc>
          <w:tcPr>
            <w:tcW w:w="708" w:type="pct"/>
            <w:vAlign w:val="center"/>
          </w:tcPr>
          <w:p w14:paraId="6904996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820" w:type="pct"/>
            <w:vAlign w:val="center"/>
          </w:tcPr>
          <w:p w14:paraId="7872281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通过铺装钢制格栅沥水</w:t>
            </w:r>
          </w:p>
        </w:tc>
        <w:tc>
          <w:tcPr>
            <w:tcW w:w="632" w:type="pct"/>
            <w:vAlign w:val="center"/>
          </w:tcPr>
          <w:p w14:paraId="793EC7E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一体化污水处理设备</w:t>
            </w:r>
          </w:p>
        </w:tc>
        <w:tc>
          <w:tcPr>
            <w:tcW w:w="331" w:type="pct"/>
            <w:vAlign w:val="center"/>
          </w:tcPr>
          <w:p w14:paraId="06D70B4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有</w:t>
            </w:r>
          </w:p>
        </w:tc>
        <w:tc>
          <w:tcPr>
            <w:tcW w:w="451" w:type="pct"/>
            <w:vAlign w:val="center"/>
          </w:tcPr>
          <w:p w14:paraId="7B91665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是</w:t>
            </w:r>
          </w:p>
        </w:tc>
      </w:tr>
      <w:tr w14:paraId="2EC151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9" w:type="pct"/>
            <w:vAlign w:val="center"/>
          </w:tcPr>
          <w:p w14:paraId="75DEF6B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3</w:t>
            </w:r>
          </w:p>
        </w:tc>
        <w:tc>
          <w:tcPr>
            <w:tcW w:w="753" w:type="pct"/>
            <w:vMerge w:val="restart"/>
            <w:vAlign w:val="center"/>
          </w:tcPr>
          <w:p w14:paraId="7EB16FE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山东省港口集团有限公司</w:t>
            </w:r>
          </w:p>
        </w:tc>
        <w:tc>
          <w:tcPr>
            <w:tcW w:w="1093" w:type="pct"/>
            <w:vAlign w:val="center"/>
          </w:tcPr>
          <w:p w14:paraId="4B52E4F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青岛港董家口矿石码头</w:t>
            </w:r>
          </w:p>
        </w:tc>
        <w:tc>
          <w:tcPr>
            <w:tcW w:w="708" w:type="pct"/>
            <w:vAlign w:val="center"/>
          </w:tcPr>
          <w:p w14:paraId="23863AE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连续洗车平台</w:t>
            </w:r>
          </w:p>
        </w:tc>
        <w:tc>
          <w:tcPr>
            <w:tcW w:w="820" w:type="pct"/>
            <w:vAlign w:val="center"/>
          </w:tcPr>
          <w:p w14:paraId="1C45602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通过铺装钢制格栅沥水</w:t>
            </w:r>
          </w:p>
        </w:tc>
        <w:tc>
          <w:tcPr>
            <w:tcW w:w="632" w:type="pct"/>
            <w:vAlign w:val="center"/>
          </w:tcPr>
          <w:p w14:paraId="15A1830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沉淀池</w:t>
            </w:r>
          </w:p>
        </w:tc>
        <w:tc>
          <w:tcPr>
            <w:tcW w:w="331" w:type="pct"/>
            <w:vAlign w:val="center"/>
          </w:tcPr>
          <w:p w14:paraId="2384438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451" w:type="pct"/>
            <w:vAlign w:val="center"/>
          </w:tcPr>
          <w:p w14:paraId="04BFDD2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是</w:t>
            </w:r>
          </w:p>
        </w:tc>
      </w:tr>
      <w:tr w14:paraId="2E0408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9" w:type="pct"/>
            <w:vAlign w:val="center"/>
          </w:tcPr>
          <w:p w14:paraId="1648F38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4</w:t>
            </w:r>
          </w:p>
        </w:tc>
        <w:tc>
          <w:tcPr>
            <w:tcW w:w="753" w:type="pct"/>
            <w:vMerge w:val="continue"/>
            <w:vAlign w:val="center"/>
          </w:tcPr>
          <w:p w14:paraId="4C71C41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093" w:type="pct"/>
            <w:vAlign w:val="center"/>
          </w:tcPr>
          <w:p w14:paraId="0EBAF68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烟台港莱州港公司</w:t>
            </w:r>
          </w:p>
        </w:tc>
        <w:tc>
          <w:tcPr>
            <w:tcW w:w="708" w:type="pct"/>
            <w:vAlign w:val="center"/>
          </w:tcPr>
          <w:p w14:paraId="2392BBC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连续洗车平台</w:t>
            </w:r>
          </w:p>
        </w:tc>
        <w:tc>
          <w:tcPr>
            <w:tcW w:w="820" w:type="pct"/>
            <w:vAlign w:val="center"/>
          </w:tcPr>
          <w:p w14:paraId="1B13BF5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通过铺装钢制格栅沥水</w:t>
            </w:r>
          </w:p>
        </w:tc>
        <w:tc>
          <w:tcPr>
            <w:tcW w:w="632" w:type="pct"/>
            <w:vAlign w:val="center"/>
          </w:tcPr>
          <w:p w14:paraId="26C7FAA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沉淀池</w:t>
            </w:r>
          </w:p>
        </w:tc>
        <w:tc>
          <w:tcPr>
            <w:tcW w:w="331" w:type="pct"/>
            <w:vAlign w:val="center"/>
          </w:tcPr>
          <w:p w14:paraId="520277F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451" w:type="pct"/>
            <w:vAlign w:val="center"/>
          </w:tcPr>
          <w:p w14:paraId="7D507CE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是</w:t>
            </w:r>
          </w:p>
        </w:tc>
      </w:tr>
      <w:tr w14:paraId="6B4027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9" w:type="pct"/>
            <w:vAlign w:val="center"/>
          </w:tcPr>
          <w:p w14:paraId="457B9CA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5</w:t>
            </w:r>
          </w:p>
        </w:tc>
        <w:tc>
          <w:tcPr>
            <w:tcW w:w="753" w:type="pct"/>
            <w:vMerge w:val="continue"/>
            <w:vAlign w:val="center"/>
          </w:tcPr>
          <w:p w14:paraId="398FBC4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093" w:type="pct"/>
            <w:vAlign w:val="center"/>
          </w:tcPr>
          <w:p w14:paraId="26347C9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日照港岚山公司</w:t>
            </w:r>
          </w:p>
        </w:tc>
        <w:tc>
          <w:tcPr>
            <w:tcW w:w="708" w:type="pct"/>
            <w:vAlign w:val="center"/>
          </w:tcPr>
          <w:p w14:paraId="76A3363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Style w:val="16"/>
                <w:rFonts w:hint="default" w:ascii="Times New Roman" w:hAnsi="Times New Roman" w:eastAsia="宋体" w:cs="Times New Roman"/>
                <w:b w:val="0"/>
                <w:bCs/>
                <w:sz w:val="21"/>
                <w:szCs w:val="21"/>
              </w:rPr>
              <w:t>隧道式</w:t>
            </w:r>
            <w:r>
              <w:rPr>
                <w:rStyle w:val="16"/>
                <w:rFonts w:hint="default" w:ascii="Times New Roman" w:hAnsi="Times New Roman" w:eastAsia="宋体" w:cs="Times New Roman"/>
                <w:b w:val="0"/>
                <w:bCs/>
                <w:sz w:val="21"/>
                <w:szCs w:val="21"/>
                <w:lang w:val="en-US" w:eastAsia="zh-CN"/>
              </w:rPr>
              <w:t>连续</w:t>
            </w:r>
            <w:r>
              <w:rPr>
                <w:rStyle w:val="16"/>
                <w:rFonts w:hint="default" w:ascii="Times New Roman" w:hAnsi="Times New Roman" w:eastAsia="宋体" w:cs="Times New Roman"/>
                <w:b w:val="0"/>
                <w:bCs/>
                <w:sz w:val="21"/>
                <w:szCs w:val="21"/>
              </w:rPr>
              <w:t>洗车</w:t>
            </w:r>
            <w:r>
              <w:rPr>
                <w:rStyle w:val="16"/>
                <w:rFonts w:hint="default" w:ascii="Times New Roman" w:hAnsi="Times New Roman" w:eastAsia="宋体" w:cs="Times New Roman"/>
                <w:b w:val="0"/>
                <w:bCs/>
                <w:sz w:val="21"/>
                <w:szCs w:val="21"/>
                <w:lang w:val="en-US" w:eastAsia="zh-CN"/>
              </w:rPr>
              <w:t>平台</w:t>
            </w:r>
          </w:p>
        </w:tc>
        <w:tc>
          <w:tcPr>
            <w:tcW w:w="820" w:type="pct"/>
            <w:vAlign w:val="center"/>
          </w:tcPr>
          <w:p w14:paraId="49D5D9C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通过铺装钢制格栅沥水</w:t>
            </w:r>
          </w:p>
        </w:tc>
        <w:tc>
          <w:tcPr>
            <w:tcW w:w="632" w:type="pct"/>
            <w:vAlign w:val="center"/>
          </w:tcPr>
          <w:p w14:paraId="3261F8C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沉淀池</w:t>
            </w:r>
          </w:p>
        </w:tc>
        <w:tc>
          <w:tcPr>
            <w:tcW w:w="331" w:type="pct"/>
            <w:vAlign w:val="center"/>
          </w:tcPr>
          <w:p w14:paraId="13CD079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451" w:type="pct"/>
            <w:vAlign w:val="center"/>
          </w:tcPr>
          <w:p w14:paraId="5AA8EF2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是</w:t>
            </w:r>
          </w:p>
        </w:tc>
      </w:tr>
      <w:tr w14:paraId="13569E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9" w:type="pct"/>
            <w:vAlign w:val="center"/>
          </w:tcPr>
          <w:p w14:paraId="770DF14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6</w:t>
            </w:r>
          </w:p>
        </w:tc>
        <w:tc>
          <w:tcPr>
            <w:tcW w:w="753" w:type="pct"/>
            <w:vMerge w:val="continue"/>
            <w:vAlign w:val="center"/>
          </w:tcPr>
          <w:p w14:paraId="1ADA033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093" w:type="pct"/>
            <w:vAlign w:val="center"/>
          </w:tcPr>
          <w:p w14:paraId="014C146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日照港海港装卸公司</w:t>
            </w:r>
          </w:p>
        </w:tc>
        <w:tc>
          <w:tcPr>
            <w:tcW w:w="708" w:type="pct"/>
            <w:vAlign w:val="center"/>
          </w:tcPr>
          <w:p w14:paraId="4E113BD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Style w:val="16"/>
                <w:rFonts w:hint="default" w:ascii="Times New Roman" w:hAnsi="Times New Roman" w:eastAsia="宋体" w:cs="Times New Roman"/>
                <w:b w:val="0"/>
                <w:bCs/>
                <w:sz w:val="21"/>
                <w:szCs w:val="21"/>
                <w:lang w:val="en-US" w:eastAsia="zh-CN"/>
              </w:rPr>
            </w:pPr>
            <w:r>
              <w:rPr>
                <w:rStyle w:val="16"/>
                <w:rFonts w:hint="default" w:ascii="Times New Roman" w:hAnsi="Times New Roman" w:eastAsia="宋体" w:cs="Times New Roman"/>
                <w:b w:val="0"/>
                <w:bCs/>
                <w:sz w:val="21"/>
                <w:szCs w:val="21"/>
                <w:lang w:val="en-US" w:eastAsia="zh-CN"/>
              </w:rPr>
              <w:t>小型洗车平台</w:t>
            </w:r>
          </w:p>
        </w:tc>
        <w:tc>
          <w:tcPr>
            <w:tcW w:w="820" w:type="pct"/>
            <w:vAlign w:val="center"/>
          </w:tcPr>
          <w:p w14:paraId="7535AA5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通过全钢结构底座沥水</w:t>
            </w:r>
          </w:p>
        </w:tc>
        <w:tc>
          <w:tcPr>
            <w:tcW w:w="632" w:type="pct"/>
            <w:vAlign w:val="center"/>
          </w:tcPr>
          <w:p w14:paraId="0F88B40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沉淀池</w:t>
            </w:r>
          </w:p>
        </w:tc>
        <w:tc>
          <w:tcPr>
            <w:tcW w:w="331" w:type="pct"/>
            <w:vAlign w:val="center"/>
          </w:tcPr>
          <w:p w14:paraId="3F2B67D9">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451" w:type="pct"/>
            <w:vAlign w:val="center"/>
          </w:tcPr>
          <w:p w14:paraId="46E8BA5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是</w:t>
            </w:r>
          </w:p>
        </w:tc>
      </w:tr>
      <w:tr w14:paraId="6FB7B2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9" w:type="pct"/>
            <w:vAlign w:val="center"/>
          </w:tcPr>
          <w:p w14:paraId="032970B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7</w:t>
            </w:r>
          </w:p>
        </w:tc>
        <w:tc>
          <w:tcPr>
            <w:tcW w:w="1847" w:type="pct"/>
            <w:gridSpan w:val="2"/>
            <w:vAlign w:val="center"/>
          </w:tcPr>
          <w:p w14:paraId="4818EB1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太仓武港矿石码头有限公司</w:t>
            </w:r>
          </w:p>
        </w:tc>
        <w:tc>
          <w:tcPr>
            <w:tcW w:w="708" w:type="pct"/>
            <w:vAlign w:val="center"/>
          </w:tcPr>
          <w:p w14:paraId="10FF2EF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820" w:type="pct"/>
            <w:vAlign w:val="center"/>
          </w:tcPr>
          <w:p w14:paraId="1D29291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通过全钢结构底座沥水</w:t>
            </w:r>
          </w:p>
        </w:tc>
        <w:tc>
          <w:tcPr>
            <w:tcW w:w="632" w:type="pct"/>
            <w:vAlign w:val="center"/>
          </w:tcPr>
          <w:p w14:paraId="12BC24D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沉淀池</w:t>
            </w:r>
          </w:p>
        </w:tc>
        <w:tc>
          <w:tcPr>
            <w:tcW w:w="331" w:type="pct"/>
            <w:vAlign w:val="center"/>
          </w:tcPr>
          <w:p w14:paraId="66AB2CC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451" w:type="pct"/>
            <w:vAlign w:val="center"/>
          </w:tcPr>
          <w:p w14:paraId="65C2479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是</w:t>
            </w:r>
          </w:p>
        </w:tc>
      </w:tr>
      <w:tr w14:paraId="3B3D6F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9" w:type="pct"/>
            <w:vAlign w:val="center"/>
          </w:tcPr>
          <w:p w14:paraId="3FC1B5D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8</w:t>
            </w:r>
          </w:p>
        </w:tc>
        <w:tc>
          <w:tcPr>
            <w:tcW w:w="1847" w:type="pct"/>
            <w:gridSpan w:val="2"/>
            <w:vAlign w:val="center"/>
          </w:tcPr>
          <w:p w14:paraId="54ED1FB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val="0"/>
                <w:sz w:val="21"/>
                <w:szCs w:val="21"/>
                <w:lang w:val="en-US" w:eastAsia="zh-CN"/>
              </w:rPr>
              <w:t>厦门港务集团石湖山码头有限公司</w:t>
            </w:r>
          </w:p>
        </w:tc>
        <w:tc>
          <w:tcPr>
            <w:tcW w:w="708" w:type="pct"/>
            <w:vAlign w:val="center"/>
          </w:tcPr>
          <w:p w14:paraId="527443C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820" w:type="pct"/>
            <w:vAlign w:val="center"/>
          </w:tcPr>
          <w:p w14:paraId="38E9ACE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通过铺装钢制格栅沥水</w:t>
            </w:r>
          </w:p>
        </w:tc>
        <w:tc>
          <w:tcPr>
            <w:tcW w:w="632" w:type="pct"/>
            <w:vAlign w:val="center"/>
          </w:tcPr>
          <w:p w14:paraId="790A7DF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沉淀池</w:t>
            </w:r>
          </w:p>
        </w:tc>
        <w:tc>
          <w:tcPr>
            <w:tcW w:w="331" w:type="pct"/>
            <w:vAlign w:val="center"/>
          </w:tcPr>
          <w:p w14:paraId="32D7697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451" w:type="pct"/>
            <w:vAlign w:val="center"/>
          </w:tcPr>
          <w:p w14:paraId="47AD989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是</w:t>
            </w:r>
          </w:p>
        </w:tc>
      </w:tr>
      <w:tr w14:paraId="0AEAB9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9" w:type="pct"/>
            <w:vAlign w:val="center"/>
          </w:tcPr>
          <w:p w14:paraId="09A0C1C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9</w:t>
            </w:r>
          </w:p>
        </w:tc>
        <w:tc>
          <w:tcPr>
            <w:tcW w:w="753" w:type="pct"/>
            <w:vMerge w:val="restart"/>
            <w:vAlign w:val="center"/>
          </w:tcPr>
          <w:p w14:paraId="6D5F66B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江苏连云港</w:t>
            </w:r>
          </w:p>
        </w:tc>
        <w:tc>
          <w:tcPr>
            <w:tcW w:w="1093" w:type="pct"/>
            <w:vAlign w:val="center"/>
          </w:tcPr>
          <w:p w14:paraId="5F5A382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江苏连云港港口股份有限公司东方港务分公司</w:t>
            </w:r>
          </w:p>
        </w:tc>
        <w:tc>
          <w:tcPr>
            <w:tcW w:w="708" w:type="pct"/>
            <w:vAlign w:val="center"/>
          </w:tcPr>
          <w:p w14:paraId="2D4F8DA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820" w:type="pct"/>
            <w:vAlign w:val="center"/>
          </w:tcPr>
          <w:p w14:paraId="5FE819C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通过铺装钢制格栅沥水</w:t>
            </w:r>
          </w:p>
        </w:tc>
        <w:tc>
          <w:tcPr>
            <w:tcW w:w="632" w:type="pct"/>
            <w:vAlign w:val="center"/>
          </w:tcPr>
          <w:p w14:paraId="65CFBA9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沉淀池</w:t>
            </w:r>
          </w:p>
        </w:tc>
        <w:tc>
          <w:tcPr>
            <w:tcW w:w="331" w:type="pct"/>
            <w:vAlign w:val="center"/>
          </w:tcPr>
          <w:p w14:paraId="43FE19A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451" w:type="pct"/>
            <w:vAlign w:val="center"/>
          </w:tcPr>
          <w:p w14:paraId="639E80F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是</w:t>
            </w:r>
          </w:p>
        </w:tc>
      </w:tr>
      <w:tr w14:paraId="70C748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9" w:type="pct"/>
            <w:vAlign w:val="center"/>
          </w:tcPr>
          <w:p w14:paraId="4FB21D80">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10</w:t>
            </w:r>
          </w:p>
        </w:tc>
        <w:tc>
          <w:tcPr>
            <w:tcW w:w="753" w:type="pct"/>
            <w:vMerge w:val="continue"/>
            <w:vAlign w:val="center"/>
          </w:tcPr>
          <w:p w14:paraId="3C537FDB">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p>
        </w:tc>
        <w:tc>
          <w:tcPr>
            <w:tcW w:w="1093" w:type="pct"/>
            <w:vAlign w:val="center"/>
          </w:tcPr>
          <w:p w14:paraId="44DD2BCD">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连云港新苏港码头有限公司</w:t>
            </w:r>
          </w:p>
        </w:tc>
        <w:tc>
          <w:tcPr>
            <w:tcW w:w="708" w:type="pct"/>
            <w:vAlign w:val="center"/>
          </w:tcPr>
          <w:p w14:paraId="0CD52048">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820" w:type="pct"/>
            <w:vAlign w:val="center"/>
          </w:tcPr>
          <w:p w14:paraId="50BCFF0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通过铺装钢制格栅沥水</w:t>
            </w:r>
          </w:p>
        </w:tc>
        <w:tc>
          <w:tcPr>
            <w:tcW w:w="632" w:type="pct"/>
            <w:vAlign w:val="center"/>
          </w:tcPr>
          <w:p w14:paraId="25A884E7">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沉淀池</w:t>
            </w:r>
          </w:p>
        </w:tc>
        <w:tc>
          <w:tcPr>
            <w:tcW w:w="331" w:type="pct"/>
            <w:vAlign w:val="center"/>
          </w:tcPr>
          <w:p w14:paraId="393102A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有</w:t>
            </w:r>
          </w:p>
        </w:tc>
        <w:tc>
          <w:tcPr>
            <w:tcW w:w="451" w:type="pct"/>
            <w:vAlign w:val="center"/>
          </w:tcPr>
          <w:p w14:paraId="7E4302AF">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是</w:t>
            </w:r>
          </w:p>
        </w:tc>
      </w:tr>
      <w:tr w14:paraId="082251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9" w:type="pct"/>
            <w:vAlign w:val="center"/>
          </w:tcPr>
          <w:p w14:paraId="742BBE1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11</w:t>
            </w:r>
          </w:p>
        </w:tc>
        <w:tc>
          <w:tcPr>
            <w:tcW w:w="1847" w:type="pct"/>
            <w:gridSpan w:val="2"/>
            <w:vAlign w:val="center"/>
          </w:tcPr>
          <w:p w14:paraId="629C4F1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江苏盐城港响水港区港务公司</w:t>
            </w:r>
          </w:p>
        </w:tc>
        <w:tc>
          <w:tcPr>
            <w:tcW w:w="708" w:type="pct"/>
            <w:vAlign w:val="center"/>
          </w:tcPr>
          <w:p w14:paraId="40403BD6">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820" w:type="pct"/>
            <w:vAlign w:val="center"/>
          </w:tcPr>
          <w:p w14:paraId="7C0B0DD5">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通过全钢结构底座沥水</w:t>
            </w:r>
          </w:p>
        </w:tc>
        <w:tc>
          <w:tcPr>
            <w:tcW w:w="632" w:type="pct"/>
            <w:vAlign w:val="center"/>
          </w:tcPr>
          <w:p w14:paraId="6C75DD5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沉淀池</w:t>
            </w:r>
          </w:p>
        </w:tc>
        <w:tc>
          <w:tcPr>
            <w:tcW w:w="331" w:type="pct"/>
            <w:vAlign w:val="center"/>
          </w:tcPr>
          <w:p w14:paraId="298E27B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451" w:type="pct"/>
            <w:vAlign w:val="center"/>
          </w:tcPr>
          <w:p w14:paraId="54C03934">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是</w:t>
            </w:r>
          </w:p>
        </w:tc>
      </w:tr>
      <w:tr w14:paraId="54F152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209" w:type="pct"/>
            <w:vAlign w:val="center"/>
          </w:tcPr>
          <w:p w14:paraId="05FB985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12</w:t>
            </w:r>
          </w:p>
        </w:tc>
        <w:tc>
          <w:tcPr>
            <w:tcW w:w="1847" w:type="pct"/>
            <w:gridSpan w:val="2"/>
            <w:vAlign w:val="center"/>
          </w:tcPr>
          <w:p w14:paraId="4A8E5953">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b w:val="0"/>
                <w:bCs w:val="0"/>
                <w:sz w:val="21"/>
                <w:szCs w:val="21"/>
                <w:lang w:val="en-US" w:eastAsia="zh-CN"/>
              </w:rPr>
            </w:pPr>
            <w:r>
              <w:rPr>
                <w:rFonts w:hint="default" w:ascii="Times New Roman" w:hAnsi="Times New Roman" w:cs="Times New Roman"/>
                <w:b w:val="0"/>
                <w:bCs w:val="0"/>
                <w:sz w:val="21"/>
                <w:szCs w:val="21"/>
                <w:lang w:val="en-US" w:eastAsia="zh-CN"/>
              </w:rPr>
              <w:t>福建罗屿港</w:t>
            </w:r>
          </w:p>
        </w:tc>
        <w:tc>
          <w:tcPr>
            <w:tcW w:w="708" w:type="pct"/>
            <w:vAlign w:val="center"/>
          </w:tcPr>
          <w:p w14:paraId="4B52D04C">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小型</w:t>
            </w:r>
            <w:r>
              <w:rPr>
                <w:rStyle w:val="16"/>
                <w:rFonts w:hint="default" w:ascii="Times New Roman" w:hAnsi="Times New Roman" w:eastAsia="宋体" w:cs="Times New Roman"/>
                <w:b w:val="0"/>
                <w:bCs/>
                <w:sz w:val="21"/>
                <w:szCs w:val="21"/>
                <w:lang w:val="en-US" w:eastAsia="zh-CN"/>
              </w:rPr>
              <w:t>洗车平台</w:t>
            </w:r>
          </w:p>
        </w:tc>
        <w:tc>
          <w:tcPr>
            <w:tcW w:w="820" w:type="pct"/>
            <w:vAlign w:val="center"/>
          </w:tcPr>
          <w:p w14:paraId="35ED3762">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通过全钢结构底座沥水</w:t>
            </w:r>
          </w:p>
        </w:tc>
        <w:tc>
          <w:tcPr>
            <w:tcW w:w="632" w:type="pct"/>
            <w:vAlign w:val="center"/>
          </w:tcPr>
          <w:p w14:paraId="51ED4BEE">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沉淀池</w:t>
            </w:r>
          </w:p>
        </w:tc>
        <w:tc>
          <w:tcPr>
            <w:tcW w:w="331" w:type="pct"/>
            <w:vAlign w:val="center"/>
          </w:tcPr>
          <w:p w14:paraId="6768AAB1">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无</w:t>
            </w:r>
          </w:p>
        </w:tc>
        <w:tc>
          <w:tcPr>
            <w:tcW w:w="451" w:type="pct"/>
            <w:vAlign w:val="center"/>
          </w:tcPr>
          <w:p w14:paraId="30DF19DA">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vertAlign w:val="baseline"/>
                <w:lang w:val="en-US" w:eastAsia="zh-CN"/>
                <w14:textFill>
                  <w14:solidFill>
                    <w14:schemeClr w14:val="tx1"/>
                  </w14:solidFill>
                </w14:textFill>
              </w:rPr>
              <w:t>是</w:t>
            </w:r>
          </w:p>
        </w:tc>
      </w:tr>
    </w:tbl>
    <w:p w14:paraId="645CFD5E">
      <w:pPr>
        <w:pageBreakBefore w:val="0"/>
        <w:kinsoku/>
        <w:wordWrap/>
        <w:overflowPunct/>
        <w:topLinePunct w:val="0"/>
        <w:bidi w:val="0"/>
        <w:ind w:left="0" w:right="0"/>
        <w:rPr>
          <w:rFonts w:hint="default" w:ascii="Times New Roman" w:hAnsi="Times New Roman" w:cs="Times New Roman"/>
          <w:lang w:val="en-US" w:eastAsia="zh-CN"/>
        </w:rPr>
      </w:pPr>
    </w:p>
    <w:p w14:paraId="2FB253CF">
      <w:pPr>
        <w:pageBreakBefore w:val="0"/>
        <w:kinsoku/>
        <w:wordWrap/>
        <w:overflowPunct/>
        <w:topLinePunct w:val="0"/>
        <w:bidi w:val="0"/>
        <w:ind w:left="0" w:right="0"/>
        <w:rPr>
          <w:rFonts w:hint="default" w:ascii="Times New Roman" w:hAnsi="Times New Roman" w:cs="Times New Roman"/>
          <w:lang w:val="en-US" w:eastAsia="zh-CN"/>
        </w:rPr>
        <w:sectPr>
          <w:pgSz w:w="16838" w:h="11906" w:orient="landscape"/>
          <w:pgMar w:top="1800" w:right="1440" w:bottom="1800" w:left="1440" w:header="851" w:footer="992" w:gutter="0"/>
          <w:pgNumType w:fmt="decimal"/>
          <w:cols w:space="425" w:num="1"/>
          <w:docGrid w:type="lines" w:linePitch="312" w:charSpace="0"/>
        </w:sectPr>
      </w:pPr>
    </w:p>
    <w:p w14:paraId="13F750C0">
      <w:pPr>
        <w:pStyle w:val="6"/>
        <w:bidi w:val="0"/>
        <w:rPr>
          <w:rFonts w:hint="default"/>
          <w:lang w:val="en-US" w:eastAsia="zh-CN"/>
        </w:rPr>
      </w:pPr>
      <w:r>
        <w:rPr>
          <w:rFonts w:hint="default"/>
          <w:lang w:val="en-US" w:eastAsia="zh-CN"/>
        </w:rPr>
        <w:t>由表</w:t>
      </w:r>
      <w:r>
        <w:rPr>
          <w:rFonts w:hint="eastAsia"/>
          <w:lang w:val="en-US" w:eastAsia="zh-CN"/>
        </w:rPr>
        <w:t>3-5</w:t>
      </w:r>
      <w:r>
        <w:rPr>
          <w:rFonts w:hint="default"/>
          <w:lang w:val="en-US" w:eastAsia="zh-CN"/>
        </w:rPr>
        <w:t>可知，在调研的12家样本港口洗车平台中，洗车平台通道污水收集主要通过铺装钢制格栅沥水和全钢结构底座沥水，比例为2:1</w:t>
      </w:r>
      <w:r>
        <w:rPr>
          <w:rFonts w:hint="eastAsia"/>
          <w:lang w:val="en-US" w:eastAsia="zh-CN"/>
        </w:rPr>
        <w:t>；污水收集处理设施除唐山港矿石码头和煤炭码头外，均为沉淀池；在污水处理过程中投加药剂的有3家；所有的港口将污水处理后均进行了回用。</w:t>
      </w:r>
    </w:p>
    <w:p w14:paraId="0E69FBA2">
      <w:pPr>
        <w:keepNext w:val="0"/>
        <w:keepLines w:val="0"/>
        <w:pageBreakBefore w:val="0"/>
        <w:widowControl w:val="0"/>
        <w:kinsoku/>
        <w:wordWrap/>
        <w:overflowPunct/>
        <w:topLinePunct w:val="0"/>
        <w:autoSpaceDE w:val="0"/>
        <w:autoSpaceDN w:val="0"/>
        <w:bidi w:val="0"/>
        <w:adjustRightInd/>
        <w:snapToGrid/>
        <w:ind w:left="0" w:right="0"/>
        <w:textAlignment w:val="auto"/>
        <w:outlineLvl w:val="9"/>
        <w:rPr>
          <w:rFonts w:hint="default" w:ascii="Times New Roman" w:hAnsi="Times New Roman" w:eastAsia="黑体" w:cs="Times New Roman"/>
          <w:spacing w:val="-2"/>
          <w:sz w:val="24"/>
          <w:szCs w:val="24"/>
          <w:lang w:val="en-US" w:eastAsia="zh-CN"/>
        </w:rPr>
      </w:pP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2</w:t>
      </w:r>
      <w:r>
        <w:rPr>
          <w:rFonts w:hint="eastAsia" w:ascii="Times New Roman" w:hAnsi="Times New Roman" w:eastAsia="黑体" w:cs="Times New Roman"/>
          <w:spacing w:val="-2"/>
          <w:sz w:val="24"/>
          <w:szCs w:val="24"/>
          <w:lang w:val="en-US" w:eastAsia="zh-CN"/>
        </w:rPr>
        <w:t>）</w:t>
      </w:r>
      <w:r>
        <w:rPr>
          <w:rFonts w:hint="default" w:ascii="Times New Roman" w:hAnsi="Times New Roman" w:eastAsia="黑体" w:cs="Times New Roman"/>
          <w:spacing w:val="-2"/>
          <w:sz w:val="24"/>
          <w:szCs w:val="24"/>
          <w:lang w:val="en-US" w:eastAsia="zh-CN"/>
        </w:rPr>
        <w:t xml:space="preserve"> 存在问题及解决方式</w:t>
      </w:r>
    </w:p>
    <w:p w14:paraId="4032DAFB">
      <w:pPr>
        <w:keepNext w:val="0"/>
        <w:keepLines w:val="0"/>
        <w:pageBreakBefore w:val="0"/>
        <w:widowControl w:val="0"/>
        <w:kinsoku/>
        <w:wordWrap/>
        <w:overflowPunct/>
        <w:topLinePunct w:val="0"/>
        <w:autoSpaceDE w:val="0"/>
        <w:autoSpaceDN w:val="0"/>
        <w:bidi w:val="0"/>
        <w:adjustRightInd/>
        <w:snapToGrid/>
        <w:spacing w:before="157" w:beforeLines="50"/>
        <w:ind w:left="0" w:right="0" w:firstLine="480" w:firstLineChars="200"/>
        <w:textAlignment w:val="auto"/>
        <w:rPr>
          <w:rFonts w:hint="default" w:ascii="Times New Roman" w:hAnsi="Times New Roman" w:eastAsia="PingFang SC" w:cs="Times New Roman"/>
          <w:b/>
          <w:bCs/>
          <w:i w:val="0"/>
          <w:iCs w:val="0"/>
          <w:caps w:val="0"/>
          <w:spacing w:val="0"/>
          <w:kern w:val="0"/>
          <w:sz w:val="24"/>
          <w:szCs w:val="24"/>
          <w:shd w:val="clear" w:fill="FFFFFF"/>
          <w:lang w:val="en-US" w:eastAsia="zh-CN" w:bidi="ar"/>
        </w:rPr>
      </w:pPr>
      <w:r>
        <w:rPr>
          <w:rFonts w:hint="default" w:ascii="Times New Roman" w:hAnsi="Times New Roman" w:eastAsia="PingFang SC" w:cs="Times New Roman"/>
          <w:b/>
          <w:bCs/>
          <w:i w:val="0"/>
          <w:iCs w:val="0"/>
          <w:caps w:val="0"/>
          <w:spacing w:val="0"/>
          <w:kern w:val="0"/>
          <w:sz w:val="24"/>
          <w:szCs w:val="24"/>
          <w:shd w:val="clear" w:fill="FFFFFF"/>
          <w:lang w:val="en-US" w:eastAsia="zh-CN" w:bidi="ar"/>
        </w:rPr>
        <w:t>1）洗车平台出口污水未能有效收集</w:t>
      </w:r>
    </w:p>
    <w:p w14:paraId="096A0FBF">
      <w:pPr>
        <w:pStyle w:val="6"/>
        <w:bidi w:val="0"/>
        <w:rPr>
          <w:rFonts w:hint="default" w:ascii="Times New Roman" w:hAnsi="Times New Roman" w:cs="Times New Roman"/>
          <w:lang w:val="en-US" w:eastAsia="zh-CN"/>
        </w:rPr>
      </w:pPr>
      <w:r>
        <w:rPr>
          <w:rFonts w:hint="default" w:ascii="Times New Roman" w:hAnsi="Times New Roman" w:cs="Times New Roman"/>
          <w:b/>
          <w:bCs/>
          <w:lang w:val="en-US" w:eastAsia="zh-CN"/>
        </w:rPr>
        <w:t>问题描述：</w:t>
      </w:r>
      <w:r>
        <w:rPr>
          <w:rFonts w:hint="default" w:ascii="Times New Roman" w:hAnsi="Times New Roman" w:cs="Times New Roman"/>
          <w:lang w:val="en-US" w:eastAsia="zh-CN"/>
        </w:rPr>
        <w:t>山东港口日照港海港装卸公司洗车平台在实际运行中，曾存在洗车平台出口污泥清理不及时，随车辆粘带至道路问题。</w:t>
      </w:r>
    </w:p>
    <w:p w14:paraId="349EC1D3">
      <w:pPr>
        <w:pStyle w:val="6"/>
        <w:bidi w:val="0"/>
        <w:rPr>
          <w:rFonts w:hint="default" w:ascii="Times New Roman" w:hAnsi="Times New Roman" w:cs="Times New Roman"/>
          <w:lang w:val="en-US" w:eastAsia="zh-CN"/>
        </w:rPr>
      </w:pPr>
      <w:r>
        <w:rPr>
          <w:rFonts w:hint="default" w:ascii="Times New Roman" w:hAnsi="Times New Roman" w:cs="Times New Roman"/>
          <w:b/>
          <w:bCs/>
          <w:lang w:val="en-US" w:eastAsia="zh-CN"/>
        </w:rPr>
        <w:t>解决方式：</w:t>
      </w:r>
      <w:r>
        <w:rPr>
          <w:rFonts w:hint="default" w:ascii="Times New Roman" w:hAnsi="Times New Roman" w:cs="Times New Roman"/>
          <w:lang w:val="en-US" w:eastAsia="zh-CN"/>
        </w:rPr>
        <w:t>企业在洗车平台车辆通道南、北两侧增设路面手动雾炮，用于车辆进出时抑尘和粘带货物清理，同时，加强洗扫车定时清扫，配合人工巡视现场，进一步解决出口污泥粘带至道路的问题。</w:t>
      </w:r>
    </w:p>
    <w:p w14:paraId="61410474">
      <w:pPr>
        <w:keepNext w:val="0"/>
        <w:keepLines w:val="0"/>
        <w:pageBreakBefore w:val="0"/>
        <w:widowControl w:val="0"/>
        <w:kinsoku/>
        <w:wordWrap/>
        <w:overflowPunct/>
        <w:topLinePunct w:val="0"/>
        <w:autoSpaceDE w:val="0"/>
        <w:autoSpaceDN w:val="0"/>
        <w:bidi w:val="0"/>
        <w:adjustRightInd/>
        <w:snapToGrid/>
        <w:spacing w:before="157" w:beforeLines="50"/>
        <w:ind w:left="0" w:right="0" w:firstLine="480" w:firstLineChars="200"/>
        <w:textAlignment w:val="auto"/>
        <w:rPr>
          <w:rFonts w:hint="default" w:ascii="Times New Roman" w:hAnsi="Times New Roman" w:eastAsia="PingFang SC" w:cs="Times New Roman"/>
          <w:b/>
          <w:bCs/>
          <w:i w:val="0"/>
          <w:iCs w:val="0"/>
          <w:caps w:val="0"/>
          <w:spacing w:val="0"/>
          <w:kern w:val="0"/>
          <w:sz w:val="24"/>
          <w:szCs w:val="24"/>
          <w:shd w:val="clear" w:fill="FFFFFF"/>
          <w:lang w:val="en-US" w:eastAsia="zh-CN" w:bidi="ar"/>
        </w:rPr>
      </w:pPr>
      <w:r>
        <w:rPr>
          <w:rFonts w:hint="default" w:ascii="Times New Roman" w:hAnsi="Times New Roman" w:eastAsia="PingFang SC" w:cs="Times New Roman"/>
          <w:b/>
          <w:bCs/>
          <w:i w:val="0"/>
          <w:iCs w:val="0"/>
          <w:caps w:val="0"/>
          <w:spacing w:val="0"/>
          <w:kern w:val="0"/>
          <w:sz w:val="24"/>
          <w:szCs w:val="24"/>
          <w:shd w:val="clear" w:fill="FFFFFF"/>
          <w:lang w:val="en-US" w:eastAsia="zh-CN" w:bidi="ar"/>
        </w:rPr>
        <w:t>2）污水收集效果不佳</w:t>
      </w:r>
    </w:p>
    <w:p w14:paraId="7E45E63F">
      <w:pPr>
        <w:pStyle w:val="6"/>
        <w:bidi w:val="0"/>
        <w:rPr>
          <w:rFonts w:hint="default" w:ascii="Times New Roman" w:hAnsi="Times New Roman" w:eastAsia="PingFang SC" w:cs="Times New Roman"/>
          <w:i w:val="0"/>
          <w:iCs w:val="0"/>
          <w:caps w:val="0"/>
          <w:spacing w:val="0"/>
          <w:kern w:val="0"/>
          <w:sz w:val="24"/>
          <w:szCs w:val="24"/>
          <w:shd w:val="clear" w:fill="FFFFFF"/>
          <w:lang w:val="en-US" w:eastAsia="zh-CN" w:bidi="ar"/>
        </w:rPr>
      </w:pPr>
      <w:r>
        <w:rPr>
          <w:rFonts w:hint="default" w:ascii="Times New Roman" w:hAnsi="Times New Roman" w:cs="Times New Roman"/>
          <w:b/>
          <w:bCs/>
          <w:lang w:val="en-US" w:eastAsia="zh-CN"/>
        </w:rPr>
        <w:t>问题描述：</w:t>
      </w:r>
      <w:r>
        <w:rPr>
          <w:rFonts w:hint="default" w:ascii="Times New Roman" w:hAnsi="Times New Roman" w:eastAsia="PingFang SC" w:cs="Times New Roman"/>
          <w:i w:val="0"/>
          <w:iCs w:val="0"/>
          <w:caps w:val="0"/>
          <w:spacing w:val="0"/>
          <w:kern w:val="0"/>
          <w:sz w:val="24"/>
          <w:szCs w:val="24"/>
          <w:shd w:val="clear" w:fill="FFFFFF"/>
          <w:lang w:val="en-US" w:eastAsia="zh-CN" w:bidi="ar"/>
        </w:rPr>
        <w:t>洗车过程中会产生大量污水，污水中裹挟大量的悬浮物，由于洗车平台多数均依靠重力流对污水进行收集，大量的悬浮物沉积在污水收集沟槽内形成污泥，容易导致收集系统堵塞，降低污水收集效能，如未及时清理，会导致洗车平台及周边积水，影响车辆冲洗效果。严重时，污水外溢可能对周边环境造成污染。</w:t>
      </w:r>
    </w:p>
    <w:p w14:paraId="6279CA7B">
      <w:pPr>
        <w:pStyle w:val="6"/>
        <w:bidi w:val="0"/>
        <w:rPr>
          <w:rFonts w:hint="default" w:ascii="Times New Roman" w:hAnsi="Times New Roman" w:cs="Times New Roman"/>
          <w:lang w:val="en-US" w:eastAsia="zh-CN"/>
        </w:rPr>
      </w:pPr>
      <w:r>
        <w:rPr>
          <w:rFonts w:hint="default" w:ascii="Times New Roman" w:hAnsi="Times New Roman" w:cs="Times New Roman"/>
          <w:b/>
          <w:bCs/>
          <w:lang w:val="en-US" w:eastAsia="zh-CN"/>
        </w:rPr>
        <w:t>解决方式：</w:t>
      </w:r>
      <w:r>
        <w:rPr>
          <w:rFonts w:hint="default" w:ascii="Times New Roman" w:hAnsi="Times New Roman" w:cs="Times New Roman"/>
          <w:lang w:val="en-US" w:eastAsia="zh-CN"/>
        </w:rPr>
        <w:t>加强人工定时清扫，配合人工巡视现场，解决污水收集沟槽堵塞问题。</w:t>
      </w:r>
    </w:p>
    <w:p w14:paraId="281E6AEB">
      <w:pPr>
        <w:keepNext w:val="0"/>
        <w:keepLines w:val="0"/>
        <w:pageBreakBefore w:val="0"/>
        <w:widowControl w:val="0"/>
        <w:kinsoku/>
        <w:wordWrap/>
        <w:overflowPunct/>
        <w:topLinePunct w:val="0"/>
        <w:autoSpaceDE w:val="0"/>
        <w:autoSpaceDN w:val="0"/>
        <w:bidi w:val="0"/>
        <w:adjustRightInd/>
        <w:snapToGrid/>
        <w:spacing w:before="157" w:beforeLines="50"/>
        <w:ind w:left="0" w:right="0" w:firstLine="480" w:firstLineChars="200"/>
        <w:textAlignment w:val="auto"/>
        <w:rPr>
          <w:rFonts w:hint="default" w:ascii="Times New Roman" w:hAnsi="Times New Roman" w:eastAsia="PingFang SC" w:cs="Times New Roman"/>
          <w:b/>
          <w:bCs/>
          <w:i w:val="0"/>
          <w:iCs w:val="0"/>
          <w:caps w:val="0"/>
          <w:spacing w:val="0"/>
          <w:kern w:val="0"/>
          <w:sz w:val="24"/>
          <w:szCs w:val="24"/>
          <w:shd w:val="clear" w:fill="FFFFFF"/>
          <w:lang w:val="en-US" w:eastAsia="zh-CN" w:bidi="ar"/>
        </w:rPr>
      </w:pPr>
      <w:r>
        <w:rPr>
          <w:rFonts w:hint="default" w:ascii="Times New Roman" w:hAnsi="Times New Roman" w:eastAsia="PingFang SC" w:cs="Times New Roman"/>
          <w:b/>
          <w:bCs/>
          <w:i w:val="0"/>
          <w:iCs w:val="0"/>
          <w:caps w:val="0"/>
          <w:spacing w:val="0"/>
          <w:kern w:val="0"/>
          <w:sz w:val="24"/>
          <w:szCs w:val="24"/>
          <w:shd w:val="clear" w:fill="FFFFFF"/>
          <w:lang w:val="en-US" w:eastAsia="zh-CN" w:bidi="ar"/>
        </w:rPr>
        <w:t>3）污水处理效果不佳</w:t>
      </w:r>
    </w:p>
    <w:p w14:paraId="4DA0AC35">
      <w:pPr>
        <w:pStyle w:val="6"/>
        <w:bidi w:val="0"/>
        <w:rPr>
          <w:rFonts w:hint="default" w:ascii="Times New Roman" w:hAnsi="Times New Roman" w:cs="Times New Roman"/>
          <w:b/>
          <w:bCs/>
          <w:lang w:val="en-US" w:eastAsia="zh-CN"/>
        </w:rPr>
      </w:pPr>
      <w:r>
        <w:rPr>
          <w:rFonts w:hint="default" w:ascii="Times New Roman" w:hAnsi="Times New Roman" w:eastAsia="宋体" w:cs="Times New Roman"/>
          <w:b/>
          <w:bCs/>
          <w:lang w:val="en-US" w:eastAsia="zh-CN"/>
        </w:rPr>
        <w:t>①</w:t>
      </w:r>
      <w:r>
        <w:rPr>
          <w:rFonts w:hint="default" w:ascii="Times New Roman" w:hAnsi="Times New Roman" w:cs="Times New Roman"/>
          <w:b/>
          <w:bCs/>
          <w:lang w:val="en-US" w:eastAsia="zh-CN"/>
        </w:rPr>
        <w:t>案例一：</w:t>
      </w:r>
      <w:r>
        <w:rPr>
          <w:rFonts w:hint="default" w:ascii="Times New Roman" w:hAnsi="Times New Roman" w:cs="Times New Roman"/>
          <w:lang w:val="en-US" w:eastAsia="zh-CN"/>
        </w:rPr>
        <w:t>山东港口日照港海港装卸公司</w:t>
      </w:r>
    </w:p>
    <w:p w14:paraId="34FDB671">
      <w:pPr>
        <w:pStyle w:val="6"/>
        <w:bidi w:val="0"/>
        <w:rPr>
          <w:rFonts w:hint="default" w:ascii="Times New Roman" w:hAnsi="Times New Roman" w:cs="Times New Roman"/>
          <w:lang w:val="en-US" w:eastAsia="zh-CN"/>
        </w:rPr>
      </w:pPr>
      <w:r>
        <w:rPr>
          <w:rFonts w:hint="default" w:ascii="Times New Roman" w:hAnsi="Times New Roman" w:cs="Times New Roman"/>
          <w:b/>
          <w:bCs/>
          <w:lang w:val="en-US" w:eastAsia="zh-CN"/>
        </w:rPr>
        <w:t>问题描述：</w:t>
      </w:r>
      <w:r>
        <w:rPr>
          <w:rFonts w:hint="default" w:ascii="Times New Roman" w:hAnsi="Times New Roman" w:cs="Times New Roman"/>
          <w:lang w:val="en-US" w:eastAsia="zh-CN"/>
        </w:rPr>
        <w:t>山东港口日照港海港装卸公司洗车平台在实际运行中，曾存在沉淀池污泥清理不及时，导致循环水水质下降，进一步导致喷头堵塞的情形。</w:t>
      </w:r>
    </w:p>
    <w:p w14:paraId="43DADC56">
      <w:pPr>
        <w:pStyle w:val="6"/>
        <w:bidi w:val="0"/>
        <w:rPr>
          <w:rFonts w:hint="default" w:ascii="Times New Roman" w:hAnsi="Times New Roman" w:eastAsia="宋体" w:cs="Times New Roman"/>
          <w:kern w:val="0"/>
          <w:sz w:val="24"/>
          <w:szCs w:val="24"/>
          <w:lang w:val="en-US" w:eastAsia="zh-CN" w:bidi="ar"/>
        </w:rPr>
      </w:pPr>
      <w:r>
        <w:rPr>
          <w:rFonts w:hint="default" w:ascii="Times New Roman" w:hAnsi="Times New Roman" w:cs="Times New Roman"/>
          <w:b/>
          <w:bCs/>
          <w:lang w:val="en-US" w:eastAsia="zh-CN"/>
        </w:rPr>
        <w:t>解决方式：</w:t>
      </w:r>
      <w:r>
        <w:rPr>
          <w:rFonts w:hint="default" w:ascii="Times New Roman" w:hAnsi="Times New Roman" w:cs="Times New Roman"/>
          <w:lang w:val="en-US" w:eastAsia="zh-CN"/>
        </w:rPr>
        <w:t>企业采取了提高沉淀池的清淤频次的方式改善循环水水质，如清理频次由30天/次改为20天/次，通过缩短沉淀时间，改善循环水水质。</w:t>
      </w:r>
    </w:p>
    <w:p w14:paraId="1525F9BE">
      <w:pPr>
        <w:pStyle w:val="6"/>
        <w:bidi w:val="0"/>
        <w:rPr>
          <w:rFonts w:hint="default" w:ascii="Times New Roman" w:hAnsi="Times New Roman" w:cs="Times New Roman"/>
          <w:b/>
          <w:bCs/>
          <w:lang w:val="en-US" w:eastAsia="zh-CN"/>
        </w:rPr>
      </w:pPr>
      <w:r>
        <w:rPr>
          <w:rFonts w:hint="default" w:ascii="Times New Roman" w:hAnsi="Times New Roman" w:eastAsia="宋体" w:cs="Times New Roman"/>
          <w:b/>
          <w:bCs/>
          <w:lang w:val="en-US" w:eastAsia="zh-CN"/>
        </w:rPr>
        <w:t>②</w:t>
      </w:r>
      <w:r>
        <w:rPr>
          <w:rFonts w:hint="default" w:ascii="Times New Roman" w:hAnsi="Times New Roman" w:cs="Times New Roman"/>
          <w:b/>
          <w:bCs/>
          <w:lang w:val="en-US" w:eastAsia="zh-CN"/>
        </w:rPr>
        <w:t>案例二：</w:t>
      </w:r>
      <w:r>
        <w:rPr>
          <w:rFonts w:hint="default" w:ascii="Times New Roman" w:hAnsi="Times New Roman" w:eastAsia="宋体" w:cs="Times New Roman"/>
          <w:kern w:val="0"/>
          <w:sz w:val="24"/>
          <w:szCs w:val="24"/>
          <w:lang w:val="en-US" w:eastAsia="zh-CN" w:bidi="ar"/>
        </w:rPr>
        <w:t>连云港新苏港码头有限公司</w:t>
      </w:r>
    </w:p>
    <w:p w14:paraId="3E2B3928">
      <w:pPr>
        <w:pStyle w:val="6"/>
        <w:bidi w:val="0"/>
        <w:rPr>
          <w:rFonts w:hint="default" w:ascii="Times New Roman" w:hAnsi="Times New Roman" w:eastAsia="宋体" w:cs="Times New Roman"/>
          <w:kern w:val="0"/>
          <w:sz w:val="24"/>
          <w:szCs w:val="24"/>
          <w:lang w:val="en-US" w:eastAsia="zh-CN" w:bidi="ar"/>
        </w:rPr>
      </w:pPr>
      <w:r>
        <w:rPr>
          <w:rFonts w:hint="default" w:ascii="Times New Roman" w:hAnsi="Times New Roman" w:cs="Times New Roman"/>
          <w:b/>
          <w:bCs/>
          <w:lang w:val="en-US" w:eastAsia="zh-CN"/>
        </w:rPr>
        <w:t>问题描述：</w:t>
      </w:r>
      <w:r>
        <w:rPr>
          <w:rFonts w:hint="default" w:ascii="Times New Roman" w:hAnsi="Times New Roman" w:eastAsia="宋体" w:cs="Times New Roman"/>
          <w:kern w:val="0"/>
          <w:sz w:val="24"/>
          <w:szCs w:val="24"/>
          <w:lang w:val="en-US" w:eastAsia="zh-CN" w:bidi="ar"/>
        </w:rPr>
        <w:t>连云港新苏港码头有限公司</w:t>
      </w:r>
      <w:r>
        <w:rPr>
          <w:rFonts w:hint="default" w:ascii="Times New Roman" w:hAnsi="Times New Roman" w:cs="Times New Roman"/>
          <w:lang w:val="en-US" w:eastAsia="zh-CN"/>
        </w:rPr>
        <w:t>洗车平台在实际运行中，随着</w:t>
      </w:r>
      <w:r>
        <w:rPr>
          <w:rFonts w:hint="default" w:ascii="Times New Roman" w:hAnsi="Times New Roman" w:eastAsia="宋体" w:cs="Times New Roman"/>
          <w:kern w:val="0"/>
          <w:sz w:val="24"/>
          <w:szCs w:val="24"/>
          <w:lang w:val="en-US" w:eastAsia="zh-CN" w:bidi="ar"/>
        </w:rPr>
        <w:t>自提车辆</w:t>
      </w:r>
      <w:r>
        <w:rPr>
          <w:rFonts w:hint="default" w:ascii="Times New Roman" w:hAnsi="Times New Roman" w:eastAsia="宋体" w:cs="Times New Roman"/>
          <w:kern w:val="0"/>
          <w:sz w:val="24"/>
          <w:szCs w:val="24"/>
          <w:lang w:eastAsia="zh-CN" w:bidi="ar"/>
        </w:rPr>
        <w:t>流量越来越大</w:t>
      </w:r>
      <w:r>
        <w:rPr>
          <w:rFonts w:hint="default" w:ascii="Times New Roman" w:hAnsi="Times New Roman" w:eastAsia="宋体" w:cs="Times New Roman"/>
          <w:kern w:val="0"/>
          <w:sz w:val="24"/>
          <w:szCs w:val="24"/>
          <w:lang w:val="en-US" w:eastAsia="zh-CN" w:bidi="ar"/>
        </w:rPr>
        <w:t>，针对冲洗平台的使用</w:t>
      </w:r>
      <w:r>
        <w:rPr>
          <w:rFonts w:hint="default" w:ascii="Times New Roman" w:hAnsi="Times New Roman" w:eastAsia="宋体" w:cs="Times New Roman"/>
          <w:kern w:val="0"/>
          <w:sz w:val="24"/>
          <w:szCs w:val="24"/>
          <w:lang w:eastAsia="zh-CN" w:bidi="ar"/>
        </w:rPr>
        <w:t>、</w:t>
      </w:r>
      <w:r>
        <w:rPr>
          <w:rFonts w:hint="default" w:ascii="Times New Roman" w:hAnsi="Times New Roman" w:eastAsia="宋体" w:cs="Times New Roman"/>
          <w:kern w:val="0"/>
          <w:sz w:val="24"/>
          <w:szCs w:val="24"/>
          <w:lang w:val="en-US" w:eastAsia="zh-CN" w:bidi="ar"/>
        </w:rPr>
        <w:t>管理带来了</w:t>
      </w:r>
      <w:r>
        <w:rPr>
          <w:rFonts w:hint="default" w:ascii="Times New Roman" w:hAnsi="Times New Roman" w:eastAsia="宋体" w:cs="Times New Roman"/>
          <w:kern w:val="0"/>
          <w:sz w:val="24"/>
          <w:szCs w:val="24"/>
          <w:lang w:eastAsia="zh-CN" w:bidi="ar"/>
        </w:rPr>
        <w:t>巨大</w:t>
      </w:r>
      <w:r>
        <w:rPr>
          <w:rFonts w:hint="default" w:ascii="Times New Roman" w:hAnsi="Times New Roman" w:eastAsia="宋体" w:cs="Times New Roman"/>
          <w:kern w:val="0"/>
          <w:sz w:val="24"/>
          <w:szCs w:val="24"/>
          <w:lang w:val="en-US" w:eastAsia="zh-CN" w:bidi="ar"/>
        </w:rPr>
        <w:t>的挑战。</w:t>
      </w:r>
      <w:r>
        <w:rPr>
          <w:rFonts w:hint="default" w:ascii="Times New Roman" w:hAnsi="Times New Roman" w:cs="Times New Roman"/>
          <w:lang w:val="en-US" w:eastAsia="zh-CN"/>
        </w:rPr>
        <w:t>主要面临沉淀池污水处理效果不佳，导致循环</w:t>
      </w:r>
      <w:r>
        <w:rPr>
          <w:rFonts w:hint="default" w:ascii="Times New Roman" w:hAnsi="Times New Roman" w:eastAsia="宋体" w:cs="Times New Roman"/>
          <w:kern w:val="0"/>
          <w:sz w:val="24"/>
          <w:szCs w:val="24"/>
          <w:lang w:val="en-US" w:eastAsia="zh-CN" w:bidi="ar"/>
        </w:rPr>
        <w:t>用水水质下降影响车辆冲洗质量，甚至造成喷头堵塞，频繁的停用清理也大大影响了洗车平台的正常运行。为此，企业制定实施了诸如增加沉淀池清理频次、持续换水、调整水位等多种方案，均未取得显著的效果。</w:t>
      </w:r>
    </w:p>
    <w:p w14:paraId="43FAB0F1">
      <w:pPr>
        <w:pStyle w:val="6"/>
        <w:bidi w:val="0"/>
        <w:rPr>
          <w:rFonts w:hint="default" w:ascii="Times New Roman" w:hAnsi="Times New Roman" w:eastAsia="宋体" w:cs="Times New Roman"/>
          <w:kern w:val="0"/>
          <w:sz w:val="24"/>
          <w:szCs w:val="24"/>
          <w:lang w:val="en-US" w:eastAsia="zh-CN" w:bidi="ar"/>
        </w:rPr>
      </w:pPr>
      <w:r>
        <w:rPr>
          <w:rFonts w:hint="default" w:ascii="Times New Roman" w:hAnsi="Times New Roman" w:cs="Times New Roman"/>
          <w:b/>
          <w:bCs/>
          <w:lang w:val="en-US" w:eastAsia="zh-CN"/>
        </w:rPr>
        <w:t>解决方式：</w:t>
      </w:r>
      <w:r>
        <w:rPr>
          <w:rFonts w:hint="default" w:ascii="Times New Roman" w:hAnsi="Times New Roman" w:eastAsia="宋体" w:cs="Times New Roman"/>
          <w:kern w:val="0"/>
          <w:sz w:val="24"/>
          <w:szCs w:val="24"/>
          <w:lang w:val="en-US" w:eastAsia="zh-CN" w:bidi="ar"/>
        </w:rPr>
        <w:t>企业经过多次实践，提出了通过提高污泥清理质量和投加药剂增强污水中悬浮物沉淀效果，提高循环水水质的办法，解决了该问题。同时，为了药剂投加常态化、易操作，专门为洗车平台设置了絮凝剂、混凝剂混配喷洒一体化装置。</w:t>
      </w:r>
    </w:p>
    <w:p w14:paraId="66A1DD4F">
      <w:pPr>
        <w:keepNext w:val="0"/>
        <w:keepLines w:val="0"/>
        <w:pageBreakBefore w:val="0"/>
        <w:widowControl w:val="0"/>
        <w:kinsoku/>
        <w:wordWrap/>
        <w:overflowPunct/>
        <w:topLinePunct w:val="0"/>
        <w:autoSpaceDE w:val="0"/>
        <w:autoSpaceDN w:val="0"/>
        <w:bidi w:val="0"/>
        <w:adjustRightInd/>
        <w:snapToGrid/>
        <w:spacing w:before="157" w:beforeLines="50"/>
        <w:ind w:left="0" w:right="0" w:firstLine="480" w:firstLineChars="200"/>
        <w:textAlignment w:val="auto"/>
        <w:rPr>
          <w:rFonts w:hint="default" w:ascii="Times New Roman" w:hAnsi="Times New Roman" w:eastAsia="PingFang SC" w:cs="Times New Roman"/>
          <w:b/>
          <w:bCs/>
          <w:i w:val="0"/>
          <w:iCs w:val="0"/>
          <w:caps w:val="0"/>
          <w:spacing w:val="0"/>
          <w:kern w:val="0"/>
          <w:sz w:val="24"/>
          <w:szCs w:val="24"/>
          <w:shd w:val="clear" w:fill="FFFFFF"/>
          <w:lang w:val="en-US" w:eastAsia="zh-CN" w:bidi="ar"/>
        </w:rPr>
      </w:pPr>
      <w:r>
        <w:rPr>
          <w:rFonts w:hint="default" w:ascii="Times New Roman" w:hAnsi="Times New Roman" w:eastAsia="PingFang SC" w:cs="Times New Roman"/>
          <w:b/>
          <w:bCs/>
          <w:i w:val="0"/>
          <w:iCs w:val="0"/>
          <w:caps w:val="0"/>
          <w:spacing w:val="0"/>
          <w:kern w:val="0"/>
          <w:sz w:val="24"/>
          <w:szCs w:val="24"/>
          <w:shd w:val="clear" w:fill="FFFFFF"/>
          <w:lang w:val="en-US" w:eastAsia="zh-CN" w:bidi="ar"/>
        </w:rPr>
        <w:t>4）污泥清运困难</w:t>
      </w:r>
    </w:p>
    <w:p w14:paraId="307025C5">
      <w:pPr>
        <w:pStyle w:val="6"/>
        <w:bidi w:val="0"/>
        <w:rPr>
          <w:rFonts w:hint="default" w:ascii="Times New Roman" w:hAnsi="Times New Roman" w:eastAsia="宋体" w:cs="Times New Roman"/>
          <w:sz w:val="24"/>
          <w:szCs w:val="24"/>
          <w:lang w:val="en-US" w:eastAsia="zh-CN"/>
        </w:rPr>
      </w:pPr>
      <w:r>
        <w:rPr>
          <w:rFonts w:hint="default" w:ascii="Times New Roman" w:hAnsi="Times New Roman" w:cs="Times New Roman"/>
          <w:b/>
          <w:bCs/>
          <w:lang w:val="en-US" w:eastAsia="zh-CN"/>
        </w:rPr>
        <w:t>问题描述：</w:t>
      </w:r>
      <w:r>
        <w:rPr>
          <w:rFonts w:hint="default" w:ascii="Times New Roman" w:hAnsi="Times New Roman" w:eastAsia="宋体" w:cs="Times New Roman"/>
          <w:sz w:val="24"/>
          <w:szCs w:val="24"/>
          <w:lang w:val="en-US" w:eastAsia="zh-CN"/>
        </w:rPr>
        <w:t>部分港口小型</w:t>
      </w:r>
      <w:r>
        <w:rPr>
          <w:rFonts w:hint="default" w:ascii="Times New Roman" w:hAnsi="Times New Roman" w:eastAsia="宋体" w:cs="Times New Roman"/>
          <w:sz w:val="24"/>
          <w:szCs w:val="24"/>
        </w:rPr>
        <w:t>洗车平台</w:t>
      </w:r>
      <w:r>
        <w:rPr>
          <w:rFonts w:hint="default" w:ascii="Times New Roman" w:hAnsi="Times New Roman" w:eastAsia="宋体" w:cs="Times New Roman"/>
          <w:sz w:val="24"/>
          <w:szCs w:val="24"/>
          <w:lang w:val="en-US" w:eastAsia="zh-CN"/>
        </w:rPr>
        <w:t>沉淀池容积相对较小，污泥</w:t>
      </w:r>
      <w:r>
        <w:rPr>
          <w:rFonts w:hint="default" w:ascii="Times New Roman" w:hAnsi="Times New Roman" w:eastAsia="宋体" w:cs="Times New Roman"/>
          <w:sz w:val="24"/>
          <w:szCs w:val="24"/>
        </w:rPr>
        <w:t>清理</w:t>
      </w:r>
      <w:r>
        <w:rPr>
          <w:rFonts w:hint="default" w:ascii="Times New Roman" w:hAnsi="Times New Roman" w:eastAsia="宋体" w:cs="Times New Roman"/>
          <w:sz w:val="24"/>
          <w:szCs w:val="24"/>
          <w:lang w:val="en-US" w:eastAsia="zh-CN"/>
        </w:rPr>
        <w:t>多数均</w:t>
      </w:r>
      <w:r>
        <w:rPr>
          <w:rFonts w:hint="default" w:ascii="Times New Roman" w:hAnsi="Times New Roman" w:eastAsia="宋体" w:cs="Times New Roman"/>
          <w:sz w:val="24"/>
          <w:szCs w:val="24"/>
        </w:rPr>
        <w:t>依赖人工</w:t>
      </w:r>
      <w:r>
        <w:rPr>
          <w:rFonts w:hint="default" w:ascii="Times New Roman" w:hAnsi="Times New Roman" w:eastAsia="宋体" w:cs="Times New Roman"/>
          <w:sz w:val="24"/>
          <w:szCs w:val="24"/>
          <w:lang w:val="en-US" w:eastAsia="zh-CN"/>
        </w:rPr>
        <w:t>/机械</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自动洗车机等小型洗车平台沉淀池清泥困难，</w:t>
      </w:r>
      <w:r>
        <w:rPr>
          <w:rFonts w:hint="default" w:ascii="Times New Roman" w:hAnsi="Times New Roman" w:eastAsia="宋体" w:cs="Times New Roman"/>
          <w:sz w:val="24"/>
          <w:szCs w:val="24"/>
        </w:rPr>
        <w:t>效率低下且存在卫生死角，长期积泥</w:t>
      </w:r>
      <w:r>
        <w:rPr>
          <w:rFonts w:hint="default" w:ascii="Times New Roman" w:hAnsi="Times New Roman" w:eastAsia="宋体" w:cs="Times New Roman"/>
          <w:sz w:val="24"/>
          <w:szCs w:val="24"/>
          <w:lang w:val="en-US" w:eastAsia="zh-CN"/>
        </w:rPr>
        <w:t>容易</w:t>
      </w:r>
      <w:r>
        <w:rPr>
          <w:rFonts w:hint="default" w:ascii="Times New Roman" w:hAnsi="Times New Roman" w:eastAsia="宋体" w:cs="Times New Roman"/>
          <w:sz w:val="24"/>
          <w:szCs w:val="24"/>
        </w:rPr>
        <w:t>引发设备堵塞与</w:t>
      </w:r>
      <w:r>
        <w:rPr>
          <w:rFonts w:hint="default" w:ascii="Times New Roman" w:hAnsi="Times New Roman" w:eastAsia="宋体" w:cs="Times New Roman"/>
          <w:sz w:val="24"/>
          <w:szCs w:val="24"/>
          <w:lang w:val="en-US" w:eastAsia="zh-CN"/>
        </w:rPr>
        <w:t>其他</w:t>
      </w:r>
      <w:r>
        <w:rPr>
          <w:rFonts w:hint="default" w:ascii="Times New Roman" w:hAnsi="Times New Roman" w:eastAsia="宋体" w:cs="Times New Roman"/>
          <w:sz w:val="24"/>
          <w:szCs w:val="24"/>
        </w:rPr>
        <w:t>环保风险。</w:t>
      </w:r>
      <w:r>
        <w:rPr>
          <w:rFonts w:hint="default" w:ascii="Times New Roman" w:hAnsi="Times New Roman" w:eastAsia="宋体" w:cs="Times New Roman"/>
          <w:sz w:val="24"/>
          <w:szCs w:val="24"/>
          <w:lang w:val="en-US" w:eastAsia="zh-CN"/>
        </w:rPr>
        <w:t>大型洗车平台沉淀池与通道分离式布置，清泥工作相对更好开展。</w:t>
      </w:r>
    </w:p>
    <w:p w14:paraId="0E60F8BD">
      <w:pPr>
        <w:pStyle w:val="6"/>
        <w:bidi w:val="0"/>
        <w:rPr>
          <w:rFonts w:hint="default" w:ascii="Times New Roman" w:hAnsi="Times New Roman" w:eastAsia="宋体" w:cs="Times New Roman"/>
          <w:sz w:val="24"/>
          <w:szCs w:val="24"/>
          <w:lang w:val="en-US" w:eastAsia="zh-CN"/>
        </w:rPr>
      </w:pPr>
      <w:r>
        <w:rPr>
          <w:rFonts w:hint="default" w:ascii="Times New Roman" w:hAnsi="Times New Roman" w:cs="Times New Roman"/>
          <w:b/>
          <w:bCs/>
          <w:lang w:val="en-US" w:eastAsia="zh-CN"/>
        </w:rPr>
        <w:t>解决方式：</w:t>
      </w:r>
      <w:r>
        <w:rPr>
          <w:rFonts w:hint="default" w:ascii="Times New Roman" w:hAnsi="Times New Roman" w:eastAsia="宋体" w:cs="Times New Roman"/>
          <w:sz w:val="24"/>
          <w:szCs w:val="24"/>
          <w:lang w:val="en-US" w:eastAsia="zh-CN"/>
        </w:rPr>
        <w:t>针对此问题，目前港口暂无较好的解决案例，需在后续新建、改建洗车平台设计过程中，充分考虑污泥清运的便利性问题。</w:t>
      </w:r>
    </w:p>
    <w:p w14:paraId="1A65C6F4">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eastAsia="zh-CN"/>
        </w:rPr>
      </w:pPr>
      <w:bookmarkStart w:id="32" w:name="_Toc3104"/>
      <w:r>
        <w:rPr>
          <w:rFonts w:hint="eastAsia" w:ascii="Times New Roman" w:hAnsi="Times New Roman" w:eastAsia="黑体" w:cs="Times New Roman"/>
          <w:spacing w:val="-2"/>
          <w:sz w:val="28"/>
          <w:szCs w:val="28"/>
          <w:lang w:val="en-US" w:eastAsia="zh-CN"/>
        </w:rPr>
        <w:t>（</w:t>
      </w:r>
      <w:r>
        <w:rPr>
          <w:rFonts w:hint="default" w:ascii="Times New Roman" w:hAnsi="Times New Roman" w:eastAsia="黑体" w:cs="Times New Roman"/>
          <w:spacing w:val="-2"/>
          <w:sz w:val="28"/>
          <w:szCs w:val="28"/>
          <w:lang w:val="en-US" w:eastAsia="zh-CN"/>
        </w:rPr>
        <w:t>五</w:t>
      </w:r>
      <w:r>
        <w:rPr>
          <w:rFonts w:hint="eastAsia" w:ascii="Times New Roman" w:hAnsi="Times New Roman" w:eastAsia="黑体" w:cs="Times New Roman"/>
          <w:spacing w:val="-2"/>
          <w:sz w:val="28"/>
          <w:szCs w:val="28"/>
          <w:lang w:val="en-US" w:eastAsia="zh-CN"/>
        </w:rPr>
        <w:t>）</w:t>
      </w:r>
      <w:r>
        <w:rPr>
          <w:rFonts w:hint="default" w:ascii="Times New Roman" w:hAnsi="Times New Roman" w:eastAsia="黑体" w:cs="Times New Roman"/>
          <w:spacing w:val="-2"/>
          <w:sz w:val="28"/>
          <w:szCs w:val="28"/>
          <w:lang w:val="en-US" w:eastAsia="zh-CN"/>
        </w:rPr>
        <w:t>港口洗车平台</w:t>
      </w:r>
      <w:r>
        <w:rPr>
          <w:rFonts w:hint="eastAsia" w:ascii="Times New Roman" w:hAnsi="Times New Roman" w:eastAsia="黑体" w:cs="Times New Roman"/>
          <w:spacing w:val="-2"/>
          <w:sz w:val="28"/>
          <w:szCs w:val="28"/>
          <w:lang w:val="en-US" w:eastAsia="zh-CN"/>
        </w:rPr>
        <w:t>未来</w:t>
      </w:r>
      <w:r>
        <w:rPr>
          <w:rFonts w:hint="default" w:ascii="Times New Roman" w:hAnsi="Times New Roman" w:eastAsia="黑体" w:cs="Times New Roman"/>
          <w:spacing w:val="-2"/>
          <w:sz w:val="28"/>
          <w:szCs w:val="28"/>
          <w:lang w:val="en-US" w:eastAsia="zh-CN"/>
        </w:rPr>
        <w:t>面临的</w:t>
      </w:r>
      <w:r>
        <w:rPr>
          <w:rFonts w:hint="default" w:ascii="Times New Roman" w:hAnsi="Times New Roman" w:eastAsia="黑体" w:cs="Times New Roman"/>
          <w:spacing w:val="-2"/>
          <w:sz w:val="28"/>
          <w:szCs w:val="28"/>
          <w:lang w:eastAsia="zh-CN"/>
        </w:rPr>
        <w:t>挑战</w:t>
      </w:r>
      <w:bookmarkEnd w:id="32"/>
    </w:p>
    <w:p w14:paraId="744E7E8F">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33" w:name="_Toc436"/>
      <w:r>
        <w:rPr>
          <w:rFonts w:hint="default" w:ascii="Times New Roman" w:hAnsi="Times New Roman" w:eastAsia="黑体" w:cs="Times New Roman"/>
          <w:spacing w:val="-2"/>
          <w:sz w:val="28"/>
          <w:szCs w:val="28"/>
          <w:lang w:val="en-US" w:eastAsia="zh-CN"/>
        </w:rPr>
        <w:t>1 政策与标准缺失</w:t>
      </w:r>
      <w:bookmarkEnd w:id="33"/>
    </w:p>
    <w:p w14:paraId="517C9709">
      <w:pPr>
        <w:pStyle w:val="6"/>
        <w:bidi w:val="0"/>
        <w:rPr>
          <w:rFonts w:hint="default" w:ascii="Times New Roman" w:hAnsi="Times New Roman" w:eastAsia="PingFang SC" w:cs="Times New Roman"/>
          <w:i w:val="0"/>
          <w:iCs w:val="0"/>
          <w:caps w:val="0"/>
          <w:spacing w:val="0"/>
          <w:sz w:val="24"/>
          <w:szCs w:val="24"/>
          <w:shd w:val="clear" w:fill="FFFFFF"/>
        </w:rPr>
      </w:pPr>
      <w:r>
        <w:rPr>
          <w:rFonts w:hint="default" w:ascii="Times New Roman" w:hAnsi="Times New Roman" w:eastAsia="PingFang SC" w:cs="Times New Roman"/>
          <w:i w:val="0"/>
          <w:iCs w:val="0"/>
          <w:caps w:val="0"/>
          <w:spacing w:val="0"/>
          <w:sz w:val="24"/>
          <w:szCs w:val="24"/>
          <w:shd w:val="clear" w:fill="FFFFFF"/>
        </w:rPr>
        <w:t>当前港口洗车平台面临政策与标准体系严重缺失的困境，制约行业规范化发展。国家级专项标准尚未出台，</w:t>
      </w:r>
      <w:r>
        <w:rPr>
          <w:rFonts w:hint="default" w:ascii="Times New Roman" w:hAnsi="Times New Roman" w:eastAsia="PingFang SC" w:cs="Times New Roman"/>
          <w:i w:val="0"/>
          <w:iCs w:val="0"/>
          <w:caps w:val="0"/>
          <w:spacing w:val="0"/>
          <w:sz w:val="24"/>
          <w:szCs w:val="24"/>
          <w:highlight w:val="none"/>
          <w:shd w:val="clear" w:fill="FFFFFF"/>
        </w:rPr>
        <w:t>现有监管仅依托</w:t>
      </w:r>
      <w:r>
        <w:rPr>
          <w:rFonts w:hint="default" w:ascii="Times New Roman" w:hAnsi="Times New Roman" w:eastAsia="宋体" w:cs="Times New Roman"/>
          <w:i w:val="0"/>
          <w:iCs w:val="0"/>
          <w:caps w:val="0"/>
          <w:spacing w:val="0"/>
          <w:sz w:val="24"/>
          <w:szCs w:val="24"/>
          <w:highlight w:val="none"/>
          <w:shd w:val="clear" w:fill="FFFFFF"/>
          <w:lang w:val="en-US" w:eastAsia="zh-CN"/>
        </w:rPr>
        <w:t>各地区</w:t>
      </w:r>
      <w:r>
        <w:rPr>
          <w:rFonts w:hint="default" w:ascii="Times New Roman" w:hAnsi="Times New Roman" w:eastAsia="PingFang SC" w:cs="Times New Roman"/>
          <w:i w:val="0"/>
          <w:iCs w:val="0"/>
          <w:caps w:val="0"/>
          <w:spacing w:val="0"/>
          <w:sz w:val="24"/>
          <w:szCs w:val="24"/>
          <w:highlight w:val="none"/>
          <w:shd w:val="clear" w:fill="FFFFFF"/>
        </w:rPr>
        <w:t>港口污染防治</w:t>
      </w:r>
      <w:r>
        <w:rPr>
          <w:rFonts w:hint="default" w:ascii="Times New Roman" w:hAnsi="Times New Roman" w:eastAsia="宋体" w:cs="Times New Roman"/>
          <w:i w:val="0"/>
          <w:iCs w:val="0"/>
          <w:caps w:val="0"/>
          <w:spacing w:val="0"/>
          <w:sz w:val="24"/>
          <w:szCs w:val="24"/>
          <w:highlight w:val="none"/>
          <w:shd w:val="clear" w:fill="FFFFFF"/>
          <w:lang w:eastAsia="zh-CN"/>
        </w:rPr>
        <w:t>《</w:t>
      </w:r>
      <w:r>
        <w:rPr>
          <w:rFonts w:hint="default" w:ascii="Times New Roman" w:hAnsi="Times New Roman" w:eastAsia="宋体" w:cs="Times New Roman"/>
          <w:i w:val="0"/>
          <w:iCs w:val="0"/>
          <w:caps w:val="0"/>
          <w:spacing w:val="0"/>
          <w:sz w:val="24"/>
          <w:szCs w:val="24"/>
          <w:highlight w:val="none"/>
          <w:shd w:val="clear" w:fill="FFFFFF"/>
          <w:lang w:val="en-US" w:eastAsia="zh-CN"/>
        </w:rPr>
        <w:t>条例</w:t>
      </w:r>
      <w:r>
        <w:rPr>
          <w:rFonts w:hint="default" w:ascii="Times New Roman" w:hAnsi="Times New Roman" w:eastAsia="宋体" w:cs="Times New Roman"/>
          <w:i w:val="0"/>
          <w:iCs w:val="0"/>
          <w:caps w:val="0"/>
          <w:spacing w:val="0"/>
          <w:sz w:val="24"/>
          <w:szCs w:val="24"/>
          <w:highlight w:val="none"/>
          <w:shd w:val="clear" w:fill="FFFFFF"/>
          <w:lang w:eastAsia="zh-CN"/>
        </w:rPr>
        <w:t>》</w:t>
      </w:r>
      <w:r>
        <w:rPr>
          <w:rFonts w:hint="default" w:ascii="Times New Roman" w:hAnsi="Times New Roman" w:eastAsia="宋体" w:cs="Times New Roman"/>
          <w:i w:val="0"/>
          <w:iCs w:val="0"/>
          <w:caps w:val="0"/>
          <w:spacing w:val="0"/>
          <w:sz w:val="24"/>
          <w:szCs w:val="24"/>
          <w:highlight w:val="none"/>
          <w:shd w:val="clear" w:fill="FFFFFF"/>
          <w:lang w:val="en-US" w:eastAsia="zh-CN"/>
        </w:rPr>
        <w:t>或《管理办法》</w:t>
      </w:r>
      <w:r>
        <w:rPr>
          <w:rFonts w:hint="default" w:ascii="Times New Roman" w:hAnsi="Times New Roman" w:eastAsia="PingFang SC" w:cs="Times New Roman"/>
          <w:i w:val="0"/>
          <w:iCs w:val="0"/>
          <w:caps w:val="0"/>
          <w:spacing w:val="0"/>
          <w:sz w:val="24"/>
          <w:szCs w:val="24"/>
          <w:highlight w:val="none"/>
          <w:shd w:val="clear" w:fill="FFFFFF"/>
        </w:rPr>
        <w:t>等</w:t>
      </w:r>
      <w:r>
        <w:rPr>
          <w:rFonts w:hint="default" w:ascii="Times New Roman" w:hAnsi="Times New Roman" w:eastAsia="宋体" w:cs="Times New Roman"/>
          <w:i w:val="0"/>
          <w:iCs w:val="0"/>
          <w:caps w:val="0"/>
          <w:spacing w:val="0"/>
          <w:sz w:val="24"/>
          <w:szCs w:val="24"/>
          <w:highlight w:val="none"/>
          <w:shd w:val="clear" w:fill="FFFFFF"/>
          <w:lang w:val="en-US" w:eastAsia="zh-CN"/>
        </w:rPr>
        <w:t>地方性</w:t>
      </w:r>
      <w:r>
        <w:rPr>
          <w:rFonts w:hint="default" w:ascii="Times New Roman" w:hAnsi="Times New Roman" w:eastAsia="PingFang SC" w:cs="Times New Roman"/>
          <w:i w:val="0"/>
          <w:iCs w:val="0"/>
          <w:caps w:val="0"/>
          <w:spacing w:val="0"/>
          <w:sz w:val="24"/>
          <w:szCs w:val="24"/>
          <w:highlight w:val="none"/>
          <w:shd w:val="clear" w:fill="FFFFFF"/>
        </w:rPr>
        <w:t>文件，对</w:t>
      </w:r>
      <w:r>
        <w:rPr>
          <w:rFonts w:hint="default" w:ascii="Times New Roman" w:hAnsi="Times New Roman" w:eastAsia="PingFang SC" w:cs="Times New Roman"/>
          <w:i w:val="0"/>
          <w:iCs w:val="0"/>
          <w:caps w:val="0"/>
          <w:spacing w:val="0"/>
          <w:sz w:val="24"/>
          <w:szCs w:val="24"/>
          <w:shd w:val="clear" w:fill="FFFFFF"/>
        </w:rPr>
        <w:t>洗车废水回用率、污泥处置等关键环节缺乏细化要求，导致地方标准碎片化</w:t>
      </w:r>
      <w:r>
        <w:rPr>
          <w:rFonts w:hint="default" w:ascii="Times New Roman" w:hAnsi="Times New Roman" w:eastAsia="宋体" w:cs="Times New Roman"/>
          <w:i w:val="0"/>
          <w:iCs w:val="0"/>
          <w:caps w:val="0"/>
          <w:spacing w:val="0"/>
          <w:sz w:val="24"/>
          <w:szCs w:val="24"/>
          <w:shd w:val="clear" w:fill="FFFFFF"/>
          <w:lang w:eastAsia="zh-CN"/>
        </w:rPr>
        <w:t>，</w:t>
      </w:r>
      <w:r>
        <w:rPr>
          <w:rFonts w:hint="default" w:ascii="Times New Roman" w:hAnsi="Times New Roman" w:eastAsia="宋体" w:cs="Times New Roman"/>
          <w:i w:val="0"/>
          <w:iCs w:val="0"/>
          <w:caps w:val="0"/>
          <w:spacing w:val="0"/>
          <w:sz w:val="24"/>
          <w:szCs w:val="24"/>
          <w:shd w:val="clear" w:fill="FFFFFF"/>
          <w:lang w:val="en-US" w:eastAsia="zh-CN"/>
        </w:rPr>
        <w:t>导致</w:t>
      </w:r>
      <w:r>
        <w:rPr>
          <w:rFonts w:hint="default" w:ascii="Times New Roman" w:hAnsi="Times New Roman" w:eastAsia="PingFang SC" w:cs="Times New Roman"/>
          <w:i w:val="0"/>
          <w:iCs w:val="0"/>
          <w:caps w:val="0"/>
          <w:spacing w:val="0"/>
          <w:sz w:val="24"/>
          <w:szCs w:val="24"/>
          <w:shd w:val="clear" w:fill="FFFFFF"/>
        </w:rPr>
        <w:t>跨区域港口企业合规成本</w:t>
      </w:r>
      <w:r>
        <w:rPr>
          <w:rFonts w:hint="default" w:ascii="Times New Roman" w:hAnsi="Times New Roman" w:eastAsia="宋体" w:cs="Times New Roman"/>
          <w:i w:val="0"/>
          <w:iCs w:val="0"/>
          <w:caps w:val="0"/>
          <w:spacing w:val="0"/>
          <w:sz w:val="24"/>
          <w:szCs w:val="24"/>
          <w:shd w:val="clear" w:fill="FFFFFF"/>
          <w:lang w:val="en-US" w:eastAsia="zh-CN"/>
        </w:rPr>
        <w:t>增加</w:t>
      </w:r>
      <w:r>
        <w:rPr>
          <w:rFonts w:hint="default" w:ascii="Times New Roman" w:hAnsi="Times New Roman" w:eastAsia="PingFang SC" w:cs="Times New Roman"/>
          <w:i w:val="0"/>
          <w:iCs w:val="0"/>
          <w:caps w:val="0"/>
          <w:spacing w:val="0"/>
          <w:sz w:val="24"/>
          <w:szCs w:val="24"/>
          <w:shd w:val="clear" w:fill="FFFFFF"/>
        </w:rPr>
        <w:t>。此外，智能化设备性能参数、污泥资源化路径等均无明确标准，部分港口因盲目采购多技术设备导致运维成本攀升。跨部门权责不清加剧矛盾，如江苏某港口因环保“零排放”与海事“用水安全”要求冲突被迫停用中水系统。亟需制定专项技术规范、建立分级管理体系，并通过财税激励与严惩机制双轨驱动，破解行业“无标可依、多头监管、成本失控”的困局。</w:t>
      </w:r>
    </w:p>
    <w:p w14:paraId="376ACE44">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34" w:name="_Toc7123"/>
      <w:r>
        <w:rPr>
          <w:rFonts w:hint="default" w:ascii="Times New Roman" w:hAnsi="Times New Roman" w:eastAsia="黑体" w:cs="Times New Roman"/>
          <w:spacing w:val="-2"/>
          <w:sz w:val="28"/>
          <w:szCs w:val="28"/>
          <w:lang w:val="en-US" w:eastAsia="zh-CN"/>
        </w:rPr>
        <w:t>2 基础设施不足</w:t>
      </w:r>
      <w:bookmarkEnd w:id="34"/>
    </w:p>
    <w:p w14:paraId="62CCD932">
      <w:pPr>
        <w:pStyle w:val="6"/>
        <w:bidi w:val="0"/>
        <w:rPr>
          <w:rFonts w:hint="default"/>
        </w:rPr>
      </w:pPr>
      <w:r>
        <w:rPr>
          <w:rFonts w:hint="default"/>
        </w:rPr>
        <w:t>当前港口洗车平台基础设施</w:t>
      </w:r>
      <w:r>
        <w:rPr>
          <w:rFonts w:hint="default"/>
          <w:lang w:val="en-US" w:eastAsia="zh-CN"/>
        </w:rPr>
        <w:t>设计能力不足制约着</w:t>
      </w:r>
      <w:r>
        <w:rPr>
          <w:rFonts w:hint="default"/>
        </w:rPr>
        <w:t>作业效能提升和环保</w:t>
      </w:r>
      <w:r>
        <w:rPr>
          <w:rFonts w:hint="default"/>
          <w:lang w:val="en-US" w:eastAsia="zh-CN"/>
        </w:rPr>
        <w:t>达标</w:t>
      </w:r>
      <w:r>
        <w:rPr>
          <w:rFonts w:hint="default"/>
        </w:rPr>
        <w:t>，主要表现</w:t>
      </w:r>
      <w:r>
        <w:rPr>
          <w:rFonts w:hint="default"/>
          <w:lang w:val="en-US" w:eastAsia="zh-CN"/>
        </w:rPr>
        <w:t>在三个方面</w:t>
      </w:r>
      <w:r>
        <w:rPr>
          <w:rFonts w:hint="default"/>
        </w:rPr>
        <w:t>：</w:t>
      </w:r>
      <w:r>
        <w:rPr>
          <w:rFonts w:hint="default"/>
          <w:lang w:val="en-US" w:eastAsia="zh-CN"/>
        </w:rPr>
        <w:t>一是</w:t>
      </w:r>
      <w:r>
        <w:rPr>
          <w:rFonts w:hint="default"/>
        </w:rPr>
        <w:t>在空间资源配置方面，普遍存在设计容量与实际业务需求倒挂现象。以某散货码头为例，其单车道洗车平台日均处理量仅50车次，相较120车次的实际吞吐需求缺口达58.3%，作业高峰期排队时长突破120</w:t>
      </w:r>
      <w:r>
        <w:rPr>
          <w:rFonts w:hint="eastAsia"/>
          <w:lang w:val="en-US" w:eastAsia="zh-CN"/>
        </w:rPr>
        <w:t>min</w:t>
      </w:r>
      <w:r>
        <w:rPr>
          <w:rFonts w:hint="default"/>
        </w:rPr>
        <w:t>，直接导致集疏运体系出现梗阻效应。</w:t>
      </w:r>
      <w:r>
        <w:rPr>
          <w:rFonts w:hint="default"/>
          <w:lang w:val="en-US" w:eastAsia="zh-CN"/>
        </w:rPr>
        <w:t>二是</w:t>
      </w:r>
      <w:r>
        <w:rPr>
          <w:rFonts w:hint="default"/>
        </w:rPr>
        <w:t>在设备技术层面，超过60%的设施服役年限超过行业标准，高压冲洗系统普遍存在水压不稳、</w:t>
      </w:r>
      <w:r>
        <w:rPr>
          <w:rFonts w:hint="default"/>
          <w:lang w:val="en-US" w:eastAsia="zh-CN"/>
        </w:rPr>
        <w:t>水资源</w:t>
      </w:r>
      <w:r>
        <w:rPr>
          <w:rFonts w:hint="default"/>
        </w:rPr>
        <w:t>回用率低于40%等技术瓶颈。</w:t>
      </w:r>
      <w:r>
        <w:rPr>
          <w:rFonts w:hint="default"/>
          <w:lang w:val="en-US" w:eastAsia="zh-CN"/>
        </w:rPr>
        <w:t>三</w:t>
      </w:r>
      <w:r>
        <w:rPr>
          <w:rFonts w:hint="default"/>
        </w:rPr>
        <w:t>是老旧港口的空间规划失序，</w:t>
      </w:r>
      <w:r>
        <w:rPr>
          <w:rFonts w:hint="default"/>
          <w:lang w:val="en-US" w:eastAsia="zh-CN"/>
        </w:rPr>
        <w:t>例如</w:t>
      </w:r>
      <w:r>
        <w:rPr>
          <w:rFonts w:hint="default"/>
        </w:rPr>
        <w:t>部分码头将洗车区与维修车间相邻布局，设备间距不足5</w:t>
      </w:r>
      <w:r>
        <w:rPr>
          <w:rFonts w:hint="eastAsia"/>
          <w:lang w:val="en-US" w:eastAsia="zh-CN"/>
        </w:rPr>
        <w:t>m</w:t>
      </w:r>
      <w:r>
        <w:rPr>
          <w:rFonts w:hint="default"/>
        </w:rPr>
        <w:t>，机械作业时易发生碰撞事故</w:t>
      </w:r>
      <w:r>
        <w:rPr>
          <w:rFonts w:hint="default"/>
          <w:lang w:eastAsia="zh-CN"/>
        </w:rPr>
        <w:t>，</w:t>
      </w:r>
      <w:r>
        <w:rPr>
          <w:rFonts w:hint="default"/>
        </w:rPr>
        <w:t>形成重大安全隐患。</w:t>
      </w:r>
    </w:p>
    <w:p w14:paraId="3BE6DA8C">
      <w:pPr>
        <w:pStyle w:val="6"/>
        <w:bidi w:val="0"/>
        <w:rPr>
          <w:rFonts w:hint="default"/>
        </w:rPr>
      </w:pPr>
      <w:r>
        <w:rPr>
          <w:rFonts w:hint="default"/>
        </w:rPr>
        <w:t>设备老化与技术落后是另一突出短板。</w:t>
      </w:r>
      <w:r>
        <w:rPr>
          <w:rFonts w:hint="default"/>
          <w:lang w:val="en-US" w:eastAsia="zh-CN"/>
        </w:rPr>
        <w:t>多数</w:t>
      </w:r>
      <w:r>
        <w:rPr>
          <w:rFonts w:hint="default"/>
        </w:rPr>
        <w:t>中小港口仍使用服役超10年的高压水泵，出水压力不足，导致单次清洗</w:t>
      </w:r>
      <w:r>
        <w:rPr>
          <w:rFonts w:hint="default"/>
          <w:lang w:val="en-US" w:eastAsia="zh-CN"/>
        </w:rPr>
        <w:t>时长增加</w:t>
      </w:r>
      <w:r>
        <w:rPr>
          <w:rFonts w:hint="default"/>
        </w:rPr>
        <w:t>，</w:t>
      </w:r>
      <w:r>
        <w:rPr>
          <w:rFonts w:hint="default"/>
          <w:lang w:val="en-US" w:eastAsia="zh-CN"/>
        </w:rPr>
        <w:t>冲洗效果变差，车辆</w:t>
      </w:r>
      <w:r>
        <w:rPr>
          <w:rFonts w:hint="default"/>
        </w:rPr>
        <w:t>底盘污泥残留率</w:t>
      </w:r>
      <w:r>
        <w:rPr>
          <w:rFonts w:hint="default"/>
          <w:lang w:val="en-US" w:eastAsia="zh-CN"/>
        </w:rPr>
        <w:t>升高</w:t>
      </w:r>
      <w:r>
        <w:rPr>
          <w:rFonts w:hint="default"/>
        </w:rPr>
        <w:t>。污水处理设施短板更为明显，沉淀池容积</w:t>
      </w:r>
      <w:r>
        <w:rPr>
          <w:rFonts w:hint="default"/>
          <w:lang w:val="en-US" w:eastAsia="zh-CN"/>
        </w:rPr>
        <w:t>不足</w:t>
      </w:r>
      <w:r>
        <w:rPr>
          <w:rFonts w:hint="default"/>
        </w:rPr>
        <w:t>，</w:t>
      </w:r>
      <w:r>
        <w:rPr>
          <w:rFonts w:hint="default"/>
          <w:lang w:val="en-US" w:eastAsia="zh-CN"/>
        </w:rPr>
        <w:t>含尘污水在沉淀池内停留时间变短，导致处理效果变差，甚至出现</w:t>
      </w:r>
      <w:r>
        <w:rPr>
          <w:rFonts w:hint="default"/>
        </w:rPr>
        <w:t>雨季集中</w:t>
      </w:r>
      <w:r>
        <w:rPr>
          <w:rFonts w:hint="default"/>
          <w:lang w:val="en-US" w:eastAsia="zh-CN"/>
        </w:rPr>
        <w:t>降水</w:t>
      </w:r>
      <w:r>
        <w:rPr>
          <w:rFonts w:hint="default"/>
        </w:rPr>
        <w:t>时悬浮物（SS）浓度超标的污水</w:t>
      </w:r>
      <w:r>
        <w:rPr>
          <w:rFonts w:hint="default"/>
          <w:lang w:val="en-US" w:eastAsia="zh-CN"/>
        </w:rPr>
        <w:t>溢流至沉淀池之外，造成二次污染</w:t>
      </w:r>
      <w:r>
        <w:rPr>
          <w:rFonts w:hint="default"/>
        </w:rPr>
        <w:t>。</w:t>
      </w:r>
    </w:p>
    <w:p w14:paraId="29C7BCDB">
      <w:pPr>
        <w:pStyle w:val="6"/>
        <w:bidi w:val="0"/>
        <w:rPr>
          <w:rFonts w:hint="default"/>
        </w:rPr>
      </w:pPr>
      <w:r>
        <w:rPr>
          <w:rFonts w:hint="default"/>
        </w:rPr>
        <w:t>水电配套缺失加剧运营压力。</w:t>
      </w:r>
      <w:r>
        <w:rPr>
          <w:rFonts w:hint="default"/>
          <w:lang w:val="en-US" w:eastAsia="zh-CN"/>
        </w:rPr>
        <w:t>众所周知，</w:t>
      </w:r>
      <w:r>
        <w:rPr>
          <w:rFonts w:hint="default"/>
        </w:rPr>
        <w:t>北方港口普遍面临供水不足，</w:t>
      </w:r>
      <w:r>
        <w:rPr>
          <w:rFonts w:hint="default"/>
          <w:lang w:val="en-US" w:eastAsia="zh-CN"/>
        </w:rPr>
        <w:t>某些港口</w:t>
      </w:r>
      <w:r>
        <w:rPr>
          <w:rFonts w:hint="default"/>
        </w:rPr>
        <w:t>洗车平台依赖罐车每日运水</w:t>
      </w:r>
      <w:r>
        <w:rPr>
          <w:rFonts w:hint="default"/>
          <w:lang w:val="en-US" w:eastAsia="zh-CN"/>
        </w:rPr>
        <w:t>补充水源</w:t>
      </w:r>
      <w:r>
        <w:rPr>
          <w:rFonts w:hint="default"/>
        </w:rPr>
        <w:t>，</w:t>
      </w:r>
      <w:r>
        <w:rPr>
          <w:rFonts w:hint="default"/>
          <w:lang w:val="en-US" w:eastAsia="zh-CN"/>
        </w:rPr>
        <w:t>造成</w:t>
      </w:r>
      <w:r>
        <w:rPr>
          <w:rFonts w:hint="default"/>
        </w:rPr>
        <w:t>成本增加；</w:t>
      </w:r>
      <w:r>
        <w:rPr>
          <w:rFonts w:hint="default"/>
          <w:lang w:val="en-US" w:eastAsia="zh-CN"/>
        </w:rPr>
        <w:t>个别港口</w:t>
      </w:r>
      <w:r>
        <w:rPr>
          <w:rFonts w:hint="default"/>
        </w:rPr>
        <w:t>电力系统也难以支撑智能化升级，</w:t>
      </w:r>
      <w:r>
        <w:rPr>
          <w:rFonts w:hint="default"/>
          <w:lang w:val="en-US" w:eastAsia="zh-CN"/>
        </w:rPr>
        <w:t>例如某港口</w:t>
      </w:r>
      <w:r>
        <w:rPr>
          <w:rFonts w:hint="default"/>
        </w:rPr>
        <w:t>仍沿用380V低压线路，电动高压泵频繁跳闸，日均故障率达15%，严重影响连续作业能力。</w:t>
      </w:r>
    </w:p>
    <w:p w14:paraId="696EF94E">
      <w:pPr>
        <w:pStyle w:val="6"/>
        <w:bidi w:val="0"/>
        <w:rPr>
          <w:rFonts w:hint="default"/>
        </w:rPr>
      </w:pPr>
      <w:r>
        <w:rPr>
          <w:rFonts w:hint="default"/>
        </w:rPr>
        <w:t>智能化基建滞后拖累转型进程。中小港口智能感知设备覆盖率不足，</w:t>
      </w:r>
      <w:r>
        <w:rPr>
          <w:rFonts w:hint="default"/>
          <w:lang w:val="en-US" w:eastAsia="zh-CN"/>
        </w:rPr>
        <w:t>个别港口</w:t>
      </w:r>
      <w:r>
        <w:rPr>
          <w:rFonts w:hint="default"/>
        </w:rPr>
        <w:t>仍依赖人工录入车辆信息，数据误差率</w:t>
      </w:r>
      <w:r>
        <w:rPr>
          <w:rFonts w:hint="default"/>
          <w:lang w:val="en-US" w:eastAsia="zh-CN"/>
        </w:rPr>
        <w:t>较高</w:t>
      </w:r>
      <w:r>
        <w:rPr>
          <w:rFonts w:hint="default"/>
        </w:rPr>
        <w:t>；5G网络、边缘计算节点等新型基建仅在一线</w:t>
      </w:r>
      <w:r>
        <w:rPr>
          <w:rFonts w:hint="default"/>
          <w:lang w:val="en-US" w:eastAsia="zh-CN"/>
        </w:rPr>
        <w:t>典型、大型</w:t>
      </w:r>
      <w:r>
        <w:rPr>
          <w:rFonts w:hint="default"/>
        </w:rPr>
        <w:t>港</w:t>
      </w:r>
      <w:r>
        <w:rPr>
          <w:rFonts w:hint="default"/>
          <w:lang w:val="en-US" w:eastAsia="zh-CN"/>
        </w:rPr>
        <w:t>口</w:t>
      </w:r>
      <w:r>
        <w:rPr>
          <w:rFonts w:hint="default"/>
        </w:rPr>
        <w:t>试点，多数港口无法实现水质实时监测、AI调度等高级功能，与智慧港口建设目标差距显著。</w:t>
      </w:r>
    </w:p>
    <w:p w14:paraId="03224B3F">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35" w:name="_Toc30357"/>
      <w:r>
        <w:rPr>
          <w:rFonts w:hint="default" w:ascii="Times New Roman" w:hAnsi="Times New Roman" w:eastAsia="黑体" w:cs="Times New Roman"/>
          <w:spacing w:val="-2"/>
          <w:sz w:val="28"/>
          <w:szCs w:val="28"/>
          <w:lang w:val="en-US" w:eastAsia="zh-CN"/>
        </w:rPr>
        <w:t>3 管理与问题</w:t>
      </w:r>
      <w:bookmarkEnd w:id="35"/>
    </w:p>
    <w:p w14:paraId="3D4785E5">
      <w:pPr>
        <w:pStyle w:val="6"/>
        <w:bidi w:val="0"/>
        <w:rPr>
          <w:rFonts w:hint="default"/>
        </w:rPr>
      </w:pPr>
      <w:r>
        <w:rPr>
          <w:rFonts w:hint="default"/>
        </w:rPr>
        <w:t>当前港口洗车平台的管理问题呈现多维度交织态势，管理体系碎片化与责任不清成为首要矛盾。多数港口缺乏专项管理制度，操作流程依赖粗放式经验传递，例如大连港不同作业区的污泥处置方式差异显著——部分区域直接填埋，另一区域外包处理，导致监管标准混乱。权责边界模糊进一步加剧管理失效，青岛港曾因运输车队逃避清洗责任、港口方与外包公司相互推诿，致使30%车辆未清洗出港，最终由港口企业承担全部环保罚款，单次损失超百万元。</w:t>
      </w:r>
    </w:p>
    <w:p w14:paraId="0234B864">
      <w:pPr>
        <w:pStyle w:val="6"/>
        <w:bidi w:val="0"/>
        <w:rPr>
          <w:rFonts w:hint="default"/>
        </w:rPr>
      </w:pPr>
      <w:r>
        <w:rPr>
          <w:rFonts w:hint="default"/>
        </w:rPr>
        <w:t>监管与执行脱节导致过程失控。约65%的中小港口仍采用纸质台账记录清洗数据，宁波舟山港2023年审计显示，15%的车辆清洗记录与监控视频不符，污泥转运量虚报比例达20%，暴露人工监管漏洞。处罚机制疲软更助长违规行为，偷排污水或逃避清洗的单次罚款上限仅5万元，而合规处理成本高达8-12元/吨，企业违规收益远超风险成本，形成“劣币驱逐良币”效应。</w:t>
      </w:r>
    </w:p>
    <w:p w14:paraId="3A5D00A6">
      <w:pPr>
        <w:pStyle w:val="6"/>
        <w:bidi w:val="0"/>
        <w:rPr>
          <w:rFonts w:hint="default"/>
        </w:rPr>
      </w:pPr>
      <w:r>
        <w:rPr>
          <w:rFonts w:hint="default"/>
        </w:rPr>
        <w:t>运营效率低下凸显管理粗放。缺乏智能调度系统导致资源错配，唐山港矿石运输旺季日均待洗车辆超200台，因人工调度失误引发设备空转率达30%，水电浪费折合年损失超50万元。设备维护机制缺失同样严重，湛江港高压水泵因未定期更换密封件，故障停机时间占全年运营周期的18%，直接拉高运维成本40%。</w:t>
      </w:r>
    </w:p>
    <w:p w14:paraId="1A09332E">
      <w:pPr>
        <w:pStyle w:val="6"/>
        <w:bidi w:val="0"/>
        <w:rPr>
          <w:rFonts w:hint="default"/>
          <w:lang w:val="en-US" w:eastAsia="zh-CN"/>
        </w:rPr>
      </w:pPr>
      <w:r>
        <w:rPr>
          <w:rFonts w:hint="default"/>
          <w:lang w:val="en-US" w:eastAsia="zh-CN"/>
        </w:rPr>
        <w:t>管理不当问题时有发生，一线操作工人多为普通港口工人，污水外溢、污泥乱堆、造成二次污染风险，通行效率下降，甚至造成车辆滞留。</w:t>
      </w:r>
      <w:r>
        <w:rPr>
          <w:rFonts w:hint="default"/>
        </w:rPr>
        <w:t>绩效考核导向偏差进一步恶化问题，盐田港曾为追求“清洗车辆数”指标，过度使用高压水枪导致单日耗水量超标40%，节水减排目标形同虚设。</w:t>
      </w:r>
    </w:p>
    <w:p w14:paraId="05471587">
      <w:pPr>
        <w:pageBreakBefore w:val="0"/>
        <w:kinsoku/>
        <w:wordWrap/>
        <w:overflowPunct/>
        <w:topLinePunct w:val="0"/>
        <w:bidi w:val="0"/>
        <w:spacing w:before="240" w:after="156" w:afterLines="50"/>
        <w:ind w:left="0" w:right="0"/>
        <w:outlineLvl w:val="9"/>
        <w:rPr>
          <w:rFonts w:hint="default" w:ascii="Times New Roman" w:hAnsi="Times New Roman" w:eastAsia="黑体" w:cs="Times New Roman"/>
          <w:spacing w:val="-2"/>
          <w:sz w:val="28"/>
          <w:szCs w:val="28"/>
          <w:lang w:val="en-US" w:eastAsia="zh-CN"/>
        </w:rPr>
      </w:pPr>
      <w:bookmarkStart w:id="36" w:name="_Toc24032"/>
      <w:r>
        <w:rPr>
          <w:rFonts w:hint="eastAsia" w:ascii="Times New Roman" w:hAnsi="Times New Roman" w:eastAsia="黑体" w:cs="Times New Roman"/>
          <w:spacing w:val="-2"/>
          <w:sz w:val="28"/>
          <w:szCs w:val="28"/>
          <w:lang w:val="en-US" w:eastAsia="zh-CN"/>
        </w:rPr>
        <w:t>（六）</w:t>
      </w:r>
      <w:r>
        <w:rPr>
          <w:rFonts w:hint="default" w:ascii="Times New Roman" w:hAnsi="Times New Roman" w:eastAsia="黑体" w:cs="Times New Roman"/>
          <w:spacing w:val="-2"/>
          <w:sz w:val="28"/>
          <w:szCs w:val="28"/>
          <w:lang w:val="en-US" w:eastAsia="zh-CN"/>
        </w:rPr>
        <w:t>结论</w:t>
      </w:r>
      <w:bookmarkEnd w:id="36"/>
    </w:p>
    <w:p w14:paraId="317AD111">
      <w:pPr>
        <w:pStyle w:val="6"/>
        <w:bidi w:val="0"/>
        <w:rPr>
          <w:rFonts w:hint="default"/>
          <w:lang w:val="en-US" w:eastAsia="zh-CN"/>
        </w:rPr>
      </w:pPr>
      <w:r>
        <w:rPr>
          <w:rFonts w:hint="default"/>
          <w:lang w:val="en-US" w:eastAsia="zh-CN"/>
        </w:rPr>
        <w:t>调研结果表明，港口洗车平台在港口干散货运输车辆扬尘防治上发挥了重要作用。目前，国内港口结合自身实际条件，因地制宜的采用了适合自身的洗车平台，主要以通道式、隧道式洗车平台及小型自动洗车机为主。洗车过程多数实现了冲洗系统自动化控制，并设置了污水收集处理设施。同时，近年来在技术应用与规模化建设上取得显著突破，其中唐山港集团股份有限公司打造的智能化洗车平台尤为典型。该平台集成高压射流清洁系统、车辆智能识别传感装置及污水循环处理模块，实现运输车辆的全自动高效清洗，洗车平台对轮胎及底盘附着的煤粉、矿渣等干散货粉尘的去除效率大幅提升，减少了港区道路扬尘污染。</w:t>
      </w:r>
    </w:p>
    <w:p w14:paraId="253AF3FE">
      <w:pPr>
        <w:pStyle w:val="6"/>
        <w:bidi w:val="0"/>
        <w:rPr>
          <w:rFonts w:hint="default" w:ascii="Times New Roman" w:hAnsi="Times New Roman" w:cs="Times New Roman"/>
          <w:lang w:eastAsia="zh-CN"/>
        </w:rPr>
      </w:pPr>
      <w:r>
        <w:rPr>
          <w:rFonts w:hint="default" w:ascii="Times New Roman" w:hAnsi="Times New Roman" w:cs="Times New Roman"/>
          <w:lang w:val="en-US" w:eastAsia="zh-CN"/>
        </w:rPr>
        <w:t>虽然</w:t>
      </w:r>
      <w:r>
        <w:rPr>
          <w:rFonts w:hint="default" w:ascii="Times New Roman" w:hAnsi="Times New Roman" w:cs="Times New Roman"/>
        </w:rPr>
        <w:t>洗车平台</w:t>
      </w:r>
      <w:r>
        <w:rPr>
          <w:rFonts w:hint="default" w:ascii="Times New Roman" w:hAnsi="Times New Roman" w:cs="Times New Roman"/>
          <w:lang w:val="en-US" w:eastAsia="zh-CN"/>
        </w:rPr>
        <w:t>在干散货港口实现了广泛应用，但其仍然存在</w:t>
      </w:r>
      <w:r>
        <w:rPr>
          <w:rFonts w:hint="default" w:ascii="Times New Roman" w:hAnsi="Times New Roman" w:cs="Times New Roman"/>
        </w:rPr>
        <w:t>系统性设计缺陷与运维短板</w:t>
      </w:r>
      <w:r>
        <w:rPr>
          <w:rFonts w:hint="default" w:ascii="Times New Roman" w:hAnsi="Times New Roman" w:cs="Times New Roman"/>
          <w:lang w:eastAsia="zh-CN"/>
        </w:rPr>
        <w:t>，</w:t>
      </w:r>
      <w:r>
        <w:rPr>
          <w:rFonts w:hint="default" w:ascii="Times New Roman" w:hAnsi="Times New Roman" w:cs="Times New Roman"/>
          <w:lang w:val="en-US" w:eastAsia="zh-CN"/>
        </w:rPr>
        <w:t>主要体现在以下几个方面：</w:t>
      </w:r>
      <w:r>
        <w:rPr>
          <w:rFonts w:hint="default" w:ascii="Times New Roman" w:hAnsi="Times New Roman" w:cs="Times New Roman"/>
        </w:rPr>
        <w:t>在规划层面，平台选址不当（如直角转弯处）及布局失当（出口紧邻地磅），直接诱发车辆转向撒漏、设施被压损等风险；硬件环节，喷头堵塞导致水压不足，致使车身缝隙等细节清洁不彻底，</w:t>
      </w:r>
      <w:r>
        <w:rPr>
          <w:rFonts w:ascii="宋体" w:hAnsi="宋体" w:eastAsia="宋体" w:cs="宋体"/>
          <w:sz w:val="24"/>
          <w:szCs w:val="24"/>
        </w:rPr>
        <w:t>叠加沥干设施配置不足及出口缓冲空间受限</w:t>
      </w:r>
      <w:r>
        <w:rPr>
          <w:rFonts w:hint="default" w:ascii="Times New Roman" w:hAnsi="Times New Roman" w:cs="Times New Roman"/>
        </w:rPr>
        <w:t>，底盘污水滴漏后被碾压外带，加剧二次污染；环保治理上，依赖重力流的污水收集系统因悬浮物沉积频发堵塞，不仅降低处理效能，更易引发污水外溢事故，而沉淀池容积不足与人工清泥效率低下则进一步推高环保风险；更严峻的是，设备高频启停特性迫使运维投入持续攀升，专业人力与资金压力对资源有限企业形成显著负担</w:t>
      </w:r>
      <w:r>
        <w:rPr>
          <w:rFonts w:hint="default" w:ascii="Times New Roman" w:hAnsi="Times New Roman" w:cs="Times New Roman"/>
          <w:lang w:eastAsia="zh-CN"/>
        </w:rPr>
        <w:t>，</w:t>
      </w:r>
      <w:r>
        <w:rPr>
          <w:rFonts w:hint="default" w:ascii="Times New Roman" w:hAnsi="Times New Roman" w:cs="Times New Roman"/>
        </w:rPr>
        <w:t>亟需通过技术升级与流程重构破局。</w:t>
      </w:r>
    </w:p>
    <w:p w14:paraId="0B38E1CC">
      <w:pPr>
        <w:pStyle w:val="2"/>
        <w:pageBreakBefore w:val="0"/>
        <w:kinsoku/>
        <w:wordWrap/>
        <w:overflowPunct/>
        <w:topLinePunct w:val="0"/>
        <w:bidi w:val="0"/>
        <w:spacing w:before="240" w:after="120" w:afterLines="50"/>
        <w:ind w:left="0" w:right="0"/>
        <w:rPr>
          <w:rFonts w:hint="default" w:ascii="Times New Roman" w:hAnsi="Times New Roman" w:eastAsia="黑体" w:cs="Times New Roman"/>
          <w:spacing w:val="-2"/>
          <w:sz w:val="28"/>
          <w:szCs w:val="28"/>
          <w:lang w:eastAsia="zh-CN"/>
        </w:rPr>
      </w:pPr>
      <w:bookmarkStart w:id="37" w:name="四、采用国际标准和国外先进标准的程度，以及与国际、国外同类标准水平的对比情况，或"/>
      <w:bookmarkEnd w:id="37"/>
      <w:bookmarkStart w:id="38" w:name="_bookmark3"/>
      <w:bookmarkEnd w:id="38"/>
      <w:bookmarkStart w:id="39" w:name="_Toc132723746"/>
      <w:r>
        <w:rPr>
          <w:rFonts w:hint="default" w:ascii="Times New Roman" w:hAnsi="Times New Roman" w:eastAsia="黑体" w:cs="Times New Roman"/>
          <w:spacing w:val="-2"/>
          <w:sz w:val="28"/>
          <w:szCs w:val="28"/>
          <w:lang w:eastAsia="zh-CN"/>
        </w:rPr>
        <w:t>四、国内外相关法律、法规和标准情况的说明</w:t>
      </w:r>
      <w:bookmarkEnd w:id="39"/>
    </w:p>
    <w:p w14:paraId="12608BDC">
      <w:pPr>
        <w:pStyle w:val="6"/>
        <w:pageBreakBefore w:val="0"/>
        <w:kinsoku/>
        <w:wordWrap/>
        <w:overflowPunct/>
        <w:topLinePunct w:val="0"/>
        <w:bidi w:val="0"/>
        <w:spacing w:line="362" w:lineRule="auto"/>
        <w:ind w:left="0" w:right="0" w:firstLine="480"/>
        <w:jc w:val="both"/>
        <w:outlineLvl w:val="9"/>
        <w:rPr>
          <w:rFonts w:hint="default" w:ascii="Times New Roman" w:hAnsi="Times New Roman" w:cs="Times New Roman"/>
          <w:lang w:eastAsia="zh-CN"/>
        </w:rPr>
      </w:pPr>
      <w:r>
        <w:rPr>
          <w:rFonts w:hint="default" w:ascii="Times New Roman" w:hAnsi="Times New Roman" w:eastAsia="宋体" w:cs="Times New Roman"/>
          <w:sz w:val="24"/>
          <w:szCs w:val="24"/>
        </w:rPr>
        <w:t>国外研究报道大多针对城市汽车洗车环节，对于工程车、运输车辆洗车台的研究较少。我国干散货码头面临着最严的粉尘污染管控要求，从环评阶段的措施配套到项目验收及后期运行管理，都有明确的规范和标准。近几年，随着国家对于环境管理要求的不断提高以及世界一流港口建设重点任务的进一步明确，干散货码头的环境管理逐步从控制厂界达标过度到全流程作业起尘节点的精细化控制。目前，</w:t>
      </w:r>
      <w:r>
        <w:rPr>
          <w:rFonts w:hint="default" w:ascii="Times New Roman" w:hAnsi="Times New Roman" w:cs="Times New Roman"/>
          <w:lang w:eastAsia="zh-CN"/>
        </w:rPr>
        <w:t>《排污许可申请与核发技术规范 码头》（HJ1107-2020）等文件</w:t>
      </w:r>
      <w:r>
        <w:rPr>
          <w:rFonts w:hint="default" w:ascii="Times New Roman" w:hAnsi="Times New Roman" w:eastAsia="宋体" w:cs="Times New Roman"/>
          <w:sz w:val="24"/>
          <w:szCs w:val="24"/>
        </w:rPr>
        <w:t>对运营期干散货码头各作业环节提出了具体的措施要求，并明确了堆场环节可采用</w:t>
      </w:r>
      <w:r>
        <w:rPr>
          <w:rFonts w:hint="default" w:ascii="Times New Roman" w:hAnsi="Times New Roman" w:eastAsia="宋体" w:cs="Times New Roman"/>
          <w:sz w:val="24"/>
          <w:szCs w:val="24"/>
          <w:lang w:val="en-US" w:eastAsia="zh-CN"/>
        </w:rPr>
        <w:t>水力冲洗自卸车的方式</w:t>
      </w:r>
      <w:r>
        <w:rPr>
          <w:rFonts w:hint="default" w:ascii="Times New Roman" w:hAnsi="Times New Roman" w:eastAsia="宋体" w:cs="Times New Roman"/>
          <w:sz w:val="24"/>
          <w:szCs w:val="24"/>
        </w:rPr>
        <w:t>进行抑尘，但未明确</w:t>
      </w:r>
      <w:r>
        <w:rPr>
          <w:rFonts w:hint="default" w:ascii="Times New Roman" w:hAnsi="Times New Roman" w:eastAsia="宋体" w:cs="Times New Roman"/>
          <w:sz w:val="24"/>
          <w:szCs w:val="24"/>
          <w:lang w:val="en-US" w:eastAsia="zh-CN"/>
        </w:rPr>
        <w:t>水力冲洗的</w:t>
      </w:r>
      <w:r>
        <w:rPr>
          <w:rFonts w:hint="default" w:ascii="Times New Roman" w:hAnsi="Times New Roman" w:eastAsia="宋体" w:cs="Times New Roman"/>
          <w:sz w:val="24"/>
          <w:szCs w:val="24"/>
        </w:rPr>
        <w:t>具体</w:t>
      </w:r>
      <w:r>
        <w:rPr>
          <w:rFonts w:hint="default" w:ascii="Times New Roman" w:hAnsi="Times New Roman" w:eastAsia="宋体" w:cs="Times New Roman"/>
          <w:sz w:val="24"/>
          <w:szCs w:val="24"/>
          <w:lang w:val="en-US" w:eastAsia="zh-CN"/>
        </w:rPr>
        <w:t>实施</w:t>
      </w:r>
      <w:r>
        <w:rPr>
          <w:rFonts w:hint="default" w:ascii="Times New Roman" w:hAnsi="Times New Roman" w:eastAsia="宋体" w:cs="Times New Roman"/>
          <w:sz w:val="24"/>
          <w:szCs w:val="24"/>
        </w:rPr>
        <w:t>方法，也导致现阶段行业</w:t>
      </w:r>
      <w:r>
        <w:rPr>
          <w:rFonts w:hint="default" w:ascii="Times New Roman" w:hAnsi="Times New Roman" w:eastAsia="宋体" w:cs="Times New Roman"/>
          <w:sz w:val="24"/>
          <w:szCs w:val="24"/>
          <w:lang w:val="en-US" w:eastAsia="zh-CN"/>
        </w:rPr>
        <w:t>采用洗车平台设施进行抑尘</w:t>
      </w:r>
      <w:r>
        <w:rPr>
          <w:rFonts w:hint="default" w:ascii="Times New Roman" w:hAnsi="Times New Roman" w:eastAsia="宋体" w:cs="Times New Roman"/>
          <w:sz w:val="24"/>
          <w:szCs w:val="24"/>
        </w:rPr>
        <w:t>的</w:t>
      </w:r>
      <w:r>
        <w:rPr>
          <w:rFonts w:hint="default" w:ascii="Times New Roman" w:hAnsi="Times New Roman" w:eastAsia="宋体" w:cs="Times New Roman"/>
          <w:sz w:val="24"/>
          <w:szCs w:val="24"/>
          <w:lang w:val="en-US" w:eastAsia="zh-CN"/>
        </w:rPr>
        <w:t>建设和运用</w:t>
      </w:r>
      <w:r>
        <w:rPr>
          <w:rFonts w:hint="default" w:ascii="Times New Roman" w:hAnsi="Times New Roman" w:eastAsia="宋体" w:cs="Times New Roman"/>
          <w:sz w:val="24"/>
          <w:szCs w:val="24"/>
        </w:rPr>
        <w:t>一直处于相对混乱的状态。</w:t>
      </w:r>
      <w:r>
        <w:rPr>
          <w:rFonts w:hint="default" w:ascii="Times New Roman" w:hAnsi="Times New Roman" w:cs="Times New Roman"/>
          <w:lang w:eastAsia="zh-CN"/>
        </w:rPr>
        <w:t>同时，行业内对</w:t>
      </w:r>
      <w:r>
        <w:rPr>
          <w:rFonts w:hint="default" w:ascii="Times New Roman" w:hAnsi="Times New Roman" w:cs="Times New Roman"/>
          <w:lang w:val="en-US" w:eastAsia="zh-CN"/>
        </w:rPr>
        <w:t>洗车平台设计与建设</w:t>
      </w:r>
      <w:r>
        <w:rPr>
          <w:rFonts w:hint="default" w:ascii="Times New Roman" w:hAnsi="Times New Roman" w:cs="Times New Roman"/>
          <w:lang w:eastAsia="zh-CN"/>
        </w:rPr>
        <w:t>至今未出台统一的指导规范。</w:t>
      </w:r>
    </w:p>
    <w:p w14:paraId="1CE21F76">
      <w:pPr>
        <w:pStyle w:val="6"/>
        <w:pageBreakBefore w:val="0"/>
        <w:kinsoku/>
        <w:wordWrap/>
        <w:overflowPunct/>
        <w:topLinePunct w:val="0"/>
        <w:bidi w:val="0"/>
        <w:spacing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为确保本文件成果在全国干散货码头行业具有广泛的适用性，本项目调研重点关注码头所处区域的代表性、码头类型及货种的多样性，主要调研现阶段港</w:t>
      </w:r>
      <w:r>
        <w:rPr>
          <w:rFonts w:hint="default" w:ascii="Times New Roman" w:hAnsi="Times New Roman" w:cs="Times New Roman"/>
          <w:lang w:val="en-US" w:eastAsia="zh-CN"/>
        </w:rPr>
        <w:t>口</w:t>
      </w:r>
      <w:r>
        <w:rPr>
          <w:rFonts w:hint="default" w:ascii="Times New Roman" w:hAnsi="Times New Roman" w:cs="Times New Roman"/>
          <w:lang w:eastAsia="zh-CN"/>
        </w:rPr>
        <w:t>干散货</w:t>
      </w:r>
      <w:r>
        <w:rPr>
          <w:rFonts w:hint="default" w:ascii="Times New Roman" w:hAnsi="Times New Roman" w:cs="Times New Roman"/>
          <w:lang w:val="en-US" w:eastAsia="zh-CN"/>
        </w:rPr>
        <w:t>运输车辆洗车平台建设及</w:t>
      </w:r>
      <w:r>
        <w:rPr>
          <w:rFonts w:hint="default" w:ascii="Times New Roman" w:hAnsi="Times New Roman" w:cs="Times New Roman"/>
          <w:lang w:eastAsia="zh-CN"/>
        </w:rPr>
        <w:t>使用情况，包括建设类型、工艺流程、冲洗方式等，并</w:t>
      </w:r>
      <w:r>
        <w:rPr>
          <w:rFonts w:hint="default" w:ascii="Times New Roman" w:hAnsi="Times New Roman" w:cs="Times New Roman"/>
          <w:lang w:val="en-US" w:eastAsia="zh-CN"/>
        </w:rPr>
        <w:t>重点</w:t>
      </w:r>
      <w:r>
        <w:rPr>
          <w:rFonts w:hint="default" w:ascii="Times New Roman" w:hAnsi="Times New Roman" w:cs="Times New Roman"/>
          <w:lang w:eastAsia="zh-CN"/>
        </w:rPr>
        <w:t>征集企业管理人员、</w:t>
      </w:r>
      <w:r>
        <w:rPr>
          <w:rFonts w:hint="default" w:ascii="Times New Roman" w:hAnsi="Times New Roman" w:cs="Times New Roman"/>
          <w:lang w:val="en-US" w:eastAsia="zh-CN"/>
        </w:rPr>
        <w:t>流动</w:t>
      </w:r>
      <w:r>
        <w:rPr>
          <w:rFonts w:hint="default" w:ascii="Times New Roman" w:hAnsi="Times New Roman" w:cs="Times New Roman"/>
          <w:lang w:eastAsia="zh-CN"/>
        </w:rPr>
        <w:t>机械</w:t>
      </w:r>
      <w:r>
        <w:rPr>
          <w:rFonts w:hint="default" w:ascii="Times New Roman" w:hAnsi="Times New Roman" w:cs="Times New Roman"/>
          <w:lang w:val="en-US" w:eastAsia="zh-CN"/>
        </w:rPr>
        <w:t>和汽运车辆</w:t>
      </w:r>
      <w:r>
        <w:rPr>
          <w:rFonts w:hint="default" w:ascii="Times New Roman" w:hAnsi="Times New Roman" w:cs="Times New Roman"/>
          <w:lang w:eastAsia="zh-CN"/>
        </w:rPr>
        <w:t>驾驶人员对洗车平台规范性建设、</w:t>
      </w:r>
      <w:r>
        <w:rPr>
          <w:rFonts w:hint="default" w:ascii="Times New Roman" w:hAnsi="Times New Roman" w:cs="Times New Roman"/>
          <w:lang w:val="en-US" w:eastAsia="zh-CN"/>
        </w:rPr>
        <w:t>运用</w:t>
      </w:r>
      <w:r>
        <w:rPr>
          <w:rFonts w:hint="default" w:ascii="Times New Roman" w:hAnsi="Times New Roman" w:cs="Times New Roman"/>
          <w:lang w:eastAsia="zh-CN"/>
        </w:rPr>
        <w:t>的运行管理经验、意见或建议。本文件的制定以国内最新的标准规范要求为依据，以国内</w:t>
      </w:r>
      <w:r>
        <w:rPr>
          <w:rFonts w:hint="default" w:ascii="Times New Roman" w:hAnsi="Times New Roman" w:cs="Times New Roman"/>
          <w:lang w:val="en-US" w:eastAsia="zh-CN"/>
        </w:rPr>
        <w:t>洗车平台</w:t>
      </w:r>
      <w:r>
        <w:rPr>
          <w:rFonts w:hint="default" w:ascii="Times New Roman" w:hAnsi="Times New Roman" w:cs="Times New Roman"/>
          <w:lang w:eastAsia="zh-CN"/>
        </w:rPr>
        <w:t>为研究对象，</w:t>
      </w:r>
      <w:r>
        <w:rPr>
          <w:rFonts w:hint="default" w:ascii="Times New Roman" w:hAnsi="Times New Roman" w:cs="Times New Roman"/>
          <w:kern w:val="0"/>
          <w:szCs w:val="21"/>
          <w:lang w:val="en-US" w:eastAsia="zh-CN"/>
        </w:rPr>
        <w:t>港口</w:t>
      </w:r>
      <w:r>
        <w:rPr>
          <w:rFonts w:hint="default" w:ascii="Times New Roman" w:hAnsi="Times New Roman" w:cs="Times New Roman"/>
          <w:kern w:val="0"/>
          <w:szCs w:val="21"/>
        </w:rPr>
        <w:t>干散货</w:t>
      </w:r>
      <w:r>
        <w:rPr>
          <w:rFonts w:hint="default" w:ascii="Times New Roman" w:hAnsi="Times New Roman" w:cs="Times New Roman"/>
          <w:kern w:val="0"/>
          <w:szCs w:val="21"/>
          <w:lang w:val="en-US" w:eastAsia="zh-CN"/>
        </w:rPr>
        <w:t>码头运输车辆洗车平台的</w:t>
      </w:r>
      <w:r>
        <w:rPr>
          <w:rFonts w:hint="default" w:ascii="Times New Roman" w:hAnsi="Times New Roman" w:cs="Times New Roman"/>
          <w:kern w:val="0"/>
          <w:szCs w:val="21"/>
        </w:rPr>
        <w:t>一般要求、</w:t>
      </w:r>
      <w:r>
        <w:rPr>
          <w:rFonts w:hint="default" w:ascii="Times New Roman" w:hAnsi="Times New Roman" w:cs="Times New Roman"/>
          <w:kern w:val="0"/>
          <w:szCs w:val="21"/>
          <w:lang w:val="en-US" w:eastAsia="zh-CN"/>
        </w:rPr>
        <w:t>选址与布置、施工和安装</w:t>
      </w:r>
      <w:r>
        <w:rPr>
          <w:rFonts w:hint="default" w:ascii="Times New Roman" w:hAnsi="Times New Roman" w:cs="Times New Roman"/>
          <w:kern w:val="0"/>
          <w:szCs w:val="21"/>
        </w:rPr>
        <w:t>、</w:t>
      </w:r>
      <w:r>
        <w:rPr>
          <w:rFonts w:hint="default" w:ascii="Times New Roman" w:hAnsi="Times New Roman" w:cs="Times New Roman"/>
          <w:kern w:val="0"/>
          <w:szCs w:val="21"/>
          <w:lang w:val="en-US" w:eastAsia="zh-CN"/>
        </w:rPr>
        <w:t>设施</w:t>
      </w:r>
      <w:r>
        <w:rPr>
          <w:rFonts w:hint="default" w:ascii="Times New Roman" w:hAnsi="Times New Roman" w:cs="Times New Roman"/>
          <w:kern w:val="0"/>
          <w:szCs w:val="21"/>
        </w:rPr>
        <w:t>、</w:t>
      </w:r>
      <w:r>
        <w:rPr>
          <w:rFonts w:hint="default" w:ascii="Times New Roman" w:hAnsi="Times New Roman" w:cs="Times New Roman"/>
          <w:kern w:val="0"/>
          <w:szCs w:val="21"/>
          <w:lang w:val="en-US" w:eastAsia="zh-CN"/>
        </w:rPr>
        <w:t>冲洗系统</w:t>
      </w:r>
      <w:r>
        <w:rPr>
          <w:rFonts w:hint="default" w:ascii="Times New Roman" w:hAnsi="Times New Roman" w:cs="Times New Roman"/>
          <w:kern w:val="0"/>
          <w:szCs w:val="21"/>
        </w:rPr>
        <w:t>、</w:t>
      </w:r>
      <w:r>
        <w:rPr>
          <w:rFonts w:hint="default" w:ascii="Times New Roman" w:hAnsi="Times New Roman" w:cs="Times New Roman"/>
          <w:kern w:val="0"/>
          <w:szCs w:val="21"/>
          <w:lang w:val="en-US" w:eastAsia="zh-CN"/>
        </w:rPr>
        <w:t>污水处置与利用</w:t>
      </w:r>
      <w:r>
        <w:rPr>
          <w:rFonts w:hint="default" w:ascii="Times New Roman" w:hAnsi="Times New Roman" w:cs="Times New Roman"/>
          <w:kern w:val="0"/>
          <w:szCs w:val="21"/>
        </w:rPr>
        <w:t>等相关技术要求</w:t>
      </w:r>
      <w:r>
        <w:rPr>
          <w:rFonts w:hint="default" w:ascii="Times New Roman" w:hAnsi="Times New Roman" w:cs="Times New Roman"/>
          <w:lang w:eastAsia="zh-CN"/>
        </w:rPr>
        <w:t>均为国内标准水平。</w:t>
      </w:r>
    </w:p>
    <w:p w14:paraId="29DDAF9C">
      <w:pPr>
        <w:pStyle w:val="2"/>
        <w:pageBreakBefore w:val="0"/>
        <w:kinsoku/>
        <w:wordWrap/>
        <w:overflowPunct/>
        <w:topLinePunct w:val="0"/>
        <w:bidi w:val="0"/>
        <w:spacing w:before="240" w:after="120" w:afterLines="50"/>
        <w:ind w:left="0" w:right="0"/>
        <w:rPr>
          <w:rFonts w:hint="default" w:ascii="Times New Roman" w:hAnsi="Times New Roman" w:eastAsia="黑体" w:cs="Times New Roman"/>
          <w:spacing w:val="-2"/>
          <w:sz w:val="28"/>
          <w:szCs w:val="28"/>
          <w:lang w:eastAsia="zh-CN"/>
        </w:rPr>
      </w:pPr>
      <w:bookmarkStart w:id="40" w:name="五、与有关的现行法律、法规和强制性标准的关系"/>
      <w:bookmarkEnd w:id="40"/>
      <w:bookmarkStart w:id="41" w:name="_bookmark4"/>
      <w:bookmarkEnd w:id="41"/>
      <w:bookmarkStart w:id="42" w:name="_Toc132723747"/>
      <w:r>
        <w:rPr>
          <w:rFonts w:hint="default" w:ascii="Times New Roman" w:hAnsi="Times New Roman" w:eastAsia="黑体" w:cs="Times New Roman"/>
          <w:spacing w:val="-2"/>
          <w:sz w:val="28"/>
          <w:szCs w:val="28"/>
          <w:lang w:eastAsia="zh-CN"/>
        </w:rPr>
        <w:t>五、与我国有关的现行法律、法规和强制性标准的关系</w:t>
      </w:r>
      <w:bookmarkEnd w:id="42"/>
    </w:p>
    <w:p w14:paraId="38A6C0EC">
      <w:pPr>
        <w:pStyle w:val="6"/>
        <w:pageBreakBefore w:val="0"/>
        <w:kinsoku/>
        <w:wordWrap/>
        <w:overflowPunct/>
        <w:topLinePunct w:val="0"/>
        <w:bidi w:val="0"/>
        <w:spacing w:before="240" w:line="362" w:lineRule="auto"/>
        <w:ind w:left="0" w:right="0" w:firstLine="480"/>
        <w:jc w:val="both"/>
        <w:rPr>
          <w:rFonts w:hint="default" w:ascii="Times New Roman" w:hAnsi="Times New Roman" w:cs="Times New Roman"/>
          <w:lang w:eastAsia="zh-CN"/>
        </w:rPr>
      </w:pPr>
      <w:bookmarkStart w:id="43" w:name="_bookmark5"/>
      <w:bookmarkEnd w:id="43"/>
      <w:r>
        <w:rPr>
          <w:rFonts w:hint="default" w:ascii="Times New Roman" w:hAnsi="Times New Roman" w:cs="Times New Roman"/>
          <w:lang w:eastAsia="zh-CN"/>
        </w:rPr>
        <w:t>本文件引用了 GB/T 8487界定的相关术语；本文件的编制以 JTS 156、JTS 149 中关于煤炭、矿石堆存中粉尘控制措施的相关</w:t>
      </w:r>
      <w:r>
        <w:rPr>
          <w:rFonts w:hint="default" w:ascii="Times New Roman" w:hAnsi="Times New Roman" w:cs="Times New Roman"/>
          <w:lang w:val="en-US" w:eastAsia="zh-CN"/>
        </w:rPr>
        <w:t>要求</w:t>
      </w:r>
      <w:r>
        <w:rPr>
          <w:rFonts w:hint="default" w:ascii="Times New Roman" w:hAnsi="Times New Roman" w:cs="Times New Roman"/>
          <w:lang w:eastAsia="zh-CN"/>
        </w:rPr>
        <w:t>、</w:t>
      </w:r>
      <w:r>
        <w:rPr>
          <w:rFonts w:hint="default" w:ascii="Times New Roman" w:hAnsi="Times New Roman" w:cs="Times New Roman"/>
          <w:highlight w:val="none"/>
          <w:lang w:val="en-US" w:eastAsia="zh-CN"/>
        </w:rPr>
        <w:t>GB 50014、GB/T 18920中关于污水收集处理及中水回用的相关要求</w:t>
      </w:r>
      <w:r>
        <w:rPr>
          <w:rFonts w:hint="default" w:ascii="Times New Roman" w:hAnsi="Times New Roman" w:cs="Times New Roman"/>
          <w:lang w:eastAsia="zh-CN"/>
        </w:rPr>
        <w:t>为依据。</w:t>
      </w:r>
    </w:p>
    <w:p w14:paraId="704401FC">
      <w:pPr>
        <w:pStyle w:val="2"/>
        <w:pageBreakBefore w:val="0"/>
        <w:kinsoku/>
        <w:wordWrap/>
        <w:overflowPunct/>
        <w:topLinePunct w:val="0"/>
        <w:bidi w:val="0"/>
        <w:spacing w:before="240" w:after="120" w:afterLines="50"/>
        <w:ind w:left="0" w:right="0"/>
        <w:rPr>
          <w:rFonts w:hint="default" w:ascii="Times New Roman" w:hAnsi="Times New Roman" w:eastAsia="黑体" w:cs="Times New Roman"/>
          <w:spacing w:val="-2"/>
          <w:sz w:val="28"/>
          <w:szCs w:val="28"/>
          <w:lang w:eastAsia="zh-CN"/>
        </w:rPr>
      </w:pPr>
      <w:bookmarkStart w:id="44" w:name="_Toc132723748"/>
      <w:r>
        <w:rPr>
          <w:rFonts w:hint="default" w:ascii="Times New Roman" w:hAnsi="Times New Roman" w:eastAsia="黑体" w:cs="Times New Roman"/>
          <w:spacing w:val="-2"/>
          <w:sz w:val="28"/>
          <w:szCs w:val="28"/>
          <w:lang w:eastAsia="zh-CN"/>
        </w:rPr>
        <w:t>六、重大分歧意见的处理经过和依据</w:t>
      </w:r>
      <w:bookmarkEnd w:id="44"/>
      <w:bookmarkStart w:id="45" w:name="_bookmark6"/>
      <w:bookmarkEnd w:id="45"/>
    </w:p>
    <w:p w14:paraId="7C0D2218">
      <w:pPr>
        <w:pStyle w:val="6"/>
        <w:pageBreakBefore w:val="0"/>
        <w:kinsoku/>
        <w:wordWrap/>
        <w:overflowPunct/>
        <w:topLinePunct w:val="0"/>
        <w:bidi w:val="0"/>
        <w:spacing w:before="240" w:line="362" w:lineRule="auto"/>
        <w:ind w:left="0" w:right="0" w:firstLine="480"/>
        <w:rPr>
          <w:rFonts w:hint="default" w:ascii="Times New Roman" w:hAnsi="Times New Roman" w:cs="Times New Roman"/>
          <w:lang w:eastAsia="zh-CN"/>
        </w:rPr>
      </w:pPr>
      <w:r>
        <w:rPr>
          <w:rFonts w:hint="default" w:ascii="Times New Roman" w:hAnsi="Times New Roman" w:cs="Times New Roman"/>
          <w:lang w:eastAsia="zh-CN"/>
        </w:rPr>
        <w:t>本文件制定</w:t>
      </w:r>
      <w:r>
        <w:rPr>
          <w:rFonts w:hint="default" w:ascii="Times New Roman" w:hAnsi="Times New Roman" w:cs="Times New Roman"/>
          <w:lang w:val="zh-CN" w:eastAsia="zh-CN"/>
        </w:rPr>
        <w:t>过程</w:t>
      </w:r>
      <w:r>
        <w:rPr>
          <w:rFonts w:hint="default" w:ascii="Times New Roman" w:hAnsi="Times New Roman" w:cs="Times New Roman"/>
          <w:lang w:eastAsia="zh-CN"/>
        </w:rPr>
        <w:t>中，未出现重大意见分歧。</w:t>
      </w:r>
    </w:p>
    <w:p w14:paraId="1EE1F52C">
      <w:pPr>
        <w:pStyle w:val="2"/>
        <w:pageBreakBefore w:val="0"/>
        <w:kinsoku/>
        <w:wordWrap/>
        <w:overflowPunct/>
        <w:topLinePunct w:val="0"/>
        <w:bidi w:val="0"/>
        <w:spacing w:before="240" w:after="120" w:afterLines="50"/>
        <w:ind w:left="0" w:right="0"/>
        <w:rPr>
          <w:rFonts w:hint="default" w:ascii="Times New Roman" w:hAnsi="Times New Roman" w:eastAsia="黑体" w:cs="Times New Roman"/>
          <w:spacing w:val="-2"/>
          <w:sz w:val="28"/>
          <w:szCs w:val="28"/>
          <w:lang w:eastAsia="zh-CN"/>
        </w:rPr>
      </w:pPr>
      <w:bookmarkStart w:id="46" w:name="七、贯彻标准的要求和措施建议（包括组织措施、技术措施、过渡办法等内容）"/>
      <w:bookmarkEnd w:id="46"/>
      <w:bookmarkStart w:id="47" w:name="_Toc132723749"/>
      <w:r>
        <w:rPr>
          <w:rFonts w:hint="default" w:ascii="Times New Roman" w:hAnsi="Times New Roman" w:eastAsia="黑体" w:cs="Times New Roman"/>
          <w:spacing w:val="-2"/>
          <w:sz w:val="28"/>
          <w:szCs w:val="28"/>
          <w:lang w:eastAsia="zh-CN"/>
        </w:rPr>
        <w:t>七、贯彻标准的要求和措施建议（包括组织措施、技术措施、过渡办法等内容）</w:t>
      </w:r>
      <w:bookmarkEnd w:id="47"/>
    </w:p>
    <w:p w14:paraId="5D87559A">
      <w:pPr>
        <w:pStyle w:val="6"/>
        <w:pageBreakBefore w:val="0"/>
        <w:kinsoku/>
        <w:wordWrap/>
        <w:overflowPunct/>
        <w:topLinePunct w:val="0"/>
        <w:bidi w:val="0"/>
        <w:spacing w:before="240" w:line="362" w:lineRule="auto"/>
        <w:ind w:left="0" w:right="0" w:firstLine="480"/>
        <w:jc w:val="both"/>
        <w:rPr>
          <w:rFonts w:hint="default" w:ascii="Times New Roman" w:hAnsi="Times New Roman" w:cs="Times New Roman"/>
          <w:lang w:eastAsia="zh-CN"/>
        </w:rPr>
      </w:pPr>
      <w:r>
        <w:rPr>
          <w:rFonts w:hint="default" w:ascii="Times New Roman" w:hAnsi="Times New Roman" w:cs="Times New Roman"/>
          <w:lang w:eastAsia="zh-CN"/>
        </w:rPr>
        <w:t>在本文件发布后，开展对本文件的宣传和贯彻的培训，规范</w:t>
      </w:r>
      <w:r>
        <w:rPr>
          <w:rFonts w:hint="default" w:ascii="Times New Roman" w:hAnsi="Times New Roman" w:cs="Times New Roman"/>
          <w:lang w:val="en-US" w:eastAsia="zh-CN"/>
        </w:rPr>
        <w:t>港口干散货运输车辆洗车平台设计与建设</w:t>
      </w:r>
      <w:r>
        <w:rPr>
          <w:rFonts w:hint="default" w:ascii="Times New Roman" w:hAnsi="Times New Roman" w:cs="Times New Roman"/>
          <w:lang w:eastAsia="zh-CN"/>
        </w:rPr>
        <w:t>，确保</w:t>
      </w:r>
      <w:r>
        <w:rPr>
          <w:rFonts w:hint="default" w:ascii="Times New Roman" w:hAnsi="Times New Roman" w:cs="Times New Roman"/>
          <w:lang w:val="en-US" w:eastAsia="zh-CN"/>
        </w:rPr>
        <w:t>港口新建、改建</w:t>
      </w:r>
      <w:r>
        <w:rPr>
          <w:rFonts w:hint="default" w:ascii="Times New Roman" w:hAnsi="Times New Roman" w:cs="Times New Roman"/>
          <w:lang w:val="en-US" w:eastAsia="zh-CN"/>
        </w:rPr>
        <w:t>和扩建</w:t>
      </w:r>
      <w:r>
        <w:rPr>
          <w:rFonts w:hint="default" w:ascii="Times New Roman" w:hAnsi="Times New Roman" w:cs="Times New Roman"/>
          <w:lang w:val="en-US" w:eastAsia="zh-CN"/>
        </w:rPr>
        <w:t>干散货运输车辆洗车平台的</w:t>
      </w:r>
      <w:r>
        <w:rPr>
          <w:rFonts w:hint="default" w:ascii="Times New Roman" w:hAnsi="Times New Roman" w:cs="Times New Roman"/>
          <w:lang w:val="en-US" w:eastAsia="zh-CN"/>
        </w:rPr>
        <w:t>科学合理</w:t>
      </w:r>
      <w:r>
        <w:rPr>
          <w:rFonts w:hint="default" w:ascii="Times New Roman" w:hAnsi="Times New Roman" w:cs="Times New Roman"/>
          <w:lang w:eastAsia="zh-CN"/>
        </w:rPr>
        <w:t>，</w:t>
      </w:r>
      <w:r>
        <w:rPr>
          <w:rFonts w:hint="default" w:ascii="Times New Roman" w:hAnsi="Times New Roman" w:cs="Times New Roman"/>
          <w:lang w:val="en-US" w:eastAsia="zh-CN"/>
        </w:rPr>
        <w:t>帮助</w:t>
      </w:r>
      <w:r>
        <w:rPr>
          <w:rFonts w:hint="default" w:ascii="Times New Roman" w:hAnsi="Times New Roman" w:cs="Times New Roman"/>
          <w:lang w:eastAsia="zh-CN"/>
        </w:rPr>
        <w:t>企业</w:t>
      </w:r>
      <w:r>
        <w:rPr>
          <w:rFonts w:hint="default" w:ascii="Times New Roman" w:hAnsi="Times New Roman" w:cs="Times New Roman"/>
          <w:lang w:val="en-US" w:eastAsia="zh-CN"/>
        </w:rPr>
        <w:t>高效</w:t>
      </w:r>
      <w:r>
        <w:rPr>
          <w:rFonts w:hint="default" w:ascii="Times New Roman" w:hAnsi="Times New Roman" w:cs="Times New Roman"/>
          <w:lang w:val="en-US" w:eastAsia="zh-CN"/>
        </w:rPr>
        <w:t>利用</w:t>
      </w:r>
      <w:r>
        <w:rPr>
          <w:rFonts w:hint="default" w:ascii="Times New Roman" w:hAnsi="Times New Roman" w:cs="Times New Roman"/>
          <w:lang w:val="en-US" w:eastAsia="zh-CN"/>
        </w:rPr>
        <w:t>洗车平台，减少运输车辆的扬尘污染</w:t>
      </w:r>
      <w:r>
        <w:rPr>
          <w:rFonts w:hint="default" w:ascii="Times New Roman" w:hAnsi="Times New Roman" w:cs="Times New Roman"/>
          <w:lang w:eastAsia="zh-CN"/>
        </w:rPr>
        <w:t>。</w:t>
      </w:r>
    </w:p>
    <w:p w14:paraId="101B2A30">
      <w:pPr>
        <w:pStyle w:val="2"/>
        <w:pageBreakBefore w:val="0"/>
        <w:kinsoku/>
        <w:wordWrap/>
        <w:overflowPunct/>
        <w:topLinePunct w:val="0"/>
        <w:bidi w:val="0"/>
        <w:spacing w:before="240" w:after="120" w:afterLines="50"/>
        <w:ind w:left="0" w:right="0"/>
        <w:rPr>
          <w:rFonts w:hint="default" w:ascii="Times New Roman" w:hAnsi="Times New Roman" w:eastAsia="黑体" w:cs="Times New Roman"/>
          <w:spacing w:val="-2"/>
          <w:sz w:val="28"/>
          <w:szCs w:val="28"/>
          <w:lang w:eastAsia="zh-CN"/>
        </w:rPr>
      </w:pPr>
      <w:bookmarkStart w:id="48" w:name="八、废止现行有关标准的建议"/>
      <w:bookmarkEnd w:id="48"/>
      <w:bookmarkStart w:id="49" w:name="_bookmark7"/>
      <w:bookmarkEnd w:id="49"/>
      <w:bookmarkStart w:id="50" w:name="_Toc132723750"/>
      <w:r>
        <w:rPr>
          <w:rFonts w:hint="default" w:ascii="Times New Roman" w:hAnsi="Times New Roman" w:eastAsia="黑体" w:cs="Times New Roman"/>
          <w:spacing w:val="-2"/>
          <w:sz w:val="28"/>
          <w:szCs w:val="28"/>
          <w:lang w:eastAsia="zh-CN"/>
        </w:rPr>
        <w:t>八、废止现行有关标准的建议</w:t>
      </w:r>
      <w:bookmarkEnd w:id="50"/>
    </w:p>
    <w:p w14:paraId="7D2E22A4">
      <w:pPr>
        <w:pStyle w:val="6"/>
        <w:pageBreakBefore w:val="0"/>
        <w:kinsoku/>
        <w:wordWrap/>
        <w:overflowPunct/>
        <w:topLinePunct w:val="0"/>
        <w:bidi w:val="0"/>
        <w:spacing w:before="240" w:line="362" w:lineRule="auto"/>
        <w:ind w:left="0" w:right="0" w:firstLine="480"/>
        <w:rPr>
          <w:rFonts w:hint="default" w:ascii="Times New Roman" w:hAnsi="Times New Roman" w:cs="Times New Roman"/>
          <w:lang w:eastAsia="zh-CN"/>
        </w:rPr>
      </w:pPr>
      <w:r>
        <w:rPr>
          <w:rFonts w:hint="default" w:ascii="Times New Roman" w:hAnsi="Times New Roman" w:cs="Times New Roman"/>
          <w:lang w:eastAsia="zh-CN"/>
        </w:rPr>
        <w:t>无。</w:t>
      </w:r>
    </w:p>
    <w:p w14:paraId="6DF3D80C">
      <w:pPr>
        <w:pStyle w:val="2"/>
        <w:pageBreakBefore w:val="0"/>
        <w:kinsoku/>
        <w:wordWrap/>
        <w:overflowPunct/>
        <w:topLinePunct w:val="0"/>
        <w:bidi w:val="0"/>
        <w:spacing w:before="240" w:after="120" w:afterLines="50"/>
        <w:ind w:left="0" w:right="0"/>
        <w:rPr>
          <w:rFonts w:hint="default" w:ascii="Times New Roman" w:hAnsi="Times New Roman" w:eastAsia="黑体" w:cs="Times New Roman"/>
          <w:spacing w:val="-2"/>
          <w:sz w:val="28"/>
          <w:szCs w:val="28"/>
          <w:lang w:eastAsia="zh-CN"/>
        </w:rPr>
      </w:pPr>
      <w:bookmarkStart w:id="51" w:name="九、其他应予说明的事项"/>
      <w:bookmarkEnd w:id="51"/>
      <w:bookmarkStart w:id="52" w:name="_bookmark8"/>
      <w:bookmarkEnd w:id="52"/>
      <w:bookmarkStart w:id="53" w:name="_Toc132723751"/>
      <w:r>
        <w:rPr>
          <w:rFonts w:hint="default" w:ascii="Times New Roman" w:hAnsi="Times New Roman" w:eastAsia="黑体" w:cs="Times New Roman"/>
          <w:spacing w:val="-2"/>
          <w:sz w:val="28"/>
          <w:szCs w:val="28"/>
          <w:lang w:eastAsia="zh-CN"/>
        </w:rPr>
        <w:t>九、其他应予说明的事项</w:t>
      </w:r>
      <w:bookmarkEnd w:id="53"/>
    </w:p>
    <w:p w14:paraId="46698581">
      <w:pPr>
        <w:pStyle w:val="6"/>
        <w:pageBreakBefore w:val="0"/>
        <w:kinsoku/>
        <w:wordWrap/>
        <w:overflowPunct/>
        <w:topLinePunct w:val="0"/>
        <w:bidi w:val="0"/>
        <w:spacing w:before="240" w:line="362" w:lineRule="auto"/>
        <w:ind w:left="0" w:right="0" w:firstLine="480"/>
        <w:rPr>
          <w:rFonts w:hint="default" w:ascii="Times New Roman" w:hAnsi="Times New Roman" w:cs="Times New Roman"/>
          <w:sz w:val="35"/>
          <w:szCs w:val="24"/>
          <w:lang w:eastAsia="zh-CN"/>
        </w:rPr>
      </w:pPr>
      <w:r>
        <w:rPr>
          <w:rFonts w:hint="default" w:ascii="Times New Roman" w:hAnsi="Times New Roman" w:cs="Times New Roman"/>
          <w:lang w:eastAsia="zh-CN"/>
        </w:rPr>
        <w:t>无。</w:t>
      </w:r>
    </w:p>
    <w:p w14:paraId="13D068B5">
      <w:pPr>
        <w:pStyle w:val="6"/>
        <w:pageBreakBefore w:val="0"/>
        <w:kinsoku/>
        <w:wordWrap/>
        <w:overflowPunct/>
        <w:topLinePunct w:val="0"/>
        <w:bidi w:val="0"/>
        <w:spacing w:line="360" w:lineRule="exact"/>
        <w:ind w:left="0" w:right="0" w:firstLine="700" w:firstLineChars="200"/>
        <w:rPr>
          <w:rFonts w:hint="default" w:ascii="Times New Roman" w:hAnsi="Times New Roman" w:cs="Times New Roman"/>
          <w:sz w:val="35"/>
          <w:lang w:eastAsia="zh-CN"/>
        </w:rPr>
      </w:pPr>
    </w:p>
    <w:sectPr>
      <w:footerReference r:id="rId9" w:type="default"/>
      <w:pgSz w:w="11910" w:h="16840"/>
      <w:pgMar w:top="1580" w:right="1180" w:bottom="1200" w:left="1200" w:header="0" w:footer="923"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PingFang SC">
    <w:altName w:val="ESRI AMFM Electric"/>
    <w:panose1 w:val="00000000000000000000"/>
    <w:charset w:val="00"/>
    <w:family w:val="auto"/>
    <w:pitch w:val="default"/>
    <w:sig w:usb0="00000000" w:usb1="00000000" w:usb2="00000000" w:usb3="00000000" w:csb0="00000000" w:csb1="00000000"/>
  </w:font>
  <w:font w:name="AMGDT">
    <w:altName w:val="Segoe UI Semilight"/>
    <w:panose1 w:val="02000400000000000000"/>
    <w:charset w:val="00"/>
    <w:family w:val="auto"/>
    <w:pitch w:val="default"/>
    <w:sig w:usb0="00000000" w:usb1="00000000" w:usb2="00000000" w:usb3="00000000" w:csb0="000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ESRI AMFM Electric">
    <w:panose1 w:val="02000400000000000000"/>
    <w:charset w:val="00"/>
    <w:family w:val="auto"/>
    <w:pitch w:val="default"/>
    <w:sig w:usb0="00000003" w:usb1="00000000" w:usb2="00000000" w:usb3="00000000" w:csb0="00000001" w:csb1="00000000"/>
  </w:font>
  <w:font w:name="Segoe UI Semilight">
    <w:panose1 w:val="020B04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9CE7B3">
    <w:pPr>
      <w:pStyle w:val="6"/>
      <w:spacing w:line="14" w:lineRule="auto"/>
      <w:rPr>
        <w:sz w:val="20"/>
      </w:rPr>
    </w:pPr>
    <w:r>
      <w:rPr>
        <w:lang w:eastAsia="zh-CN"/>
      </w:rPr>
      <mc:AlternateContent>
        <mc:Choice Requires="wps">
          <w:drawing>
            <wp:anchor distT="0" distB="0" distL="114300" distR="114300" simplePos="0" relativeHeight="251659264" behindDoc="1" locked="0" layoutInCell="1" allowOverlap="1">
              <wp:simplePos x="0" y="0"/>
              <wp:positionH relativeFrom="page">
                <wp:posOffset>3757930</wp:posOffset>
              </wp:positionH>
              <wp:positionV relativeFrom="page">
                <wp:posOffset>9914255</wp:posOffset>
              </wp:positionV>
              <wp:extent cx="54610" cy="167005"/>
              <wp:effectExtent l="0" t="0" r="0" b="0"/>
              <wp:wrapNone/>
              <wp:docPr id="46" name="Text Box 2"/>
              <wp:cNvGraphicFramePr/>
              <a:graphic xmlns:a="http://schemas.openxmlformats.org/drawingml/2006/main">
                <a:graphicData uri="http://schemas.microsoft.com/office/word/2010/wordprocessingShape">
                  <wps:wsp>
                    <wps:cNvSpPr txBox="1">
                      <a:spLocks noChangeArrowheads="1"/>
                    </wps:cNvSpPr>
                    <wps:spPr bwMode="auto">
                      <a:xfrm>
                        <a:off x="0" y="0"/>
                        <a:ext cx="54610" cy="167005"/>
                      </a:xfrm>
                      <a:prstGeom prst="rect">
                        <a:avLst/>
                      </a:prstGeom>
                      <a:noFill/>
                      <a:ln>
                        <a:noFill/>
                      </a:ln>
                    </wps:spPr>
                    <wps:txbx>
                      <w:txbxContent>
                        <w:p w14:paraId="18C5D3D0">
                          <w:pPr>
                            <w:spacing w:before="22"/>
                            <w:ind w:left="20"/>
                            <w:rPr>
                              <w:rFonts w:ascii="Calibri"/>
                              <w:sz w:val="18"/>
                            </w:rPr>
                          </w:pPr>
                          <w:r>
                            <w:rPr>
                              <w:rFonts w:ascii="Calibri"/>
                              <w:w w:val="101"/>
                              <w:sz w:val="18"/>
                            </w:rPr>
                            <w:t>I</w:t>
                          </w:r>
                        </w:p>
                      </w:txbxContent>
                    </wps:txbx>
                    <wps:bodyPr rot="0" vert="horz" wrap="square" lIns="0" tIns="0" rIns="0" bIns="0" anchor="t" anchorCtr="0" upright="1">
                      <a:noAutofit/>
                    </wps:bodyPr>
                  </wps:wsp>
                </a:graphicData>
              </a:graphic>
            </wp:anchor>
          </w:drawing>
        </mc:Choice>
        <mc:Fallback>
          <w:pict>
            <v:shape id="Text Box 2" o:spid="_x0000_s1026" o:spt="202" type="#_x0000_t202" style="position:absolute;left:0pt;margin-left:295.9pt;margin-top:780.65pt;height:13.15pt;width:4.3pt;mso-position-horizontal-relative:page;mso-position-vertical-relative:page;z-index:-251657216;mso-width-relative:page;mso-height-relative:page;" filled="f" stroked="f" coordsize="21600,21600" o:gfxdata="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7NKaKNoAAAANAQAADwAAAAAAAAABACAAAAAiAAAAZHJzL2Rvd25y&#10;ZXYueG1sUEsBAhQAFAAAAAgAh07iQAERf9T8AQAAAwQAAA4AAAAAAAAAAQAgAAAAKQEAAGRycy9l&#10;Mm9Eb2MueG1sUEsFBgAAAAAGAAYAWQEAAJcFAAAAAA==&#10;">
              <v:fill on="f" focussize="0,0"/>
              <v:stroke on="f"/>
              <v:imagedata o:title=""/>
              <o:lock v:ext="edit" aspectratio="f"/>
              <v:textbox inset="0mm,0mm,0mm,0mm">
                <w:txbxContent>
                  <w:p w14:paraId="18C5D3D0">
                    <w:pPr>
                      <w:spacing w:before="22"/>
                      <w:ind w:left="20"/>
                      <w:rPr>
                        <w:rFonts w:ascii="Calibri"/>
                        <w:sz w:val="18"/>
                      </w:rPr>
                    </w:pPr>
                    <w:r>
                      <w:rPr>
                        <w:rFonts w:ascii="Calibri"/>
                        <w:w w:val="101"/>
                        <w:sz w:val="18"/>
                      </w:rPr>
                      <w:t>I</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6BC2EE">
    <w:pPr>
      <w:pStyle w:val="8"/>
      <w:tabs>
        <w:tab w:val="clear" w:pos="4153"/>
      </w:tabs>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C8985F">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azvg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2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2RrO+DICAABjBAAADgAAAAAAAAABACAAAAAfAQAAZHJzL2Uyb0RvYy54bWxQSwUG&#10;AAAAAAYABgBZAQAAwwUAAAAA&#10;">
              <v:fill on="f" focussize="0,0"/>
              <v:stroke on="f" weight="0.5pt"/>
              <v:imagedata o:title=""/>
              <o:lock v:ext="edit" aspectratio="f"/>
              <v:textbox inset="0mm,0mm,0mm,0mm" style="mso-fit-shape-to-text:t;">
                <w:txbxContent>
                  <w:p w14:paraId="58C8985F">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38BCD">
    <w:pPr>
      <w:pStyle w:val="8"/>
      <w:tabs>
        <w:tab w:val="clear" w:pos="4153"/>
      </w:tabs>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6" name="文本框 5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4C402A">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WFKJQzAgAAYwQAAA4AAABkcnMvZTJvRG9jLnhtbK1UzY7TMBC+I/EO&#10;lu80adFW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t/epO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WFKJQzAgAAYwQAAA4AAAAAAAAAAQAgAAAAHwEAAGRycy9lMm9Eb2MueG1sUEsF&#10;BgAAAAAGAAYAWQEAAMQFAAAAAA==&#10;">
              <v:fill on="f" focussize="0,0"/>
              <v:stroke on="f" weight="0.5pt"/>
              <v:imagedata o:title=""/>
              <o:lock v:ext="edit" aspectratio="f"/>
              <v:textbox inset="0mm,0mm,0mm,0mm" style="mso-fit-shape-to-text:t;">
                <w:txbxContent>
                  <w:p w14:paraId="2F4C402A">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0A202">
    <w:pPr>
      <w:pStyle w:val="8"/>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D6B3B5">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J74X8zAgAAYw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ryd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J74X8zAgAAYwQAAA4AAAAAAAAAAQAgAAAAHwEAAGRycy9lMm9Eb2MueG1sUEsF&#10;BgAAAAAGAAYAWQEAAMQFAAAAAA==&#10;">
              <v:fill on="f" focussize="0,0"/>
              <v:stroke on="f" weight="0.5pt"/>
              <v:imagedata o:title=""/>
              <o:lock v:ext="edit" aspectratio="f"/>
              <v:textbox inset="0mm,0mm,0mm,0mm" style="mso-fit-shape-to-text:t;">
                <w:txbxContent>
                  <w:p w14:paraId="21D6B3B5">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885216">
    <w:pPr>
      <w:pStyle w:val="8"/>
      <w:tabs>
        <w:tab w:val="clear" w:pos="4153"/>
      </w:tabs>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B6E8AD">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eh/es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Hof3rMQIAAGMEAAAOAAAAAAAAAAEAIAAAAB8BAABkcnMvZTJvRG9jLnhtbFBLBQYA&#10;AAAABgAGAFkBAADCBQAAAAA=&#10;">
              <v:fill on="f" focussize="0,0"/>
              <v:stroke on="f" weight="0.5pt"/>
              <v:imagedata o:title=""/>
              <o:lock v:ext="edit" aspectratio="f"/>
              <v:textbox inset="0mm,0mm,0mm,0mm" style="mso-fit-shape-to-text:t;">
                <w:txbxContent>
                  <w:p w14:paraId="5EB6E8AD">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4CBD21">
    <w:pPr>
      <w:pStyle w:val="8"/>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CD09EA">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yNJGYzAgAAYw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9d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yNJGYzAgAAYwQAAA4AAAAAAAAAAQAgAAAAHwEAAGRycy9lMm9Eb2MueG1sUEsF&#10;BgAAAAAGAAYAWQEAAMQFAAAAAA==&#10;">
              <v:fill on="f" focussize="0,0"/>
              <v:stroke on="f" weight="0.5pt"/>
              <v:imagedata o:title=""/>
              <o:lock v:ext="edit" aspectratio="f"/>
              <v:textbox inset="0mm,0mm,0mm,0mm" style="mso-fit-shape-to-text:t;">
                <w:txbxContent>
                  <w:p w14:paraId="47CD09EA">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97692">
    <w:pPr>
      <w:pStyle w:val="6"/>
      <w:spacing w:line="14" w:lineRule="auto"/>
      <w:rPr>
        <w:sz w:val="14"/>
      </w:rPr>
    </w:pPr>
    <w:r>
      <w:rPr>
        <w:lang w:eastAsia="zh-CN"/>
      </w:rPr>
      <mc:AlternateContent>
        <mc:Choice Requires="wps">
          <w:drawing>
            <wp:anchor distT="0" distB="0" distL="114300" distR="114300" simplePos="0" relativeHeight="251659264" behindDoc="1" locked="0" layoutInCell="1" allowOverlap="1">
              <wp:simplePos x="0" y="0"/>
              <wp:positionH relativeFrom="page">
                <wp:posOffset>3702050</wp:posOffset>
              </wp:positionH>
              <wp:positionV relativeFrom="page">
                <wp:posOffset>9914255</wp:posOffset>
              </wp:positionV>
              <wp:extent cx="167005" cy="167005"/>
              <wp:effectExtent l="0" t="0" r="0" b="0"/>
              <wp:wrapNone/>
              <wp:docPr id="45" name="Text Box 1"/>
              <wp:cNvGraphicFramePr/>
              <a:graphic xmlns:a="http://schemas.openxmlformats.org/drawingml/2006/main">
                <a:graphicData uri="http://schemas.microsoft.com/office/word/2010/wordprocessingShape">
                  <wps:wsp>
                    <wps:cNvSpPr txBox="1">
                      <a:spLocks noChangeArrowheads="1"/>
                    </wps:cNvSpPr>
                    <wps:spPr bwMode="auto">
                      <a:xfrm>
                        <a:off x="0" y="0"/>
                        <a:ext cx="167005" cy="167005"/>
                      </a:xfrm>
                      <a:prstGeom prst="rect">
                        <a:avLst/>
                      </a:prstGeom>
                      <a:noFill/>
                      <a:ln>
                        <a:noFill/>
                      </a:ln>
                    </wps:spPr>
                    <wps:txbx>
                      <w:txbxContent>
                        <w:p w14:paraId="6CE6C022">
                          <w:pPr>
                            <w:spacing w:before="22"/>
                            <w:ind w:left="40"/>
                            <w:rPr>
                              <w:rFonts w:ascii="Calibri"/>
                              <w:sz w:val="18"/>
                            </w:rPr>
                          </w:pPr>
                          <w:r>
                            <w:fldChar w:fldCharType="begin"/>
                          </w:r>
                          <w:r>
                            <w:rPr>
                              <w:rFonts w:ascii="Calibri"/>
                              <w:sz w:val="18"/>
                            </w:rPr>
                            <w:instrText xml:space="preserve"> PAGE </w:instrText>
                          </w:r>
                          <w:r>
                            <w:fldChar w:fldCharType="separate"/>
                          </w:r>
                          <w:r>
                            <w:rPr>
                              <w:rFonts w:ascii="Calibri"/>
                              <w:sz w:val="18"/>
                            </w:rPr>
                            <w:t>30</w:t>
                          </w:r>
                          <w:r>
                            <w:fldChar w:fldCharType="end"/>
                          </w:r>
                        </w:p>
                      </w:txbxContent>
                    </wps:txbx>
                    <wps:bodyPr rot="0" vert="horz" wrap="square" lIns="0" tIns="0" rIns="0" bIns="0" anchor="t" anchorCtr="0" upright="1">
                      <a:noAutofit/>
                    </wps:bodyPr>
                  </wps:wsp>
                </a:graphicData>
              </a:graphic>
            </wp:anchor>
          </w:drawing>
        </mc:Choice>
        <mc:Fallback>
          <w:pict>
            <v:shape id="Text Box 1" o:spid="_x0000_s1026" o:spt="202" type="#_x0000_t202" style="position:absolute;left:0pt;margin-left:291.5pt;margin-top:780.65pt;height:13.15pt;width:13.15pt;mso-position-horizontal-relative:page;mso-position-vertical-relative:page;z-index:-251657216;mso-width-relative:page;mso-height-relative:page;" filled="f" stroked="f" coordsize="21600,21600" o:gfxdata="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bwfkqdoAAAANAQAADwAAAAAAAAABACAAAAAiAAAAZHJzL2Rvd25yZXYueG1s&#10;UEsBAhQAFAAAAAgAh07iQAEYQGL2AQAABAQAAA4AAAAAAAAAAQAgAAAAKQEAAGRycy9lMm9Eb2Mu&#10;eG1sUEsFBgAAAAAGAAYAWQEAAJEFAAAAAA==&#10;">
              <v:fill on="f" focussize="0,0"/>
              <v:stroke on="f"/>
              <v:imagedata o:title=""/>
              <o:lock v:ext="edit" aspectratio="f"/>
              <v:textbox inset="0mm,0mm,0mm,0mm">
                <w:txbxContent>
                  <w:p w14:paraId="6CE6C022">
                    <w:pPr>
                      <w:spacing w:before="22"/>
                      <w:ind w:left="40"/>
                      <w:rPr>
                        <w:rFonts w:ascii="Calibri"/>
                        <w:sz w:val="18"/>
                      </w:rPr>
                    </w:pPr>
                    <w:r>
                      <w:fldChar w:fldCharType="begin"/>
                    </w:r>
                    <w:r>
                      <w:rPr>
                        <w:rFonts w:ascii="Calibri"/>
                        <w:sz w:val="18"/>
                      </w:rPr>
                      <w:instrText xml:space="preserve"> PAGE </w:instrText>
                    </w:r>
                    <w:r>
                      <w:fldChar w:fldCharType="separate"/>
                    </w:r>
                    <w:r>
                      <w:rPr>
                        <w:rFonts w:ascii="Calibri"/>
                        <w:sz w:val="18"/>
                      </w:rPr>
                      <w:t>30</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A0DA3A"/>
    <w:multiLevelType w:val="singleLevel"/>
    <w:tmpl w:val="9DA0DA3A"/>
    <w:lvl w:ilvl="0" w:tentative="0">
      <w:start w:val="3"/>
      <w:numFmt w:val="chineseCounting"/>
      <w:suff w:val="nothing"/>
      <w:lvlText w:val="%1、"/>
      <w:lvlJc w:val="left"/>
      <w:rPr>
        <w:rFonts w:hint="eastAsia"/>
      </w:rPr>
    </w:lvl>
  </w:abstractNum>
  <w:abstractNum w:abstractNumId="1">
    <w:nsid w:val="348468C1"/>
    <w:multiLevelType w:val="multilevel"/>
    <w:tmpl w:val="348468C1"/>
    <w:lvl w:ilvl="0" w:tentative="0">
      <w:start w:val="1"/>
      <w:numFmt w:val="decimal"/>
      <w:lvlText w:val="%1."/>
      <w:lvlJc w:val="left"/>
      <w:pPr>
        <w:ind w:left="1029"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compat>
    <w:ulTrailSpace/>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3187"/>
    <w:rsid w:val="00004E73"/>
    <w:rsid w:val="00014EA8"/>
    <w:rsid w:val="00016F27"/>
    <w:rsid w:val="000176BD"/>
    <w:rsid w:val="00026001"/>
    <w:rsid w:val="00026EB4"/>
    <w:rsid w:val="000312BD"/>
    <w:rsid w:val="00031F04"/>
    <w:rsid w:val="00032687"/>
    <w:rsid w:val="00034058"/>
    <w:rsid w:val="00036401"/>
    <w:rsid w:val="000367D1"/>
    <w:rsid w:val="00060750"/>
    <w:rsid w:val="00060BAF"/>
    <w:rsid w:val="00064D0D"/>
    <w:rsid w:val="00065480"/>
    <w:rsid w:val="000655F1"/>
    <w:rsid w:val="00065F2C"/>
    <w:rsid w:val="0006605F"/>
    <w:rsid w:val="000664EA"/>
    <w:rsid w:val="00081BD0"/>
    <w:rsid w:val="00090843"/>
    <w:rsid w:val="00094044"/>
    <w:rsid w:val="000A2776"/>
    <w:rsid w:val="000A4786"/>
    <w:rsid w:val="000A7DE8"/>
    <w:rsid w:val="000B1693"/>
    <w:rsid w:val="000B4E0E"/>
    <w:rsid w:val="000C738E"/>
    <w:rsid w:val="000D0D5B"/>
    <w:rsid w:val="000D217C"/>
    <w:rsid w:val="000D55C1"/>
    <w:rsid w:val="000E2E03"/>
    <w:rsid w:val="000E5DFF"/>
    <w:rsid w:val="000E7EB4"/>
    <w:rsid w:val="000F2EDD"/>
    <w:rsid w:val="000F5985"/>
    <w:rsid w:val="00100855"/>
    <w:rsid w:val="001075F0"/>
    <w:rsid w:val="00115C2B"/>
    <w:rsid w:val="00115C4B"/>
    <w:rsid w:val="001238F4"/>
    <w:rsid w:val="00127557"/>
    <w:rsid w:val="00127EFD"/>
    <w:rsid w:val="00132649"/>
    <w:rsid w:val="00132A65"/>
    <w:rsid w:val="00132D8F"/>
    <w:rsid w:val="00133387"/>
    <w:rsid w:val="00133D0F"/>
    <w:rsid w:val="00140D74"/>
    <w:rsid w:val="00142A78"/>
    <w:rsid w:val="0014645F"/>
    <w:rsid w:val="00147BB3"/>
    <w:rsid w:val="00154863"/>
    <w:rsid w:val="00154EC5"/>
    <w:rsid w:val="001678ED"/>
    <w:rsid w:val="00171CDA"/>
    <w:rsid w:val="00171E2F"/>
    <w:rsid w:val="001746D2"/>
    <w:rsid w:val="001832F8"/>
    <w:rsid w:val="00190048"/>
    <w:rsid w:val="001A4C55"/>
    <w:rsid w:val="001A515F"/>
    <w:rsid w:val="001A6590"/>
    <w:rsid w:val="001B7A2C"/>
    <w:rsid w:val="001C0B1E"/>
    <w:rsid w:val="001C2381"/>
    <w:rsid w:val="001D0225"/>
    <w:rsid w:val="001D082D"/>
    <w:rsid w:val="001D0D19"/>
    <w:rsid w:val="001D2FDC"/>
    <w:rsid w:val="001E021F"/>
    <w:rsid w:val="001E0956"/>
    <w:rsid w:val="001E0F99"/>
    <w:rsid w:val="001E4C5A"/>
    <w:rsid w:val="001E673D"/>
    <w:rsid w:val="001F0ECD"/>
    <w:rsid w:val="001F10FC"/>
    <w:rsid w:val="002030CD"/>
    <w:rsid w:val="00216580"/>
    <w:rsid w:val="00217DDD"/>
    <w:rsid w:val="00222D5B"/>
    <w:rsid w:val="00232643"/>
    <w:rsid w:val="00234F88"/>
    <w:rsid w:val="00235386"/>
    <w:rsid w:val="002446EC"/>
    <w:rsid w:val="00246F74"/>
    <w:rsid w:val="00254B69"/>
    <w:rsid w:val="00260183"/>
    <w:rsid w:val="00260AF8"/>
    <w:rsid w:val="002621BD"/>
    <w:rsid w:val="00262889"/>
    <w:rsid w:val="00263D73"/>
    <w:rsid w:val="0026411A"/>
    <w:rsid w:val="00267269"/>
    <w:rsid w:val="00283752"/>
    <w:rsid w:val="002853E9"/>
    <w:rsid w:val="00286723"/>
    <w:rsid w:val="00295017"/>
    <w:rsid w:val="00297D00"/>
    <w:rsid w:val="002A5BCF"/>
    <w:rsid w:val="002C0FC7"/>
    <w:rsid w:val="002C1AB8"/>
    <w:rsid w:val="002C1E64"/>
    <w:rsid w:val="002D1333"/>
    <w:rsid w:val="002E14DD"/>
    <w:rsid w:val="002E651A"/>
    <w:rsid w:val="002F1558"/>
    <w:rsid w:val="002F35F3"/>
    <w:rsid w:val="002F4140"/>
    <w:rsid w:val="002F48D6"/>
    <w:rsid w:val="003010AC"/>
    <w:rsid w:val="00302755"/>
    <w:rsid w:val="00306D93"/>
    <w:rsid w:val="00306F4A"/>
    <w:rsid w:val="00310A0C"/>
    <w:rsid w:val="00310B9E"/>
    <w:rsid w:val="00311FDC"/>
    <w:rsid w:val="003140E2"/>
    <w:rsid w:val="00322116"/>
    <w:rsid w:val="00325A6C"/>
    <w:rsid w:val="0033069F"/>
    <w:rsid w:val="00331887"/>
    <w:rsid w:val="003371D1"/>
    <w:rsid w:val="00344F54"/>
    <w:rsid w:val="0035104E"/>
    <w:rsid w:val="003544B4"/>
    <w:rsid w:val="003578EC"/>
    <w:rsid w:val="00361043"/>
    <w:rsid w:val="003653DC"/>
    <w:rsid w:val="00366D27"/>
    <w:rsid w:val="00370BDB"/>
    <w:rsid w:val="00374035"/>
    <w:rsid w:val="00376089"/>
    <w:rsid w:val="00376994"/>
    <w:rsid w:val="00383CFA"/>
    <w:rsid w:val="00383DBB"/>
    <w:rsid w:val="00383FEC"/>
    <w:rsid w:val="00391F9D"/>
    <w:rsid w:val="003A1127"/>
    <w:rsid w:val="003A4657"/>
    <w:rsid w:val="003B1134"/>
    <w:rsid w:val="003B3A9F"/>
    <w:rsid w:val="003B58D7"/>
    <w:rsid w:val="003B6932"/>
    <w:rsid w:val="003D273A"/>
    <w:rsid w:val="003D3CD8"/>
    <w:rsid w:val="003D3FD2"/>
    <w:rsid w:val="003E169F"/>
    <w:rsid w:val="003F1446"/>
    <w:rsid w:val="00400314"/>
    <w:rsid w:val="00401811"/>
    <w:rsid w:val="00403B70"/>
    <w:rsid w:val="00406C58"/>
    <w:rsid w:val="00416BC7"/>
    <w:rsid w:val="00417C46"/>
    <w:rsid w:val="00421ED0"/>
    <w:rsid w:val="004240C1"/>
    <w:rsid w:val="004268C5"/>
    <w:rsid w:val="004336E2"/>
    <w:rsid w:val="00433CC0"/>
    <w:rsid w:val="00433E30"/>
    <w:rsid w:val="00443509"/>
    <w:rsid w:val="00444710"/>
    <w:rsid w:val="00455263"/>
    <w:rsid w:val="004558BE"/>
    <w:rsid w:val="004606C9"/>
    <w:rsid w:val="004608AB"/>
    <w:rsid w:val="004649C6"/>
    <w:rsid w:val="0047392D"/>
    <w:rsid w:val="00481C3E"/>
    <w:rsid w:val="00482A9A"/>
    <w:rsid w:val="00483EA5"/>
    <w:rsid w:val="00485785"/>
    <w:rsid w:val="004A1859"/>
    <w:rsid w:val="004A705B"/>
    <w:rsid w:val="004B2355"/>
    <w:rsid w:val="004B31F3"/>
    <w:rsid w:val="004B4FF7"/>
    <w:rsid w:val="004C1BDC"/>
    <w:rsid w:val="004C5628"/>
    <w:rsid w:val="004C76B5"/>
    <w:rsid w:val="004D0E6F"/>
    <w:rsid w:val="004D35A8"/>
    <w:rsid w:val="004D5BB7"/>
    <w:rsid w:val="004D6887"/>
    <w:rsid w:val="004E0149"/>
    <w:rsid w:val="004E3FEF"/>
    <w:rsid w:val="004E57E0"/>
    <w:rsid w:val="004F093E"/>
    <w:rsid w:val="00500A5E"/>
    <w:rsid w:val="00501B73"/>
    <w:rsid w:val="00515C54"/>
    <w:rsid w:val="0052045C"/>
    <w:rsid w:val="005257FA"/>
    <w:rsid w:val="005273FC"/>
    <w:rsid w:val="005304E0"/>
    <w:rsid w:val="00535658"/>
    <w:rsid w:val="005356A4"/>
    <w:rsid w:val="00543600"/>
    <w:rsid w:val="00551270"/>
    <w:rsid w:val="00571CAB"/>
    <w:rsid w:val="005768C7"/>
    <w:rsid w:val="005847F1"/>
    <w:rsid w:val="00591020"/>
    <w:rsid w:val="005972ED"/>
    <w:rsid w:val="005A03CE"/>
    <w:rsid w:val="005A57F5"/>
    <w:rsid w:val="005B3FF3"/>
    <w:rsid w:val="005B65C2"/>
    <w:rsid w:val="005B6E4B"/>
    <w:rsid w:val="005B7F56"/>
    <w:rsid w:val="005C47CF"/>
    <w:rsid w:val="005D4C89"/>
    <w:rsid w:val="005D69EF"/>
    <w:rsid w:val="005E7199"/>
    <w:rsid w:val="005F0E8F"/>
    <w:rsid w:val="005F2FC8"/>
    <w:rsid w:val="005F3CEC"/>
    <w:rsid w:val="005F720D"/>
    <w:rsid w:val="00606D9B"/>
    <w:rsid w:val="00607125"/>
    <w:rsid w:val="00610898"/>
    <w:rsid w:val="00612B85"/>
    <w:rsid w:val="00616FA7"/>
    <w:rsid w:val="006260C3"/>
    <w:rsid w:val="006309E9"/>
    <w:rsid w:val="00630A23"/>
    <w:rsid w:val="00634B86"/>
    <w:rsid w:val="00635673"/>
    <w:rsid w:val="00646F92"/>
    <w:rsid w:val="00647C41"/>
    <w:rsid w:val="006526D9"/>
    <w:rsid w:val="00653DBC"/>
    <w:rsid w:val="0066389A"/>
    <w:rsid w:val="006758B7"/>
    <w:rsid w:val="0068234C"/>
    <w:rsid w:val="00694376"/>
    <w:rsid w:val="006A00E1"/>
    <w:rsid w:val="006A5C3C"/>
    <w:rsid w:val="006A6E0C"/>
    <w:rsid w:val="006B044B"/>
    <w:rsid w:val="006B41EC"/>
    <w:rsid w:val="006B521E"/>
    <w:rsid w:val="006D124E"/>
    <w:rsid w:val="006D75BC"/>
    <w:rsid w:val="006E233A"/>
    <w:rsid w:val="006E60E3"/>
    <w:rsid w:val="006F4CE1"/>
    <w:rsid w:val="006F6735"/>
    <w:rsid w:val="006F6BA0"/>
    <w:rsid w:val="007011B7"/>
    <w:rsid w:val="00701C0B"/>
    <w:rsid w:val="0070696F"/>
    <w:rsid w:val="007104FE"/>
    <w:rsid w:val="0071142D"/>
    <w:rsid w:val="00713FC9"/>
    <w:rsid w:val="007157EF"/>
    <w:rsid w:val="00717151"/>
    <w:rsid w:val="00725A89"/>
    <w:rsid w:val="00726447"/>
    <w:rsid w:val="007278E5"/>
    <w:rsid w:val="00735258"/>
    <w:rsid w:val="0073634E"/>
    <w:rsid w:val="00737A00"/>
    <w:rsid w:val="00740273"/>
    <w:rsid w:val="0074578C"/>
    <w:rsid w:val="00751FA9"/>
    <w:rsid w:val="00752774"/>
    <w:rsid w:val="0075466E"/>
    <w:rsid w:val="00757306"/>
    <w:rsid w:val="00765A8F"/>
    <w:rsid w:val="00771424"/>
    <w:rsid w:val="007730E7"/>
    <w:rsid w:val="00774361"/>
    <w:rsid w:val="00776ED8"/>
    <w:rsid w:val="00782981"/>
    <w:rsid w:val="00786FD3"/>
    <w:rsid w:val="007905BE"/>
    <w:rsid w:val="007912BE"/>
    <w:rsid w:val="00792F03"/>
    <w:rsid w:val="007B03F8"/>
    <w:rsid w:val="007B3B5B"/>
    <w:rsid w:val="007C2239"/>
    <w:rsid w:val="007C5ED1"/>
    <w:rsid w:val="007D08D7"/>
    <w:rsid w:val="007D4C72"/>
    <w:rsid w:val="007D54A7"/>
    <w:rsid w:val="007D7281"/>
    <w:rsid w:val="007E177A"/>
    <w:rsid w:val="007E4E8E"/>
    <w:rsid w:val="007F33ED"/>
    <w:rsid w:val="007F43D5"/>
    <w:rsid w:val="007F4B9B"/>
    <w:rsid w:val="007F51B8"/>
    <w:rsid w:val="007F554B"/>
    <w:rsid w:val="007F78DC"/>
    <w:rsid w:val="008027C6"/>
    <w:rsid w:val="00803C2B"/>
    <w:rsid w:val="0081180C"/>
    <w:rsid w:val="00815B57"/>
    <w:rsid w:val="00823BE7"/>
    <w:rsid w:val="00826084"/>
    <w:rsid w:val="00826D6A"/>
    <w:rsid w:val="00830CCA"/>
    <w:rsid w:val="00831CCF"/>
    <w:rsid w:val="00833326"/>
    <w:rsid w:val="0084113B"/>
    <w:rsid w:val="00853376"/>
    <w:rsid w:val="00853A60"/>
    <w:rsid w:val="00853DE5"/>
    <w:rsid w:val="00853E7C"/>
    <w:rsid w:val="00860D49"/>
    <w:rsid w:val="00867AFE"/>
    <w:rsid w:val="00871574"/>
    <w:rsid w:val="0087255F"/>
    <w:rsid w:val="00883D54"/>
    <w:rsid w:val="0088502D"/>
    <w:rsid w:val="008911D8"/>
    <w:rsid w:val="00893749"/>
    <w:rsid w:val="00894126"/>
    <w:rsid w:val="00895525"/>
    <w:rsid w:val="00897143"/>
    <w:rsid w:val="008A173E"/>
    <w:rsid w:val="008A3187"/>
    <w:rsid w:val="008A5912"/>
    <w:rsid w:val="008A7864"/>
    <w:rsid w:val="008B0E11"/>
    <w:rsid w:val="008B11C1"/>
    <w:rsid w:val="008B323B"/>
    <w:rsid w:val="008B37FA"/>
    <w:rsid w:val="008C01FD"/>
    <w:rsid w:val="008C228B"/>
    <w:rsid w:val="008C37D4"/>
    <w:rsid w:val="008D0100"/>
    <w:rsid w:val="008D1021"/>
    <w:rsid w:val="008D54FA"/>
    <w:rsid w:val="008E4F16"/>
    <w:rsid w:val="008F5A55"/>
    <w:rsid w:val="00901A89"/>
    <w:rsid w:val="00904B3C"/>
    <w:rsid w:val="00913626"/>
    <w:rsid w:val="009144A4"/>
    <w:rsid w:val="00915A9C"/>
    <w:rsid w:val="00920AF2"/>
    <w:rsid w:val="0092563D"/>
    <w:rsid w:val="00931C46"/>
    <w:rsid w:val="009322E1"/>
    <w:rsid w:val="009324F1"/>
    <w:rsid w:val="00933132"/>
    <w:rsid w:val="0093679B"/>
    <w:rsid w:val="009368B1"/>
    <w:rsid w:val="00950678"/>
    <w:rsid w:val="0095434F"/>
    <w:rsid w:val="009575D6"/>
    <w:rsid w:val="009611A1"/>
    <w:rsid w:val="00964A7F"/>
    <w:rsid w:val="00965C6B"/>
    <w:rsid w:val="009675D0"/>
    <w:rsid w:val="009727ED"/>
    <w:rsid w:val="009769BC"/>
    <w:rsid w:val="00980DFC"/>
    <w:rsid w:val="00994D77"/>
    <w:rsid w:val="009962A0"/>
    <w:rsid w:val="009B76D1"/>
    <w:rsid w:val="009C237D"/>
    <w:rsid w:val="009C493F"/>
    <w:rsid w:val="009C4D0A"/>
    <w:rsid w:val="009D257F"/>
    <w:rsid w:val="009E04CF"/>
    <w:rsid w:val="009E118E"/>
    <w:rsid w:val="009E2E67"/>
    <w:rsid w:val="009F2365"/>
    <w:rsid w:val="009F5033"/>
    <w:rsid w:val="009F56B2"/>
    <w:rsid w:val="00A007BE"/>
    <w:rsid w:val="00A05A29"/>
    <w:rsid w:val="00A07899"/>
    <w:rsid w:val="00A14F9E"/>
    <w:rsid w:val="00A17CE8"/>
    <w:rsid w:val="00A20062"/>
    <w:rsid w:val="00A25090"/>
    <w:rsid w:val="00A25147"/>
    <w:rsid w:val="00A25BAF"/>
    <w:rsid w:val="00A32997"/>
    <w:rsid w:val="00A36CDA"/>
    <w:rsid w:val="00A375A8"/>
    <w:rsid w:val="00A37852"/>
    <w:rsid w:val="00A40435"/>
    <w:rsid w:val="00A413AB"/>
    <w:rsid w:val="00A425BC"/>
    <w:rsid w:val="00A44848"/>
    <w:rsid w:val="00A505F0"/>
    <w:rsid w:val="00A50D1A"/>
    <w:rsid w:val="00A5531A"/>
    <w:rsid w:val="00A57AAD"/>
    <w:rsid w:val="00A61496"/>
    <w:rsid w:val="00A617A3"/>
    <w:rsid w:val="00A62A81"/>
    <w:rsid w:val="00A62B07"/>
    <w:rsid w:val="00A7469C"/>
    <w:rsid w:val="00A74F23"/>
    <w:rsid w:val="00A760FC"/>
    <w:rsid w:val="00A768E0"/>
    <w:rsid w:val="00A852DC"/>
    <w:rsid w:val="00A9119F"/>
    <w:rsid w:val="00A91E67"/>
    <w:rsid w:val="00AA1809"/>
    <w:rsid w:val="00AA20B0"/>
    <w:rsid w:val="00AA5768"/>
    <w:rsid w:val="00AA66D7"/>
    <w:rsid w:val="00AB176D"/>
    <w:rsid w:val="00AB3315"/>
    <w:rsid w:val="00AB4DF8"/>
    <w:rsid w:val="00AB5BA1"/>
    <w:rsid w:val="00AB74AB"/>
    <w:rsid w:val="00AC0FD3"/>
    <w:rsid w:val="00AC19AB"/>
    <w:rsid w:val="00AD64CC"/>
    <w:rsid w:val="00AE02B2"/>
    <w:rsid w:val="00AE45FC"/>
    <w:rsid w:val="00AE6EB1"/>
    <w:rsid w:val="00AF13E1"/>
    <w:rsid w:val="00AF150B"/>
    <w:rsid w:val="00AF1BB1"/>
    <w:rsid w:val="00AF45E2"/>
    <w:rsid w:val="00AF641A"/>
    <w:rsid w:val="00AF6E07"/>
    <w:rsid w:val="00AF77F8"/>
    <w:rsid w:val="00B0100D"/>
    <w:rsid w:val="00B01086"/>
    <w:rsid w:val="00B025A1"/>
    <w:rsid w:val="00B07A5F"/>
    <w:rsid w:val="00B105F2"/>
    <w:rsid w:val="00B1235A"/>
    <w:rsid w:val="00B23B6C"/>
    <w:rsid w:val="00B2619A"/>
    <w:rsid w:val="00B30018"/>
    <w:rsid w:val="00B30E97"/>
    <w:rsid w:val="00B33B5C"/>
    <w:rsid w:val="00B34AB2"/>
    <w:rsid w:val="00B44CEE"/>
    <w:rsid w:val="00B553CF"/>
    <w:rsid w:val="00B556DF"/>
    <w:rsid w:val="00B627D8"/>
    <w:rsid w:val="00B70F2A"/>
    <w:rsid w:val="00B72C9D"/>
    <w:rsid w:val="00B87A95"/>
    <w:rsid w:val="00B96D39"/>
    <w:rsid w:val="00B979D8"/>
    <w:rsid w:val="00B979EC"/>
    <w:rsid w:val="00BA460E"/>
    <w:rsid w:val="00BA482E"/>
    <w:rsid w:val="00BA5E00"/>
    <w:rsid w:val="00BA68D1"/>
    <w:rsid w:val="00BB3EC1"/>
    <w:rsid w:val="00BB6709"/>
    <w:rsid w:val="00BD44DC"/>
    <w:rsid w:val="00BD4CF8"/>
    <w:rsid w:val="00BE21E6"/>
    <w:rsid w:val="00BE27FA"/>
    <w:rsid w:val="00BE58AF"/>
    <w:rsid w:val="00BE5B3C"/>
    <w:rsid w:val="00BF160F"/>
    <w:rsid w:val="00BF22EA"/>
    <w:rsid w:val="00BF5C3C"/>
    <w:rsid w:val="00C033C2"/>
    <w:rsid w:val="00C05A3D"/>
    <w:rsid w:val="00C0613E"/>
    <w:rsid w:val="00C1512A"/>
    <w:rsid w:val="00C163F6"/>
    <w:rsid w:val="00C21968"/>
    <w:rsid w:val="00C27F4A"/>
    <w:rsid w:val="00C30C29"/>
    <w:rsid w:val="00C341FA"/>
    <w:rsid w:val="00C370BD"/>
    <w:rsid w:val="00C52258"/>
    <w:rsid w:val="00C568FB"/>
    <w:rsid w:val="00C60BA1"/>
    <w:rsid w:val="00C64174"/>
    <w:rsid w:val="00C67DD7"/>
    <w:rsid w:val="00C82950"/>
    <w:rsid w:val="00C82E83"/>
    <w:rsid w:val="00C82FA6"/>
    <w:rsid w:val="00C8330A"/>
    <w:rsid w:val="00C8449D"/>
    <w:rsid w:val="00C92554"/>
    <w:rsid w:val="00C97AA5"/>
    <w:rsid w:val="00CA1392"/>
    <w:rsid w:val="00CA2368"/>
    <w:rsid w:val="00CA2958"/>
    <w:rsid w:val="00CA646F"/>
    <w:rsid w:val="00CA654F"/>
    <w:rsid w:val="00CA710B"/>
    <w:rsid w:val="00CA794B"/>
    <w:rsid w:val="00CB046B"/>
    <w:rsid w:val="00CB36D1"/>
    <w:rsid w:val="00CB4342"/>
    <w:rsid w:val="00CC3131"/>
    <w:rsid w:val="00CD20FF"/>
    <w:rsid w:val="00CD35D6"/>
    <w:rsid w:val="00CE1373"/>
    <w:rsid w:val="00CE15EC"/>
    <w:rsid w:val="00CE17E2"/>
    <w:rsid w:val="00CE7B77"/>
    <w:rsid w:val="00CF2FBD"/>
    <w:rsid w:val="00CF4D58"/>
    <w:rsid w:val="00D00E2E"/>
    <w:rsid w:val="00D02061"/>
    <w:rsid w:val="00D067D4"/>
    <w:rsid w:val="00D1347A"/>
    <w:rsid w:val="00D138F2"/>
    <w:rsid w:val="00D14145"/>
    <w:rsid w:val="00D172E5"/>
    <w:rsid w:val="00D25B90"/>
    <w:rsid w:val="00D27005"/>
    <w:rsid w:val="00D27DC4"/>
    <w:rsid w:val="00D304EC"/>
    <w:rsid w:val="00D3318E"/>
    <w:rsid w:val="00D42910"/>
    <w:rsid w:val="00D47BA6"/>
    <w:rsid w:val="00D5029B"/>
    <w:rsid w:val="00D5309B"/>
    <w:rsid w:val="00D54E4C"/>
    <w:rsid w:val="00D60C9C"/>
    <w:rsid w:val="00D61D9F"/>
    <w:rsid w:val="00D61F87"/>
    <w:rsid w:val="00D625A0"/>
    <w:rsid w:val="00D65112"/>
    <w:rsid w:val="00D71D9C"/>
    <w:rsid w:val="00D71FA3"/>
    <w:rsid w:val="00D80F23"/>
    <w:rsid w:val="00D86F28"/>
    <w:rsid w:val="00D876F6"/>
    <w:rsid w:val="00DA22AC"/>
    <w:rsid w:val="00DD0865"/>
    <w:rsid w:val="00DD781A"/>
    <w:rsid w:val="00DD7AEC"/>
    <w:rsid w:val="00DE72E3"/>
    <w:rsid w:val="00DF3363"/>
    <w:rsid w:val="00DF64DD"/>
    <w:rsid w:val="00DF75DA"/>
    <w:rsid w:val="00DF7B5A"/>
    <w:rsid w:val="00E01980"/>
    <w:rsid w:val="00E02871"/>
    <w:rsid w:val="00E02CE6"/>
    <w:rsid w:val="00E05697"/>
    <w:rsid w:val="00E10CA9"/>
    <w:rsid w:val="00E10CAD"/>
    <w:rsid w:val="00E1235F"/>
    <w:rsid w:val="00E12B33"/>
    <w:rsid w:val="00E1438A"/>
    <w:rsid w:val="00E1683C"/>
    <w:rsid w:val="00E25F40"/>
    <w:rsid w:val="00E36A46"/>
    <w:rsid w:val="00E41D3C"/>
    <w:rsid w:val="00E42F0D"/>
    <w:rsid w:val="00E454EC"/>
    <w:rsid w:val="00E569BB"/>
    <w:rsid w:val="00E64A5B"/>
    <w:rsid w:val="00E8075D"/>
    <w:rsid w:val="00E86CE7"/>
    <w:rsid w:val="00E90A0A"/>
    <w:rsid w:val="00EA3D9A"/>
    <w:rsid w:val="00EA40EF"/>
    <w:rsid w:val="00EA4A66"/>
    <w:rsid w:val="00EA5F37"/>
    <w:rsid w:val="00EB497E"/>
    <w:rsid w:val="00EB672D"/>
    <w:rsid w:val="00EB7D14"/>
    <w:rsid w:val="00EC1A09"/>
    <w:rsid w:val="00EC2807"/>
    <w:rsid w:val="00EC33DA"/>
    <w:rsid w:val="00EC56C5"/>
    <w:rsid w:val="00ED1890"/>
    <w:rsid w:val="00ED5107"/>
    <w:rsid w:val="00ED568F"/>
    <w:rsid w:val="00ED686C"/>
    <w:rsid w:val="00EE3451"/>
    <w:rsid w:val="00EE4E45"/>
    <w:rsid w:val="00EE74EB"/>
    <w:rsid w:val="00EF4A83"/>
    <w:rsid w:val="00EF4D56"/>
    <w:rsid w:val="00EF5624"/>
    <w:rsid w:val="00EF7FF9"/>
    <w:rsid w:val="00F03CFC"/>
    <w:rsid w:val="00F05EDA"/>
    <w:rsid w:val="00F061C5"/>
    <w:rsid w:val="00F16202"/>
    <w:rsid w:val="00F26D1C"/>
    <w:rsid w:val="00F27515"/>
    <w:rsid w:val="00F3025F"/>
    <w:rsid w:val="00F3187C"/>
    <w:rsid w:val="00F34A0B"/>
    <w:rsid w:val="00F43FBC"/>
    <w:rsid w:val="00F47963"/>
    <w:rsid w:val="00F5357A"/>
    <w:rsid w:val="00F54063"/>
    <w:rsid w:val="00F560FD"/>
    <w:rsid w:val="00F62626"/>
    <w:rsid w:val="00F63002"/>
    <w:rsid w:val="00F70D4F"/>
    <w:rsid w:val="00F7540E"/>
    <w:rsid w:val="00F808DF"/>
    <w:rsid w:val="00F82A88"/>
    <w:rsid w:val="00F85145"/>
    <w:rsid w:val="00F86093"/>
    <w:rsid w:val="00F8753F"/>
    <w:rsid w:val="00F90558"/>
    <w:rsid w:val="00F95B16"/>
    <w:rsid w:val="00FA062D"/>
    <w:rsid w:val="00FA472D"/>
    <w:rsid w:val="00FA50DC"/>
    <w:rsid w:val="00FA7665"/>
    <w:rsid w:val="00FB3467"/>
    <w:rsid w:val="00FB3A7C"/>
    <w:rsid w:val="00FB3D40"/>
    <w:rsid w:val="00FB42C4"/>
    <w:rsid w:val="00FC2394"/>
    <w:rsid w:val="00FC6440"/>
    <w:rsid w:val="00FC6F41"/>
    <w:rsid w:val="00FD7C5E"/>
    <w:rsid w:val="00FE7166"/>
    <w:rsid w:val="03144383"/>
    <w:rsid w:val="04A647CA"/>
    <w:rsid w:val="057B5594"/>
    <w:rsid w:val="09E51BEC"/>
    <w:rsid w:val="0A6A031B"/>
    <w:rsid w:val="0A840AE4"/>
    <w:rsid w:val="0C4C56AE"/>
    <w:rsid w:val="0D894C4E"/>
    <w:rsid w:val="0FDC101C"/>
    <w:rsid w:val="11B86B89"/>
    <w:rsid w:val="16140C7F"/>
    <w:rsid w:val="17D7741C"/>
    <w:rsid w:val="1925750A"/>
    <w:rsid w:val="1A985D91"/>
    <w:rsid w:val="1B3F2E2B"/>
    <w:rsid w:val="1B6062C7"/>
    <w:rsid w:val="1CE017C4"/>
    <w:rsid w:val="1EDB4669"/>
    <w:rsid w:val="1F08092B"/>
    <w:rsid w:val="21397FD6"/>
    <w:rsid w:val="232D75E9"/>
    <w:rsid w:val="24266E8C"/>
    <w:rsid w:val="25947CE4"/>
    <w:rsid w:val="26BA7C86"/>
    <w:rsid w:val="286E4F31"/>
    <w:rsid w:val="298E2B95"/>
    <w:rsid w:val="2B7B1F2A"/>
    <w:rsid w:val="2C950841"/>
    <w:rsid w:val="2E0802E2"/>
    <w:rsid w:val="2EE3257D"/>
    <w:rsid w:val="2F0913C4"/>
    <w:rsid w:val="313E79B5"/>
    <w:rsid w:val="32E26583"/>
    <w:rsid w:val="34770EBD"/>
    <w:rsid w:val="35B62075"/>
    <w:rsid w:val="36BC5C13"/>
    <w:rsid w:val="37D81A4C"/>
    <w:rsid w:val="39261FCD"/>
    <w:rsid w:val="3A115C9B"/>
    <w:rsid w:val="3D355E12"/>
    <w:rsid w:val="3E0F1060"/>
    <w:rsid w:val="400B2CD5"/>
    <w:rsid w:val="41CE59E0"/>
    <w:rsid w:val="42E14644"/>
    <w:rsid w:val="43251ADA"/>
    <w:rsid w:val="445106AD"/>
    <w:rsid w:val="44554B34"/>
    <w:rsid w:val="454B3BED"/>
    <w:rsid w:val="464F7B16"/>
    <w:rsid w:val="467335E4"/>
    <w:rsid w:val="47285E14"/>
    <w:rsid w:val="4D700A9E"/>
    <w:rsid w:val="51CF5B6A"/>
    <w:rsid w:val="5236781B"/>
    <w:rsid w:val="526B5CD8"/>
    <w:rsid w:val="526D31C8"/>
    <w:rsid w:val="529102F7"/>
    <w:rsid w:val="538F6499"/>
    <w:rsid w:val="54AA727D"/>
    <w:rsid w:val="566A69A2"/>
    <w:rsid w:val="59BA12A9"/>
    <w:rsid w:val="5B421305"/>
    <w:rsid w:val="5B5E0B79"/>
    <w:rsid w:val="5BC37273"/>
    <w:rsid w:val="5D4B3D3D"/>
    <w:rsid w:val="5F30328B"/>
    <w:rsid w:val="5FCA0971"/>
    <w:rsid w:val="63896C83"/>
    <w:rsid w:val="642D45E8"/>
    <w:rsid w:val="65AB7688"/>
    <w:rsid w:val="660364FC"/>
    <w:rsid w:val="665A3D63"/>
    <w:rsid w:val="6667261C"/>
    <w:rsid w:val="669F1F03"/>
    <w:rsid w:val="68872F0B"/>
    <w:rsid w:val="6942271A"/>
    <w:rsid w:val="69906347"/>
    <w:rsid w:val="69F03925"/>
    <w:rsid w:val="6A26095A"/>
    <w:rsid w:val="6B26024A"/>
    <w:rsid w:val="6C634281"/>
    <w:rsid w:val="722E10EA"/>
    <w:rsid w:val="7400407A"/>
    <w:rsid w:val="763B7E16"/>
    <w:rsid w:val="76910C99"/>
    <w:rsid w:val="773D0BAE"/>
    <w:rsid w:val="77EE0069"/>
    <w:rsid w:val="79B27250"/>
    <w:rsid w:val="7A0968A3"/>
    <w:rsid w:val="7A6D20AD"/>
    <w:rsid w:val="7ACD477B"/>
    <w:rsid w:val="7F4F27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iPriority="9"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en-US" w:eastAsia="en-US" w:bidi="ar-SA"/>
    </w:rPr>
  </w:style>
  <w:style w:type="paragraph" w:styleId="2">
    <w:name w:val="heading 1"/>
    <w:basedOn w:val="1"/>
    <w:next w:val="1"/>
    <w:qFormat/>
    <w:uiPriority w:val="1"/>
    <w:pPr>
      <w:ind w:left="609"/>
      <w:outlineLvl w:val="0"/>
    </w:pPr>
    <w:rPr>
      <w:b/>
      <w:bCs/>
      <w:sz w:val="29"/>
      <w:szCs w:val="29"/>
    </w:rPr>
  </w:style>
  <w:style w:type="paragraph" w:styleId="3">
    <w:name w:val="heading 2"/>
    <w:basedOn w:val="1"/>
    <w:next w:val="1"/>
    <w:link w:val="19"/>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4"/>
    <w:unhideWhenUsed/>
    <w:qFormat/>
    <w:uiPriority w:val="9"/>
    <w:pPr>
      <w:keepNext/>
      <w:keepLines/>
      <w:spacing w:before="260" w:after="260" w:line="416" w:lineRule="auto"/>
      <w:outlineLvl w:val="2"/>
    </w:pPr>
    <w:rPr>
      <w:b/>
      <w:bCs/>
      <w:sz w:val="32"/>
      <w:szCs w:val="32"/>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27"/>
    <w:semiHidden/>
    <w:unhideWhenUsed/>
    <w:qFormat/>
    <w:uiPriority w:val="99"/>
  </w:style>
  <w:style w:type="paragraph" w:styleId="6">
    <w:name w:val="Body Text"/>
    <w:basedOn w:val="1"/>
    <w:link w:val="23"/>
    <w:qFormat/>
    <w:uiPriority w:val="1"/>
    <w:pPr>
      <w:spacing w:line="360" w:lineRule="auto"/>
      <w:ind w:firstLine="400" w:firstLineChars="200"/>
      <w:jc w:val="both"/>
    </w:pPr>
    <w:rPr>
      <w:rFonts w:ascii="Times New Roman" w:hAnsi="Times New Roman" w:eastAsia="宋体"/>
      <w:sz w:val="24"/>
      <w:szCs w:val="24"/>
    </w:rPr>
  </w:style>
  <w:style w:type="paragraph" w:styleId="7">
    <w:name w:val="Balloon Text"/>
    <w:basedOn w:val="1"/>
    <w:link w:val="25"/>
    <w:semiHidden/>
    <w:unhideWhenUsed/>
    <w:qFormat/>
    <w:uiPriority w:val="99"/>
    <w:rPr>
      <w:sz w:val="18"/>
      <w:szCs w:val="18"/>
    </w:rPr>
  </w:style>
  <w:style w:type="paragraph" w:styleId="8">
    <w:name w:val="footer"/>
    <w:basedOn w:val="1"/>
    <w:link w:val="26"/>
    <w:qFormat/>
    <w:uiPriority w:val="99"/>
    <w:pPr>
      <w:tabs>
        <w:tab w:val="center" w:pos="4153"/>
        <w:tab w:val="right" w:pos="8306"/>
      </w:tabs>
      <w:autoSpaceDE/>
      <w:autoSpaceDN/>
      <w:snapToGrid w:val="0"/>
      <w:ind w:firstLine="643" w:firstLineChars="200"/>
    </w:pPr>
    <w:rPr>
      <w:rFonts w:asciiTheme="minorHAnsi" w:hAnsiTheme="minorHAnsi" w:eastAsiaTheme="minorEastAsia" w:cstheme="minorBidi"/>
      <w:kern w:val="2"/>
      <w:sz w:val="18"/>
      <w:szCs w:val="18"/>
      <w:lang w:eastAsia="zh-CN"/>
    </w:rPr>
  </w:style>
  <w:style w:type="paragraph" w:styleId="9">
    <w:name w:val="toc 1"/>
    <w:basedOn w:val="1"/>
    <w:qFormat/>
    <w:uiPriority w:val="39"/>
    <w:pPr>
      <w:spacing w:before="265"/>
      <w:ind w:left="609"/>
    </w:pPr>
    <w:rPr>
      <w:sz w:val="28"/>
      <w:szCs w:val="28"/>
    </w:rPr>
  </w:style>
  <w:style w:type="paragraph" w:styleId="10">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11">
    <w:name w:val="Normal (Web)"/>
    <w:basedOn w:val="1"/>
    <w:semiHidden/>
    <w:unhideWhenUsed/>
    <w:qFormat/>
    <w:uiPriority w:val="99"/>
    <w:pPr>
      <w:widowControl/>
      <w:autoSpaceDE/>
      <w:autoSpaceDN/>
      <w:spacing w:before="100" w:beforeAutospacing="1" w:after="100" w:afterAutospacing="1"/>
    </w:pPr>
    <w:rPr>
      <w:sz w:val="24"/>
      <w:szCs w:val="24"/>
      <w:lang w:eastAsia="zh-CN"/>
    </w:rPr>
  </w:style>
  <w:style w:type="paragraph" w:styleId="12">
    <w:name w:val="annotation subject"/>
    <w:basedOn w:val="5"/>
    <w:next w:val="5"/>
    <w:link w:val="28"/>
    <w:semiHidden/>
    <w:unhideWhenUsed/>
    <w:qFormat/>
    <w:uiPriority w:val="99"/>
    <w:rPr>
      <w:b/>
      <w:bCs/>
    </w:rPr>
  </w:style>
  <w:style w:type="table" w:styleId="14">
    <w:name w:val="Table Grid"/>
    <w:basedOn w:val="1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qFormat/>
    <w:uiPriority w:val="0"/>
    <w:rPr>
      <w:b/>
    </w:rPr>
  </w:style>
  <w:style w:type="character" w:styleId="17">
    <w:name w:val="Hyperlink"/>
    <w:basedOn w:val="15"/>
    <w:unhideWhenUsed/>
    <w:qFormat/>
    <w:uiPriority w:val="99"/>
    <w:rPr>
      <w:color w:val="0000FF" w:themeColor="hyperlink"/>
      <w:u w:val="single"/>
      <w14:textFill>
        <w14:solidFill>
          <w14:schemeClr w14:val="hlink"/>
        </w14:solidFill>
      </w14:textFill>
    </w:rPr>
  </w:style>
  <w:style w:type="character" w:styleId="18">
    <w:name w:val="annotation reference"/>
    <w:basedOn w:val="15"/>
    <w:semiHidden/>
    <w:unhideWhenUsed/>
    <w:qFormat/>
    <w:uiPriority w:val="99"/>
    <w:rPr>
      <w:sz w:val="21"/>
      <w:szCs w:val="21"/>
    </w:rPr>
  </w:style>
  <w:style w:type="character" w:customStyle="1" w:styleId="19">
    <w:name w:val="标题 2 字符"/>
    <w:basedOn w:val="15"/>
    <w:link w:val="3"/>
    <w:semiHidden/>
    <w:qFormat/>
    <w:uiPriority w:val="9"/>
    <w:rPr>
      <w:rFonts w:asciiTheme="majorHAnsi" w:hAnsiTheme="majorHAnsi" w:eastAsiaTheme="majorEastAsia" w:cstheme="majorBidi"/>
      <w:b/>
      <w:bCs/>
      <w:sz w:val="32"/>
      <w:szCs w:val="32"/>
    </w:rPr>
  </w:style>
  <w:style w:type="table" w:customStyle="1" w:styleId="20">
    <w:name w:val="Table Normal"/>
    <w:semiHidden/>
    <w:unhideWhenUsed/>
    <w:qFormat/>
    <w:uiPriority w:val="2"/>
    <w:tblPr>
      <w:tblCellMar>
        <w:top w:w="0" w:type="dxa"/>
        <w:left w:w="0" w:type="dxa"/>
        <w:bottom w:w="0" w:type="dxa"/>
        <w:right w:w="0" w:type="dxa"/>
      </w:tblCellMar>
    </w:tblPr>
  </w:style>
  <w:style w:type="paragraph" w:styleId="21">
    <w:name w:val="List Paragraph"/>
    <w:basedOn w:val="1"/>
    <w:qFormat/>
    <w:uiPriority w:val="1"/>
    <w:pPr>
      <w:spacing w:before="161"/>
      <w:ind w:left="1897" w:hanging="721"/>
    </w:pPr>
  </w:style>
  <w:style w:type="paragraph" w:customStyle="1" w:styleId="22">
    <w:name w:val="Table Paragraph"/>
    <w:basedOn w:val="1"/>
    <w:qFormat/>
    <w:uiPriority w:val="1"/>
  </w:style>
  <w:style w:type="character" w:customStyle="1" w:styleId="23">
    <w:name w:val="正文文本 字符"/>
    <w:basedOn w:val="15"/>
    <w:link w:val="6"/>
    <w:qFormat/>
    <w:uiPriority w:val="1"/>
    <w:rPr>
      <w:rFonts w:ascii="Times New Roman" w:hAnsi="Times New Roman" w:eastAsia="宋体" w:cs="宋体"/>
      <w:sz w:val="24"/>
      <w:szCs w:val="24"/>
    </w:rPr>
  </w:style>
  <w:style w:type="character" w:customStyle="1" w:styleId="24">
    <w:name w:val="标题 3 字符"/>
    <w:basedOn w:val="15"/>
    <w:link w:val="4"/>
    <w:qFormat/>
    <w:uiPriority w:val="9"/>
    <w:rPr>
      <w:rFonts w:ascii="宋体" w:hAnsi="宋体" w:eastAsia="宋体" w:cs="宋体"/>
      <w:b/>
      <w:bCs/>
      <w:sz w:val="32"/>
      <w:szCs w:val="32"/>
    </w:rPr>
  </w:style>
  <w:style w:type="character" w:customStyle="1" w:styleId="25">
    <w:name w:val="批注框文本 字符"/>
    <w:basedOn w:val="15"/>
    <w:link w:val="7"/>
    <w:semiHidden/>
    <w:qFormat/>
    <w:uiPriority w:val="99"/>
    <w:rPr>
      <w:rFonts w:ascii="宋体" w:hAnsi="宋体" w:eastAsia="宋体" w:cs="宋体"/>
      <w:sz w:val="18"/>
      <w:szCs w:val="18"/>
    </w:rPr>
  </w:style>
  <w:style w:type="character" w:customStyle="1" w:styleId="26">
    <w:name w:val="页脚 字符"/>
    <w:basedOn w:val="15"/>
    <w:link w:val="8"/>
    <w:qFormat/>
    <w:uiPriority w:val="99"/>
    <w:rPr>
      <w:kern w:val="2"/>
      <w:sz w:val="18"/>
      <w:szCs w:val="18"/>
      <w:lang w:eastAsia="zh-CN"/>
    </w:rPr>
  </w:style>
  <w:style w:type="character" w:customStyle="1" w:styleId="27">
    <w:name w:val="批注文字 字符"/>
    <w:basedOn w:val="15"/>
    <w:link w:val="5"/>
    <w:semiHidden/>
    <w:qFormat/>
    <w:uiPriority w:val="99"/>
    <w:rPr>
      <w:rFonts w:ascii="宋体" w:hAnsi="宋体" w:eastAsia="宋体" w:cs="宋体"/>
    </w:rPr>
  </w:style>
  <w:style w:type="character" w:customStyle="1" w:styleId="28">
    <w:name w:val="批注主题 字符"/>
    <w:basedOn w:val="27"/>
    <w:link w:val="12"/>
    <w:semiHidden/>
    <w:qFormat/>
    <w:uiPriority w:val="99"/>
    <w:rPr>
      <w:rFonts w:ascii="宋体" w:hAnsi="宋体" w:eastAsia="宋体" w:cs="宋体"/>
      <w:b/>
      <w:bCs/>
    </w:rPr>
  </w:style>
  <w:style w:type="paragraph" w:customStyle="1" w:styleId="29">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30">
    <w:name w:val="标准文件_段"/>
    <w:qFormat/>
    <w:uiPriority w:val="0"/>
    <w:pPr>
      <w:autoSpaceDE w:val="0"/>
      <w:autoSpaceDN w:val="0"/>
      <w:ind w:firstLine="200" w:firstLineChars="200"/>
      <w:jc w:val="both"/>
    </w:pPr>
    <w:rPr>
      <w:rFonts w:ascii="Times New Roman"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7.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4" Type="http://schemas.openxmlformats.org/officeDocument/2006/relationships/fontTable" Target="fontTable.xml"/><Relationship Id="rId53" Type="http://schemas.openxmlformats.org/officeDocument/2006/relationships/customXml" Target="../customXml/item2.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40.jpeg"/><Relationship Id="rId5" Type="http://schemas.openxmlformats.org/officeDocument/2006/relationships/footer" Target="footer3.xml"/><Relationship Id="rId49" Type="http://schemas.openxmlformats.org/officeDocument/2006/relationships/image" Target="media/image39.jpeg"/><Relationship Id="rId48" Type="http://schemas.openxmlformats.org/officeDocument/2006/relationships/image" Target="media/image38.webp"/><Relationship Id="rId47" Type="http://schemas.openxmlformats.org/officeDocument/2006/relationships/image" Target="media/image37.webp"/><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jpeg"/><Relationship Id="rId42" Type="http://schemas.openxmlformats.org/officeDocument/2006/relationships/image" Target="media/image32.jpeg"/><Relationship Id="rId41" Type="http://schemas.openxmlformats.org/officeDocument/2006/relationships/image" Target="media/image31.jpeg"/><Relationship Id="rId40" Type="http://schemas.openxmlformats.org/officeDocument/2006/relationships/image" Target="media/image30.jpeg"/><Relationship Id="rId4" Type="http://schemas.openxmlformats.org/officeDocument/2006/relationships/footer" Target="footer2.xml"/><Relationship Id="rId39" Type="http://schemas.openxmlformats.org/officeDocument/2006/relationships/image" Target="media/image29.png"/><Relationship Id="rId38" Type="http://schemas.openxmlformats.org/officeDocument/2006/relationships/image" Target="media/image28.GIF"/><Relationship Id="rId37" Type="http://schemas.openxmlformats.org/officeDocument/2006/relationships/image" Target="media/image27.jpeg"/><Relationship Id="rId36" Type="http://schemas.openxmlformats.org/officeDocument/2006/relationships/image" Target="media/image26.jpeg"/><Relationship Id="rId35" Type="http://schemas.openxmlformats.org/officeDocument/2006/relationships/image" Target="media/image25.jpe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webp"/><Relationship Id="rId3" Type="http://schemas.openxmlformats.org/officeDocument/2006/relationships/footer" Target="footer1.xml"/><Relationship Id="rId29" Type="http://schemas.openxmlformats.org/officeDocument/2006/relationships/image" Target="media/image19.webp"/><Relationship Id="rId28" Type="http://schemas.openxmlformats.org/officeDocument/2006/relationships/image" Target="media/image18.png"/><Relationship Id="rId27" Type="http://schemas.openxmlformats.org/officeDocument/2006/relationships/image" Target="media/image17.webp"/><Relationship Id="rId26" Type="http://schemas.openxmlformats.org/officeDocument/2006/relationships/image" Target="media/image16.jpe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1CFC379-4049-4507-B760-0B587F3818BB}">
  <ds:schemaRefs/>
</ds:datastoreItem>
</file>

<file path=docProps/app.xml><?xml version="1.0" encoding="utf-8"?>
<Properties xmlns="http://schemas.openxmlformats.org/officeDocument/2006/extended-properties" xmlns:vt="http://schemas.openxmlformats.org/officeDocument/2006/docPropsVTypes">
  <Template>Normal.dotm</Template>
  <Pages>48</Pages>
  <Words>29031</Words>
  <Characters>30495</Characters>
  <Lines>205</Lines>
  <Paragraphs>57</Paragraphs>
  <TotalTime>36</TotalTime>
  <ScaleCrop>false</ScaleCrop>
  <LinksUpToDate>false</LinksUpToDate>
  <CharactersWithSpaces>31678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2023-02-09T10:53:00Z</dcterms:created>
  <dc:creator>郭葳</dc:creator>
  <cp:lastModifiedBy>计划有变</cp:lastModifiedBy>
  <dcterms:modified xsi:type="dcterms:W3CDTF">2025-07-15T03:12:56Z</dcterms:modified>
  <dc:title>集装箱码头超限箱作业规程-编写说明</dc:title>
  <cp:revision>179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2022-08-22T00:00:00Z</vt:filetime>
  </property>
  <property fmtid="{D5CDD505-2E9C-101B-9397-08002B2CF9AE}" pid="3" name="Creator">
    <vt:lpwstr>Word</vt:lpwstr>
  </property>
  <property fmtid="{D5CDD505-2E9C-101B-9397-08002B2CF9AE}" pid="4" name="LastSaved">
    <vt:filetime>2023-02-06T00:00:00Z</vt:filetime>
  </property>
  <property fmtid="{D5CDD505-2E9C-101B-9397-08002B2CF9AE}" pid="5" name="KSOTemplateDocerSaveRecord">
    <vt:lpwstr>eyJoZGlkIjoiZDAxMzFkMjhlOTg4ZWQ1OTVlMWVkNTM4Y2E3OWNlZGEiLCJ1c2VySWQiOiI1MDQzMjg2ODIifQ==</vt:lpwstr>
  </property>
  <property fmtid="{D5CDD505-2E9C-101B-9397-08002B2CF9AE}" pid="6" name="KSOProductBuildVer">
    <vt:lpwstr>2052-12.1.0.21915</vt:lpwstr>
  </property>
  <property fmtid="{D5CDD505-2E9C-101B-9397-08002B2CF9AE}" pid="7" name="ICV">
    <vt:lpwstr>505D3391E1FC4A57A3B9F71768FE7B40_13</vt:lpwstr>
  </property>
</Properties>
</file>