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A3FAD" w14:paraId="1FF66156" w14:textId="77777777">
        <w:tc>
          <w:tcPr>
            <w:tcW w:w="509" w:type="dxa"/>
          </w:tcPr>
          <w:p w14:paraId="62568CBC" w14:textId="77777777" w:rsidR="008A3FAD"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D61E762" w14:textId="77777777" w:rsidR="008A3FAD"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43.080.10</w:t>
            </w:r>
            <w:r>
              <w:rPr>
                <w:rFonts w:ascii="黑体" w:eastAsia="黑体" w:hAnsi="黑体"/>
                <w:sz w:val="21"/>
                <w:szCs w:val="21"/>
              </w:rPr>
              <w:fldChar w:fldCharType="end"/>
            </w:r>
            <w:bookmarkEnd w:id="0"/>
          </w:p>
        </w:tc>
      </w:tr>
      <w:tr w:rsidR="008A3FAD" w14:paraId="29FA187A" w14:textId="77777777">
        <w:tc>
          <w:tcPr>
            <w:tcW w:w="509" w:type="dxa"/>
          </w:tcPr>
          <w:p w14:paraId="4A00E5B3" w14:textId="77777777" w:rsidR="008A3FAD"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A3FAD" w14:paraId="7D14E619" w14:textId="77777777">
              <w:trPr>
                <w:trHeight w:hRule="exact" w:val="1021"/>
              </w:trPr>
              <w:tc>
                <w:tcPr>
                  <w:tcW w:w="9242" w:type="dxa"/>
                  <w:vAlign w:val="center"/>
                </w:tcPr>
                <w:p w14:paraId="1F78EC7B" w14:textId="77777777" w:rsidR="008A3FAD" w:rsidRDefault="00000000" w:rsidP="004045C5">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23CC13A0" wp14:editId="6719B651">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60742F6B" wp14:editId="644C0E9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TPHA</w:t>
                  </w:r>
                  <w:r>
                    <w:fldChar w:fldCharType="end"/>
                  </w:r>
                  <w:bookmarkEnd w:id="1"/>
                </w:p>
              </w:tc>
            </w:tr>
          </w:tbl>
          <w:p w14:paraId="25CC4EDC" w14:textId="77777777" w:rsidR="008A3FAD"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R 40</w:t>
            </w:r>
            <w:r>
              <w:rPr>
                <w:rFonts w:ascii="黑体" w:eastAsia="黑体" w:hAnsi="黑体"/>
                <w:sz w:val="21"/>
                <w:szCs w:val="21"/>
              </w:rPr>
              <w:fldChar w:fldCharType="end"/>
            </w:r>
            <w:bookmarkEnd w:id="2"/>
          </w:p>
        </w:tc>
      </w:tr>
    </w:tbl>
    <w:bookmarkStart w:id="3" w:name="_Hlk26473981"/>
    <w:p w14:paraId="7A89CFE4" w14:textId="77777777" w:rsidR="008A3FAD"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中国港口协会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13F95A49" w14:textId="77777777" w:rsidR="008A3FAD" w:rsidRDefault="00000000">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CPHA</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6009711E" w14:textId="77777777" w:rsidR="008A3FAD"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5457A7E" w14:textId="77777777" w:rsidR="008A3FAD"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4D86DDA" wp14:editId="0DFB2A7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5791182" w14:textId="77777777" w:rsidR="008A3FAD" w:rsidRDefault="008A3FAD">
      <w:pPr>
        <w:pStyle w:val="afffff0"/>
        <w:framePr w:w="9639" w:h="6976" w:hRule="exact" w:hSpace="0" w:vSpace="0" w:wrap="around" w:hAnchor="page" w:y="6408"/>
        <w:jc w:val="center"/>
        <w:rPr>
          <w:rFonts w:ascii="黑体" w:eastAsia="黑体" w:hAnsi="黑体" w:hint="eastAsia"/>
          <w:b w:val="0"/>
          <w:bCs w:val="0"/>
          <w:w w:val="100"/>
        </w:rPr>
      </w:pPr>
    </w:p>
    <w:p w14:paraId="00A18AFC" w14:textId="77777777" w:rsidR="008A3FAD"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轨道式集装箱门式起重机氢燃料电池供电系统技术要求</w:t>
      </w:r>
      <w:r>
        <w:fldChar w:fldCharType="end"/>
      </w:r>
      <w:bookmarkEnd w:id="9"/>
    </w:p>
    <w:p w14:paraId="505DA875" w14:textId="77777777" w:rsidR="008A3FAD" w:rsidRDefault="008A3FAD">
      <w:pPr>
        <w:framePr w:w="9639" w:h="6974" w:hRule="exact" w:wrap="around" w:vAnchor="page" w:hAnchor="page" w:x="1419" w:y="6408" w:anchorLock="1"/>
        <w:ind w:left="-1418"/>
      </w:pPr>
    </w:p>
    <w:p w14:paraId="34147236" w14:textId="77777777" w:rsidR="008A3FAD"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Technical requirements for hydrogen fuel cell power supply system of rail mounted container Gantry Crane</w:t>
      </w:r>
      <w:r>
        <w:rPr>
          <w:rFonts w:eastAsia="黑体"/>
          <w:szCs w:val="28"/>
        </w:rPr>
        <w:fldChar w:fldCharType="end"/>
      </w:r>
      <w:bookmarkEnd w:id="10"/>
    </w:p>
    <w:p w14:paraId="0F6E6187" w14:textId="77777777" w:rsidR="008A3FAD" w:rsidRDefault="008A3FAD">
      <w:pPr>
        <w:framePr w:w="9639" w:h="6974" w:hRule="exact" w:wrap="around" w:vAnchor="page" w:hAnchor="page" w:x="1419" w:y="6408" w:anchorLock="1"/>
        <w:spacing w:line="760" w:lineRule="exact"/>
        <w:ind w:left="-1418"/>
      </w:pPr>
    </w:p>
    <w:p w14:paraId="18A03EB4" w14:textId="77777777" w:rsidR="008A3FAD" w:rsidRDefault="008A3FAD">
      <w:pPr>
        <w:pStyle w:val="afffffff8"/>
        <w:framePr w:w="9639" w:h="6974" w:hRule="exact" w:wrap="around" w:vAnchor="page" w:hAnchor="page" w:x="1419" w:y="6408" w:anchorLock="1"/>
        <w:textAlignment w:val="bottom"/>
        <w:rPr>
          <w:rFonts w:eastAsia="黑体"/>
          <w:szCs w:val="28"/>
        </w:rPr>
      </w:pPr>
    </w:p>
    <w:p w14:paraId="56923DE1" w14:textId="77777777" w:rsidR="008A3FAD"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435CCD4F" w14:textId="77777777" w:rsidR="008A3FAD"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5A3D311B" w14:textId="77777777" w:rsidR="008A3FAD"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7891B7BD" w14:textId="77777777" w:rsidR="008A3FAD"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0942D330" w14:textId="77777777" w:rsidR="008A3FAD"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3AC7FEC" w14:textId="77777777" w:rsidR="008A3FAD" w:rsidRDefault="00000000">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中国港口协会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6BB4765F" w14:textId="77777777" w:rsidR="008A3FAD" w:rsidRDefault="00000000">
      <w:pPr>
        <w:rPr>
          <w:rFonts w:ascii="宋体" w:hAnsi="宋体" w:hint="eastAsia"/>
          <w:sz w:val="28"/>
          <w:szCs w:val="28"/>
        </w:rPr>
        <w:sectPr w:rsidR="008A3FAD">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7993B78" wp14:editId="4C8B70CA">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52DFB19" w14:textId="77777777" w:rsidR="008A3FAD" w:rsidRDefault="00000000">
      <w:pPr>
        <w:pStyle w:val="affffffa"/>
        <w:spacing w:after="360"/>
      </w:pPr>
      <w:bookmarkStart w:id="21" w:name="BookMark1"/>
      <w:r>
        <w:rPr>
          <w:rFonts w:hint="eastAsia"/>
          <w:spacing w:val="320"/>
        </w:rPr>
        <w:lastRenderedPageBreak/>
        <w:t>目</w:t>
      </w:r>
      <w:r>
        <w:rPr>
          <w:rFonts w:hint="eastAsia"/>
        </w:rPr>
        <w:t>次</w:t>
      </w:r>
    </w:p>
    <w:p w14:paraId="5006A6CD" w14:textId="77777777" w:rsidR="008A3FAD"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r>
        <w:fldChar w:fldCharType="begin"/>
      </w:r>
      <w:r>
        <w:instrText xml:space="preserve"> </w:instrText>
      </w:r>
      <w:r>
        <w:rPr>
          <w:rFonts w:hint="eastAsia"/>
        </w:rPr>
        <w:instrText>TOC \o "1-1" \h</w:instrText>
      </w:r>
      <w:r>
        <w:instrText xml:space="preserve"> </w:instrText>
      </w:r>
      <w:r>
        <w:fldChar w:fldCharType="separate"/>
      </w:r>
      <w:hyperlink w:anchor="_Toc192512628" w:history="1">
        <w:r>
          <w:rPr>
            <w:rStyle w:val="affffb"/>
            <w:rFonts w:hint="eastAsia"/>
            <w:spacing w:val="320"/>
          </w:rPr>
          <w:t>前</w:t>
        </w:r>
        <w:r>
          <w:rPr>
            <w:rStyle w:val="affffb"/>
            <w:rFonts w:hint="eastAsia"/>
          </w:rPr>
          <w:t>言</w:t>
        </w:r>
        <w:r>
          <w:rPr>
            <w:rFonts w:hint="eastAsia"/>
          </w:rPr>
          <w:tab/>
        </w:r>
        <w:r>
          <w:rPr>
            <w:rFonts w:hint="eastAsia"/>
          </w:rPr>
          <w:fldChar w:fldCharType="begin"/>
        </w:r>
        <w:r>
          <w:rPr>
            <w:rFonts w:hint="eastAsia"/>
          </w:rPr>
          <w:instrText xml:space="preserve"> </w:instrText>
        </w:r>
        <w:r>
          <w:instrText>PAGEREF _Toc192512628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14:paraId="2A39F392" w14:textId="77777777" w:rsidR="008A3FAD"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2512629" w:history="1">
        <w:r>
          <w:rPr>
            <w:rStyle w:val="affffb"/>
            <w:rFonts w:hint="eastAsia"/>
          </w:rPr>
          <w:t>1 范围</w:t>
        </w:r>
        <w:r>
          <w:rPr>
            <w:rFonts w:hint="eastAsia"/>
          </w:rPr>
          <w:tab/>
        </w:r>
        <w:r>
          <w:rPr>
            <w:rFonts w:hint="eastAsia"/>
          </w:rPr>
          <w:fldChar w:fldCharType="begin"/>
        </w:r>
        <w:r>
          <w:rPr>
            <w:rFonts w:hint="eastAsia"/>
          </w:rPr>
          <w:instrText xml:space="preserve"> </w:instrText>
        </w:r>
        <w:r>
          <w:instrText>PAGEREF _Toc192512629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0C41ED80" w14:textId="77777777" w:rsidR="008A3FAD"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2512630" w:history="1">
        <w:r>
          <w:rPr>
            <w:rStyle w:val="affffb"/>
            <w:rFonts w:hint="eastAsia"/>
          </w:rPr>
          <w:t>2 规范性引用文件</w:t>
        </w:r>
        <w:r>
          <w:rPr>
            <w:rFonts w:hint="eastAsia"/>
          </w:rPr>
          <w:tab/>
        </w:r>
        <w:r>
          <w:rPr>
            <w:rFonts w:hint="eastAsia"/>
          </w:rPr>
          <w:fldChar w:fldCharType="begin"/>
        </w:r>
        <w:r>
          <w:rPr>
            <w:rFonts w:hint="eastAsia"/>
          </w:rPr>
          <w:instrText xml:space="preserve"> </w:instrText>
        </w:r>
        <w:r>
          <w:instrText>PAGEREF _Toc192512630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58410996" w14:textId="77777777" w:rsidR="008A3FAD"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2512631" w:history="1">
        <w:r>
          <w:rPr>
            <w:rStyle w:val="affffb"/>
            <w:rFonts w:hint="eastAsia"/>
          </w:rPr>
          <w:t>3 术语和定义</w:t>
        </w:r>
        <w:r>
          <w:rPr>
            <w:rFonts w:hint="eastAsia"/>
          </w:rPr>
          <w:tab/>
        </w:r>
        <w:r>
          <w:rPr>
            <w:rFonts w:hint="eastAsia"/>
          </w:rPr>
          <w:fldChar w:fldCharType="begin"/>
        </w:r>
        <w:r>
          <w:rPr>
            <w:rFonts w:hint="eastAsia"/>
          </w:rPr>
          <w:instrText xml:space="preserve"> </w:instrText>
        </w:r>
        <w:r>
          <w:instrText>PAGEREF _Toc192512631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5219A146" w14:textId="77777777" w:rsidR="008A3FAD"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2512632" w:history="1">
        <w:r>
          <w:rPr>
            <w:rStyle w:val="affffb"/>
            <w:rFonts w:hint="eastAsia"/>
          </w:rPr>
          <w:t>4</w:t>
        </w:r>
        <w:r>
          <w:rPr>
            <w:rStyle w:val="affffb"/>
            <w:rFonts w:hint="eastAsia"/>
            <w:bCs/>
          </w:rPr>
          <w:t xml:space="preserve"> 系统构成和配置</w:t>
        </w:r>
        <w:r>
          <w:rPr>
            <w:rFonts w:hint="eastAsia"/>
          </w:rPr>
          <w:tab/>
        </w:r>
        <w:r>
          <w:rPr>
            <w:rFonts w:hint="eastAsia"/>
          </w:rPr>
          <w:fldChar w:fldCharType="begin"/>
        </w:r>
        <w:r>
          <w:rPr>
            <w:rFonts w:hint="eastAsia"/>
          </w:rPr>
          <w:instrText xml:space="preserve"> </w:instrText>
        </w:r>
        <w:r>
          <w:instrText>PAGEREF _Toc192512632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3C4CD5D8" w14:textId="77777777" w:rsidR="008A3FAD"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2512633" w:history="1">
        <w:r>
          <w:rPr>
            <w:rStyle w:val="affffb"/>
            <w:rFonts w:hint="eastAsia"/>
          </w:rPr>
          <w:t>5 一般要求</w:t>
        </w:r>
        <w:r>
          <w:rPr>
            <w:rFonts w:hint="eastAsia"/>
          </w:rPr>
          <w:tab/>
        </w:r>
        <w:r>
          <w:rPr>
            <w:rFonts w:hint="eastAsia"/>
          </w:rPr>
          <w:fldChar w:fldCharType="begin"/>
        </w:r>
        <w:r>
          <w:rPr>
            <w:rFonts w:hint="eastAsia"/>
          </w:rPr>
          <w:instrText xml:space="preserve"> </w:instrText>
        </w:r>
        <w:r>
          <w:instrText>PAGEREF _Toc192512633 \h</w:instrText>
        </w:r>
        <w:r>
          <w:rPr>
            <w:rFonts w:hint="eastAsia"/>
          </w:rPr>
          <w:instrText xml:space="preserve"> </w:instrText>
        </w:r>
        <w:r>
          <w:rPr>
            <w:rFonts w:hint="eastAsia"/>
          </w:rPr>
        </w:r>
        <w:r>
          <w:rPr>
            <w:rFonts w:hint="eastAsia"/>
          </w:rPr>
          <w:fldChar w:fldCharType="separate"/>
        </w:r>
        <w:r>
          <w:t>3</w:t>
        </w:r>
        <w:r>
          <w:rPr>
            <w:rFonts w:hint="eastAsia"/>
          </w:rPr>
          <w:fldChar w:fldCharType="end"/>
        </w:r>
      </w:hyperlink>
    </w:p>
    <w:p w14:paraId="6AB48A05" w14:textId="77777777" w:rsidR="008A3FAD"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2512634" w:history="1">
        <w:r>
          <w:rPr>
            <w:rStyle w:val="affffb"/>
            <w:rFonts w:hint="eastAsia"/>
          </w:rPr>
          <w:t>6 技术要求</w:t>
        </w:r>
        <w:r>
          <w:rPr>
            <w:rFonts w:hint="eastAsia"/>
          </w:rPr>
          <w:tab/>
        </w:r>
        <w:r>
          <w:rPr>
            <w:rFonts w:hint="eastAsia"/>
          </w:rPr>
          <w:fldChar w:fldCharType="begin"/>
        </w:r>
        <w:r>
          <w:rPr>
            <w:rFonts w:hint="eastAsia"/>
          </w:rPr>
          <w:instrText xml:space="preserve"> </w:instrText>
        </w:r>
        <w:r>
          <w:instrText>PAGEREF _Toc192512634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2B1FD7C1" w14:textId="77777777" w:rsidR="008A3FAD" w:rsidRDefault="00000000">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92512635" w:history="1">
        <w:r>
          <w:rPr>
            <w:rStyle w:val="affffb"/>
            <w:rFonts w:hint="eastAsia"/>
            <w:spacing w:val="100"/>
          </w:rPr>
          <w:t>附录A</w:t>
        </w:r>
        <w:r>
          <w:rPr>
            <w:rStyle w:val="affffb"/>
            <w:rFonts w:hint="eastAsia"/>
          </w:rPr>
          <w:t xml:space="preserve"> （资料性） 检修维护</w:t>
        </w:r>
        <w:r>
          <w:rPr>
            <w:rFonts w:hint="eastAsia"/>
          </w:rPr>
          <w:tab/>
        </w:r>
        <w:r>
          <w:rPr>
            <w:rFonts w:hint="eastAsia"/>
          </w:rPr>
          <w:fldChar w:fldCharType="begin"/>
        </w:r>
        <w:r>
          <w:rPr>
            <w:rFonts w:hint="eastAsia"/>
          </w:rPr>
          <w:instrText xml:space="preserve"> </w:instrText>
        </w:r>
        <w:r>
          <w:instrText>PAGEREF _Toc192512635 \h</w:instrText>
        </w:r>
        <w:r>
          <w:rPr>
            <w:rFonts w:hint="eastAsia"/>
          </w:rPr>
          <w:instrText xml:space="preserve"> </w:instrText>
        </w:r>
        <w:r>
          <w:rPr>
            <w:rFonts w:hint="eastAsia"/>
          </w:rPr>
        </w:r>
        <w:r>
          <w:rPr>
            <w:rFonts w:hint="eastAsia"/>
          </w:rPr>
          <w:fldChar w:fldCharType="separate"/>
        </w:r>
        <w:r>
          <w:t>9</w:t>
        </w:r>
        <w:r>
          <w:rPr>
            <w:rFonts w:hint="eastAsia"/>
          </w:rPr>
          <w:fldChar w:fldCharType="end"/>
        </w:r>
      </w:hyperlink>
    </w:p>
    <w:p w14:paraId="7FA4DD34" w14:textId="77777777" w:rsidR="008A3FAD" w:rsidRDefault="00000000">
      <w:pPr>
        <w:pStyle w:val="affffffa"/>
        <w:spacing w:after="360"/>
        <w:sectPr w:rsidR="008A3FAD">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r>
        <w:fldChar w:fldCharType="end"/>
      </w:r>
    </w:p>
    <w:p w14:paraId="72C708C7" w14:textId="77777777" w:rsidR="008A3FAD" w:rsidRDefault="00000000">
      <w:pPr>
        <w:pStyle w:val="a6"/>
        <w:spacing w:before="900" w:after="360"/>
      </w:pPr>
      <w:bookmarkStart w:id="22" w:name="_Toc192512628"/>
      <w:bookmarkStart w:id="23" w:name="BookMark2"/>
      <w:bookmarkEnd w:id="21"/>
      <w:r>
        <w:rPr>
          <w:rFonts w:hint="eastAsia"/>
          <w:spacing w:val="320"/>
        </w:rPr>
        <w:lastRenderedPageBreak/>
        <w:t>前</w:t>
      </w:r>
      <w:r>
        <w:rPr>
          <w:rFonts w:hint="eastAsia"/>
        </w:rPr>
        <w:t>言</w:t>
      </w:r>
      <w:bookmarkEnd w:id="22"/>
    </w:p>
    <w:p w14:paraId="58A8A1EB" w14:textId="77777777" w:rsidR="008A3FAD" w:rsidRDefault="00000000">
      <w:pPr>
        <w:pStyle w:val="afffff5"/>
        <w:ind w:firstLine="420"/>
      </w:pPr>
      <w:r>
        <w:rPr>
          <w:rFonts w:hint="eastAsia"/>
        </w:rPr>
        <w:t>本文件按照GB/T 1.1—2020《标准化工作导则  第1部分：标准化文件的结构和起草规则》的规定起草。</w:t>
      </w:r>
    </w:p>
    <w:p w14:paraId="5858964D" w14:textId="77777777" w:rsidR="008A3FAD" w:rsidRDefault="008A3FAD">
      <w:pPr>
        <w:pStyle w:val="afffff5"/>
        <w:ind w:firstLine="420"/>
      </w:pPr>
    </w:p>
    <w:p w14:paraId="598AF152" w14:textId="77777777" w:rsidR="008A3FAD" w:rsidRDefault="008A3FAD">
      <w:pPr>
        <w:pStyle w:val="afffff5"/>
        <w:ind w:firstLine="420"/>
      </w:pPr>
    </w:p>
    <w:p w14:paraId="4258BF77" w14:textId="77777777" w:rsidR="008A3FAD" w:rsidRDefault="008A3FAD">
      <w:pPr>
        <w:pStyle w:val="afffff5"/>
        <w:ind w:firstLine="420"/>
      </w:pPr>
    </w:p>
    <w:p w14:paraId="61B6088D" w14:textId="77777777" w:rsidR="008A3FAD" w:rsidRDefault="00000000">
      <w:pPr>
        <w:pStyle w:val="afffff5"/>
        <w:ind w:firstLine="420"/>
      </w:pPr>
      <w:r>
        <w:rPr>
          <w:rFonts w:hint="eastAsia"/>
        </w:rPr>
        <w:t>本文件由中国港口协会提出/归口。</w:t>
      </w:r>
    </w:p>
    <w:p w14:paraId="1F72FEA3" w14:textId="677B89B3" w:rsidR="008A3FAD" w:rsidRDefault="00000000">
      <w:pPr>
        <w:pStyle w:val="afffff5"/>
        <w:ind w:firstLine="420"/>
      </w:pPr>
      <w:r>
        <w:rPr>
          <w:rFonts w:hint="eastAsia"/>
        </w:rPr>
        <w:t>本文件起草单位：</w:t>
      </w:r>
      <w:r>
        <w:rPr>
          <w:rFonts w:hAnsi="宋体"/>
        </w:rPr>
        <w:t>青岛港国际股份有限公司、青岛新前湾集装箱码头有限责任公司、海卓动力（青岛）能源科技有限公司、山东省港口集团有限公司</w:t>
      </w:r>
      <w:r>
        <w:rPr>
          <w:rFonts w:hAnsi="宋体" w:hint="eastAsia"/>
        </w:rPr>
        <w:t>。</w:t>
      </w:r>
    </w:p>
    <w:p w14:paraId="199F7EE5" w14:textId="77777777" w:rsidR="008A3FAD" w:rsidRDefault="00000000">
      <w:pPr>
        <w:pStyle w:val="afffff5"/>
        <w:ind w:firstLine="420"/>
      </w:pPr>
      <w:r>
        <w:rPr>
          <w:rFonts w:hint="eastAsia"/>
        </w:rPr>
        <w:t>本文件主要起草人：</w:t>
      </w:r>
      <w:r>
        <w:rPr>
          <w:rFonts w:hAnsi="宋体" w:hint="eastAsia"/>
        </w:rPr>
        <w:t>张连钢、张峰、王心成、田昌明、赵晓楠、</w:t>
      </w:r>
      <w:r>
        <w:rPr>
          <w:rFonts w:hAnsi="宋体"/>
        </w:rPr>
        <w:t>张智璐</w:t>
      </w:r>
      <w:r>
        <w:rPr>
          <w:rFonts w:hAnsi="宋体" w:hint="eastAsia"/>
        </w:rPr>
        <w:t>、孙肃徽、吕向东、周兆君、管虎、齐斌、刘长辉、孙秀良、潘航、修方强、秦洪建、刘志阳、王超、唐伟、孙正文、</w:t>
      </w:r>
      <w:r>
        <w:rPr>
          <w:rFonts w:hAnsi="宋体"/>
        </w:rPr>
        <w:t>王红宾、周林、</w:t>
      </w:r>
      <w:r>
        <w:rPr>
          <w:rFonts w:hAnsi="宋体" w:hint="eastAsia"/>
        </w:rPr>
        <w:t>温可欣、</w:t>
      </w:r>
      <w:r>
        <w:rPr>
          <w:rFonts w:hAnsi="宋体"/>
        </w:rPr>
        <w:t>徐西永。</w:t>
      </w:r>
    </w:p>
    <w:p w14:paraId="16D3DC34" w14:textId="77777777" w:rsidR="008A3FAD" w:rsidRDefault="008A3FAD">
      <w:pPr>
        <w:pStyle w:val="afffff5"/>
        <w:ind w:firstLine="420"/>
      </w:pPr>
    </w:p>
    <w:p w14:paraId="58B37588" w14:textId="77777777" w:rsidR="008A3FAD" w:rsidRDefault="008A3FAD">
      <w:pPr>
        <w:pStyle w:val="afffff5"/>
        <w:ind w:firstLine="420"/>
        <w:sectPr w:rsidR="008A3FAD">
          <w:pgSz w:w="11906" w:h="16838"/>
          <w:pgMar w:top="1928" w:right="1134" w:bottom="1134" w:left="1134" w:header="1418" w:footer="1134" w:gutter="284"/>
          <w:pgNumType w:fmt="upperRoman"/>
          <w:cols w:space="425"/>
          <w:formProt w:val="0"/>
          <w:docGrid w:linePitch="312"/>
        </w:sectPr>
      </w:pPr>
    </w:p>
    <w:p w14:paraId="77B0B68C" w14:textId="77777777" w:rsidR="008A3FAD" w:rsidRDefault="008A3FAD">
      <w:pPr>
        <w:spacing w:line="20" w:lineRule="exact"/>
        <w:jc w:val="center"/>
        <w:rPr>
          <w:rFonts w:ascii="黑体" w:eastAsia="黑体" w:hAnsi="黑体" w:hint="eastAsia"/>
          <w:sz w:val="32"/>
          <w:szCs w:val="32"/>
        </w:rPr>
      </w:pPr>
      <w:bookmarkStart w:id="24" w:name="BookMark4"/>
      <w:bookmarkEnd w:id="23"/>
    </w:p>
    <w:p w14:paraId="51581863" w14:textId="77777777" w:rsidR="008A3FAD" w:rsidRDefault="008A3FAD">
      <w:pPr>
        <w:spacing w:line="20" w:lineRule="exact"/>
        <w:jc w:val="center"/>
        <w:rPr>
          <w:rFonts w:ascii="黑体" w:eastAsia="黑体" w:hAnsi="黑体" w:hint="eastAsia"/>
          <w:sz w:val="32"/>
          <w:szCs w:val="32"/>
        </w:rPr>
      </w:pPr>
    </w:p>
    <w:bookmarkStart w:id="25" w:name="NEW_STAND_NAME" w:displacedByCustomXml="next"/>
    <w:sdt>
      <w:sdtPr>
        <w:tag w:val="NEW_STAND_NAME"/>
        <w:id w:val="595910757"/>
        <w:lock w:val="sdtLocked"/>
        <w:placeholder>
          <w:docPart w:val="A1FF5BFC5E40412888D2BC8CC5C7A310"/>
        </w:placeholder>
      </w:sdtPr>
      <w:sdtContent>
        <w:p w14:paraId="3BAC6DCC" w14:textId="77777777" w:rsidR="008A3FAD" w:rsidRDefault="00000000">
          <w:pPr>
            <w:pStyle w:val="afffffffff8"/>
            <w:spacing w:beforeLines="100" w:before="240" w:afterLines="220" w:after="528"/>
            <w:rPr>
              <w:rFonts w:hint="eastAsia"/>
            </w:rPr>
          </w:pPr>
          <w:r>
            <w:rPr>
              <w:rFonts w:hint="eastAsia"/>
            </w:rPr>
            <w:t>轨道式集装箱门式起重机氢燃料电池供电系统技术要求</w:t>
          </w:r>
        </w:p>
      </w:sdtContent>
    </w:sdt>
    <w:p w14:paraId="60FD1129" w14:textId="77777777" w:rsidR="008A3FAD" w:rsidRDefault="00000000">
      <w:pPr>
        <w:pStyle w:val="affc"/>
        <w:spacing w:before="240" w:after="240"/>
      </w:pPr>
      <w:bookmarkStart w:id="26" w:name="_Toc97192964"/>
      <w:bookmarkStart w:id="27" w:name="_Toc26986530"/>
      <w:bookmarkStart w:id="28" w:name="_Toc192512629"/>
      <w:bookmarkStart w:id="29" w:name="_Toc24884218"/>
      <w:bookmarkStart w:id="30" w:name="_Toc24884211"/>
      <w:bookmarkStart w:id="31" w:name="_Toc17233325"/>
      <w:bookmarkStart w:id="32" w:name="_Toc26648465"/>
      <w:bookmarkStart w:id="33" w:name="_Toc17233333"/>
      <w:bookmarkStart w:id="34" w:name="_Toc26718930"/>
      <w:bookmarkStart w:id="35" w:name="_Toc26986771"/>
      <w:bookmarkEnd w:id="25"/>
      <w:r>
        <w:rPr>
          <w:rFonts w:hint="eastAsia"/>
        </w:rPr>
        <w:t>范围</w:t>
      </w:r>
      <w:bookmarkEnd w:id="26"/>
      <w:bookmarkEnd w:id="27"/>
      <w:bookmarkEnd w:id="28"/>
      <w:bookmarkEnd w:id="29"/>
      <w:bookmarkEnd w:id="30"/>
      <w:bookmarkEnd w:id="31"/>
      <w:bookmarkEnd w:id="32"/>
      <w:bookmarkEnd w:id="33"/>
      <w:bookmarkEnd w:id="34"/>
      <w:bookmarkEnd w:id="35"/>
    </w:p>
    <w:p w14:paraId="67883ADE" w14:textId="77777777" w:rsidR="008A3FAD" w:rsidRDefault="00000000">
      <w:pPr>
        <w:pStyle w:val="afffff5"/>
        <w:ind w:firstLine="420"/>
      </w:pPr>
      <w:bookmarkStart w:id="36" w:name="_Toc24884219"/>
      <w:bookmarkStart w:id="37" w:name="_Toc26648466"/>
      <w:bookmarkStart w:id="38" w:name="_Toc17233326"/>
      <w:bookmarkStart w:id="39" w:name="_Toc17233334"/>
      <w:bookmarkStart w:id="40" w:name="_Toc24884212"/>
      <w:r>
        <w:t>本</w:t>
      </w:r>
      <w:r>
        <w:rPr>
          <w:rFonts w:hint="eastAsia"/>
        </w:rPr>
        <w:t>文件规定了轨道式集装箱门式起重机氢燃料电池供电系统的系统构成、一般要求和技术要求。</w:t>
      </w:r>
    </w:p>
    <w:p w14:paraId="704742D8" w14:textId="77777777" w:rsidR="008A3FAD" w:rsidRDefault="00000000">
      <w:pPr>
        <w:pStyle w:val="afffff5"/>
        <w:ind w:firstLine="420"/>
      </w:pPr>
      <w:r>
        <w:rPr>
          <w:rFonts w:hint="eastAsia"/>
        </w:rPr>
        <w:t>本文件适用于轨道式集装箱门式起重机氢燃料电池供电系统的设计、制造及使用。</w:t>
      </w:r>
    </w:p>
    <w:p w14:paraId="78DC3D65" w14:textId="77777777" w:rsidR="008A3FAD" w:rsidRDefault="00000000">
      <w:pPr>
        <w:pStyle w:val="affc"/>
        <w:spacing w:before="240" w:after="240"/>
      </w:pPr>
      <w:bookmarkStart w:id="41" w:name="_Toc26986772"/>
      <w:bookmarkStart w:id="42" w:name="_Toc26986531"/>
      <w:bookmarkStart w:id="43" w:name="_Toc97192965"/>
      <w:bookmarkStart w:id="44" w:name="_Toc192512630"/>
      <w:bookmarkStart w:id="45" w:name="_Toc26718931"/>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05696BBBF5354D9795C6B4E0BC07FCA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42C3F4F" w14:textId="77777777" w:rsidR="008A3FAD"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08577AB" w14:textId="77777777" w:rsidR="008A3FAD" w:rsidRDefault="00000000">
      <w:pPr>
        <w:pStyle w:val="afffff5"/>
        <w:ind w:firstLine="420"/>
      </w:pPr>
      <w:r>
        <w:rPr>
          <w:rFonts w:hint="eastAsia"/>
        </w:rPr>
        <w:t>GB 38031 电动汽车用动力蓄电池安全要求</w:t>
      </w:r>
    </w:p>
    <w:p w14:paraId="3B4C96EA" w14:textId="77777777" w:rsidR="008A3FAD" w:rsidRDefault="00000000">
      <w:pPr>
        <w:pStyle w:val="afffff5"/>
        <w:ind w:firstLine="420"/>
      </w:pPr>
      <w:r>
        <w:rPr>
          <w:rFonts w:hint="eastAsia"/>
        </w:rPr>
        <w:t>GB 50156 汽车加油加气加氢站技术标准</w:t>
      </w:r>
    </w:p>
    <w:p w14:paraId="044666E7" w14:textId="77777777" w:rsidR="008A3FAD" w:rsidRDefault="00000000">
      <w:pPr>
        <w:pStyle w:val="afffff5"/>
        <w:ind w:firstLine="420"/>
      </w:pPr>
      <w:r>
        <w:rPr>
          <w:rFonts w:hint="eastAsia"/>
        </w:rPr>
        <w:t>GB/T</w:t>
      </w:r>
      <w:r>
        <w:t xml:space="preserve"> </w:t>
      </w:r>
      <w:r>
        <w:rPr>
          <w:rFonts w:hint="eastAsia"/>
        </w:rPr>
        <w:t>289</w:t>
      </w:r>
      <w:r>
        <w:t xml:space="preserve">3 </w:t>
      </w:r>
      <w:r>
        <w:rPr>
          <w:rFonts w:hint="eastAsia"/>
        </w:rPr>
        <w:t>安全色和安全标志</w:t>
      </w:r>
    </w:p>
    <w:p w14:paraId="1BE661DE" w14:textId="77777777" w:rsidR="008A3FAD" w:rsidRDefault="00000000">
      <w:pPr>
        <w:pStyle w:val="afffff5"/>
        <w:ind w:firstLine="420"/>
      </w:pPr>
      <w:r>
        <w:rPr>
          <w:rFonts w:hint="eastAsia"/>
        </w:rPr>
        <w:t>GB/T 2894</w:t>
      </w:r>
      <w:r>
        <w:t xml:space="preserve"> </w:t>
      </w:r>
      <w:r>
        <w:rPr>
          <w:rFonts w:hint="eastAsia"/>
        </w:rPr>
        <w:t>安全标志及其使用导则</w:t>
      </w:r>
    </w:p>
    <w:p w14:paraId="70455318" w14:textId="77777777" w:rsidR="008A3FAD" w:rsidRDefault="00000000">
      <w:pPr>
        <w:pStyle w:val="afffff5"/>
        <w:ind w:firstLine="420"/>
      </w:pPr>
      <w:r>
        <w:rPr>
          <w:rFonts w:hint="eastAsia"/>
        </w:rPr>
        <w:t>GB/T 6067.1</w:t>
      </w:r>
      <w:r>
        <w:t xml:space="preserve"> </w:t>
      </w:r>
      <w:r>
        <w:rPr>
          <w:rFonts w:hint="eastAsia"/>
        </w:rPr>
        <w:t>起重机械安全规程 第1部分:总则</w:t>
      </w:r>
    </w:p>
    <w:p w14:paraId="2E91AA91" w14:textId="77777777" w:rsidR="008A3FAD" w:rsidRDefault="00000000">
      <w:pPr>
        <w:pStyle w:val="afffff5"/>
        <w:ind w:firstLine="420"/>
      </w:pPr>
      <w:r>
        <w:rPr>
          <w:rFonts w:hint="eastAsia"/>
        </w:rPr>
        <w:t>GB/T 7231 工业管路的基本识别色和识别符</w:t>
      </w:r>
    </w:p>
    <w:p w14:paraId="2549576A" w14:textId="77777777" w:rsidR="008A3FAD" w:rsidRDefault="00000000">
      <w:pPr>
        <w:pStyle w:val="afffff5"/>
        <w:ind w:firstLine="420"/>
      </w:pPr>
      <w:r>
        <w:rPr>
          <w:rFonts w:hint="eastAsia"/>
        </w:rPr>
        <w:t>GB/T</w:t>
      </w:r>
      <w:r>
        <w:t xml:space="preserve"> </w:t>
      </w:r>
      <w:r>
        <w:rPr>
          <w:rFonts w:hint="eastAsia"/>
        </w:rPr>
        <w:t>7826 系统可靠性分析技术 失效模式和影响分析</w:t>
      </w:r>
    </w:p>
    <w:p w14:paraId="09AB5614" w14:textId="77777777" w:rsidR="008A3FAD" w:rsidRDefault="00000000">
      <w:pPr>
        <w:pStyle w:val="afffff5"/>
        <w:ind w:firstLine="420"/>
      </w:pPr>
      <w:r>
        <w:rPr>
          <w:rFonts w:hint="eastAsia"/>
        </w:rPr>
        <w:t>GB/T 7829 故障树分析程序</w:t>
      </w:r>
    </w:p>
    <w:p w14:paraId="0D11E535" w14:textId="77777777" w:rsidR="008A3FAD" w:rsidRDefault="00000000">
      <w:pPr>
        <w:pStyle w:val="afffff5"/>
        <w:ind w:firstLine="420"/>
      </w:pPr>
      <w:r>
        <w:rPr>
          <w:rFonts w:hint="eastAsia"/>
        </w:rPr>
        <w:t>GB/T 17215.321 交流电测量设备　特殊要求　第21部分：静止式有功电能表(1级和2级)</w:t>
      </w:r>
    </w:p>
    <w:p w14:paraId="0292CE9E" w14:textId="77777777" w:rsidR="008A3FAD" w:rsidRDefault="00000000">
      <w:pPr>
        <w:pStyle w:val="afffff5"/>
        <w:ind w:firstLine="420"/>
      </w:pPr>
      <w:r>
        <w:rPr>
          <w:rFonts w:hint="eastAsia"/>
        </w:rPr>
        <w:t>GB</w:t>
      </w:r>
      <w:r>
        <w:t>/</w:t>
      </w:r>
      <w:r>
        <w:rPr>
          <w:rFonts w:hint="eastAsia"/>
        </w:rPr>
        <w:t>T</w:t>
      </w:r>
      <w:r>
        <w:t xml:space="preserve"> </w:t>
      </w:r>
      <w:r>
        <w:rPr>
          <w:rFonts w:hint="eastAsia"/>
        </w:rPr>
        <w:t>17215.3228 静止式有功电能表(0.2S级和0.5S级)</w:t>
      </w:r>
    </w:p>
    <w:p w14:paraId="550D24E4" w14:textId="77777777" w:rsidR="008A3FAD" w:rsidRDefault="00000000">
      <w:pPr>
        <w:pStyle w:val="afffff5"/>
        <w:ind w:firstLine="420"/>
      </w:pPr>
      <w:r>
        <w:rPr>
          <w:rFonts w:hint="eastAsia"/>
        </w:rPr>
        <w:t>GB/T 17467 高压低压预装式变电站</w:t>
      </w:r>
    </w:p>
    <w:p w14:paraId="744D2016" w14:textId="77777777" w:rsidR="008A3FAD" w:rsidRDefault="00000000">
      <w:pPr>
        <w:pStyle w:val="afffff5"/>
        <w:ind w:firstLine="420"/>
      </w:pPr>
      <w:r>
        <w:t>GB/T 19683 轨道式集装箱门式起重机</w:t>
      </w:r>
    </w:p>
    <w:p w14:paraId="4DD4D3FE" w14:textId="77777777" w:rsidR="008A3FAD" w:rsidRDefault="00000000">
      <w:pPr>
        <w:pStyle w:val="afffff5"/>
        <w:ind w:firstLine="420"/>
      </w:pPr>
      <w:r>
        <w:rPr>
          <w:rFonts w:hint="eastAsia"/>
        </w:rPr>
        <w:t>GB/T 19826</w:t>
      </w:r>
      <w:r>
        <w:t xml:space="preserve"> </w:t>
      </w:r>
      <w:r>
        <w:rPr>
          <w:rFonts w:hint="eastAsia"/>
        </w:rPr>
        <w:t>电力工程直流电源设备通用技术条件及安全要求</w:t>
      </w:r>
    </w:p>
    <w:p w14:paraId="78D5959B" w14:textId="77777777" w:rsidR="008A3FAD" w:rsidRDefault="00000000">
      <w:pPr>
        <w:pStyle w:val="afffff5"/>
        <w:ind w:firstLine="420"/>
      </w:pPr>
      <w:r>
        <w:t>GB/T 20042.1 质子交换膜燃料电池 第1部分：术语</w:t>
      </w:r>
    </w:p>
    <w:p w14:paraId="34D94F73" w14:textId="77777777" w:rsidR="008A3FAD" w:rsidRDefault="00000000">
      <w:pPr>
        <w:pStyle w:val="afffff5"/>
        <w:ind w:firstLine="420"/>
      </w:pPr>
      <w:r>
        <w:t>GB/T 24549 燃料电池电动汽车</w:t>
      </w:r>
      <w:r>
        <w:t>—</w:t>
      </w:r>
      <w:r>
        <w:t>安全要求</w:t>
      </w:r>
    </w:p>
    <w:p w14:paraId="0FC9B73C" w14:textId="77777777" w:rsidR="008A3FAD" w:rsidRDefault="00000000">
      <w:pPr>
        <w:pStyle w:val="afffff5"/>
        <w:ind w:firstLine="420"/>
      </w:pPr>
      <w:r>
        <w:t>GB/T 28816 燃料电池 术语</w:t>
      </w:r>
    </w:p>
    <w:p w14:paraId="48874513" w14:textId="77777777" w:rsidR="008A3FAD" w:rsidRDefault="00000000">
      <w:pPr>
        <w:pStyle w:val="afffff5"/>
        <w:ind w:firstLine="420"/>
      </w:pPr>
      <w:r>
        <w:t>GB/T 29729</w:t>
      </w:r>
      <w:r>
        <w:rPr>
          <w:rFonts w:hint="eastAsia"/>
        </w:rPr>
        <w:t xml:space="preserve"> </w:t>
      </w:r>
      <w:r>
        <w:t xml:space="preserve"> 氢系统</w:t>
      </w:r>
      <w:r>
        <w:rPr>
          <w:rFonts w:hint="eastAsia"/>
        </w:rPr>
        <w:t>安全的基本要求</w:t>
      </w:r>
    </w:p>
    <w:p w14:paraId="0871C04C" w14:textId="77777777" w:rsidR="008A3FAD" w:rsidRDefault="00000000">
      <w:pPr>
        <w:pStyle w:val="afffff5"/>
        <w:ind w:firstLine="420"/>
      </w:pPr>
      <w:r>
        <w:t>GB/T 36288 燃料电池电动汽车 燃料电池堆安全要求</w:t>
      </w:r>
    </w:p>
    <w:p w14:paraId="0EEAE7A6" w14:textId="77777777" w:rsidR="008A3FAD" w:rsidRDefault="00000000">
      <w:pPr>
        <w:pStyle w:val="afffff5"/>
        <w:ind w:firstLine="420"/>
      </w:pPr>
      <w:r>
        <w:t>GB/T 37244 质子交换膜燃料电池汽车用燃料 氢气</w:t>
      </w:r>
    </w:p>
    <w:p w14:paraId="64C57C15" w14:textId="77777777" w:rsidR="008A3FAD" w:rsidRDefault="00000000">
      <w:pPr>
        <w:pStyle w:val="afffff5"/>
        <w:ind w:firstLine="420"/>
      </w:pPr>
      <w:r>
        <w:rPr>
          <w:rFonts w:hint="eastAsia"/>
        </w:rPr>
        <w:t>GB/T 39462 低压直流系统与设备安全导则</w:t>
      </w:r>
    </w:p>
    <w:p w14:paraId="073614FD" w14:textId="77777777" w:rsidR="008A3FAD" w:rsidRDefault="00000000">
      <w:pPr>
        <w:pStyle w:val="afffff5"/>
        <w:ind w:firstLine="420"/>
      </w:pPr>
      <w:r>
        <w:rPr>
          <w:rFonts w:hint="eastAsia"/>
        </w:rPr>
        <w:t>GB/T 42855 氢燃料电池车辆加注协议技术要求</w:t>
      </w:r>
    </w:p>
    <w:p w14:paraId="40CFDBD7" w14:textId="77777777" w:rsidR="008A3FAD" w:rsidRDefault="00000000">
      <w:pPr>
        <w:pStyle w:val="afffff5"/>
        <w:ind w:firstLine="420"/>
      </w:pPr>
      <w:r>
        <w:t xml:space="preserve">GB/T 50516 </w:t>
      </w:r>
      <w:r>
        <w:rPr>
          <w:rFonts w:hint="eastAsia"/>
        </w:rPr>
        <w:t>加氢站技术规范</w:t>
      </w:r>
    </w:p>
    <w:p w14:paraId="0131AE36" w14:textId="77777777" w:rsidR="008A3FAD" w:rsidRDefault="00000000">
      <w:pPr>
        <w:pStyle w:val="afffff5"/>
        <w:ind w:firstLine="420"/>
      </w:pPr>
      <w:r>
        <w:rPr>
          <w:rFonts w:hint="eastAsia"/>
        </w:rPr>
        <w:t>ISO/TR 15916 氢系统安全的基本考虑（英文）</w:t>
      </w:r>
    </w:p>
    <w:p w14:paraId="69F4FEB1" w14:textId="77777777" w:rsidR="008A3FAD" w:rsidRDefault="00000000">
      <w:pPr>
        <w:pStyle w:val="afffff5"/>
        <w:ind w:firstLine="420"/>
      </w:pPr>
      <w:r>
        <w:t>IEC</w:t>
      </w:r>
      <w:r>
        <w:rPr>
          <w:rFonts w:hint="eastAsia"/>
        </w:rPr>
        <w:t xml:space="preserve"> 61508</w:t>
      </w:r>
      <w:r>
        <w:t xml:space="preserve"> </w:t>
      </w:r>
      <w:r>
        <w:rPr>
          <w:rFonts w:hint="eastAsia"/>
        </w:rPr>
        <w:t>设备功能安全（英文）</w:t>
      </w:r>
    </w:p>
    <w:p w14:paraId="76DBCB87" w14:textId="77777777" w:rsidR="008A3FAD" w:rsidRDefault="00000000">
      <w:pPr>
        <w:pStyle w:val="affc"/>
        <w:spacing w:before="240" w:after="240"/>
      </w:pPr>
      <w:bookmarkStart w:id="46" w:name="_Toc192512631"/>
      <w:bookmarkStart w:id="47" w:name="_Toc97192966"/>
      <w:r>
        <w:rPr>
          <w:rFonts w:hint="eastAsia"/>
          <w:szCs w:val="21"/>
        </w:rPr>
        <w:t>术语和定义</w:t>
      </w:r>
      <w:bookmarkEnd w:id="46"/>
      <w:bookmarkEnd w:id="47"/>
    </w:p>
    <w:bookmarkStart w:id="48" w:name="_Toc26986532" w:displacedByCustomXml="next"/>
    <w:bookmarkEnd w:id="48" w:displacedByCustomXml="next"/>
    <w:sdt>
      <w:sdtPr>
        <w:rPr>
          <w:rFonts w:hAnsi="宋体"/>
        </w:rPr>
        <w:id w:val="-1909835108"/>
        <w:placeholder>
          <w:docPart w:val="8D63BE8AF3814F3DB70671DCD6A201D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91BEFAE" w14:textId="77777777" w:rsidR="008A3FAD" w:rsidRDefault="00000000">
          <w:pPr>
            <w:pStyle w:val="afffff5"/>
            <w:ind w:firstLine="420"/>
          </w:pPr>
          <w:r>
            <w:rPr>
              <w:rFonts w:hAnsi="宋体" w:hint="eastAsia"/>
            </w:rPr>
            <w:t>GB/T 19683、GB/T 20042.1 、GB/T 28816</w:t>
          </w:r>
          <w:r>
            <w:rPr>
              <w:rFonts w:hAnsi="宋体"/>
            </w:rPr>
            <w:t>界定的以及下列术语和定义适用于本文件。</w:t>
          </w:r>
        </w:p>
      </w:sdtContent>
    </w:sdt>
    <w:p w14:paraId="6FC6C6F1" w14:textId="77777777" w:rsidR="008A3FAD" w:rsidRDefault="008A3FAD">
      <w:pPr>
        <w:pStyle w:val="afffffffffff4"/>
        <w:rPr>
          <w:rFonts w:ascii="黑体" w:eastAsia="黑体" w:hAnsi="黑体" w:hint="eastAsia"/>
        </w:rPr>
      </w:pPr>
    </w:p>
    <w:p w14:paraId="37CAF87F" w14:textId="77777777" w:rsidR="008A3FAD" w:rsidRDefault="00000000">
      <w:pPr>
        <w:pStyle w:val="afffffffffff4"/>
        <w:numPr>
          <w:ilvl w:val="0"/>
          <w:numId w:val="0"/>
        </w:numPr>
        <w:ind w:firstLineChars="202" w:firstLine="424"/>
        <w:rPr>
          <w:rFonts w:ascii="黑体" w:eastAsia="黑体" w:hAnsi="黑体" w:hint="eastAsia"/>
        </w:rPr>
      </w:pPr>
      <w:r>
        <w:rPr>
          <w:rFonts w:ascii="黑体" w:eastAsia="黑体" w:hAnsi="黑体"/>
        </w:rPr>
        <w:t xml:space="preserve">轨道式集装箱门式起重机氢燃料电池供电系统 </w:t>
      </w:r>
      <w:r>
        <w:rPr>
          <w:rFonts w:ascii="黑体" w:eastAsia="黑体" w:hAnsi="黑体" w:hint="eastAsia"/>
        </w:rPr>
        <w:t>h</w:t>
      </w:r>
      <w:r>
        <w:rPr>
          <w:rFonts w:ascii="黑体" w:eastAsia="黑体" w:hAnsi="黑体"/>
        </w:rPr>
        <w:t>ydrogen fuel cell power supply system for rail mounted container gantry crane</w:t>
      </w:r>
    </w:p>
    <w:p w14:paraId="00ABFE2D" w14:textId="77777777" w:rsidR="008A3FAD" w:rsidRDefault="00000000">
      <w:pPr>
        <w:pStyle w:val="afffff5"/>
        <w:ind w:firstLine="420"/>
      </w:pPr>
      <w:r>
        <w:rPr>
          <w:rFonts w:hAnsi="宋体" w:cs="F2" w:hint="eastAsia"/>
          <w:szCs w:val="21"/>
        </w:rPr>
        <w:t>将氢气和氧气的化学能通过电化学反应直接转换成电能，</w:t>
      </w:r>
      <w:r>
        <w:rPr>
          <w:rFonts w:hAnsi="宋体" w:cs="F2"/>
          <w:szCs w:val="21"/>
        </w:rPr>
        <w:t>并通过能量转换形成符合轨道吊集装箱门式起重机</w:t>
      </w:r>
      <w:r>
        <w:rPr>
          <w:rFonts w:hAnsi="宋体" w:cs="F2" w:hint="eastAsia"/>
          <w:szCs w:val="21"/>
        </w:rPr>
        <w:t>工况要求</w:t>
      </w:r>
      <w:r>
        <w:rPr>
          <w:rFonts w:hAnsi="宋体" w:cs="F2"/>
          <w:szCs w:val="21"/>
        </w:rPr>
        <w:t>的供电装置。</w:t>
      </w:r>
    </w:p>
    <w:p w14:paraId="6142B640" w14:textId="77777777" w:rsidR="008A3FAD" w:rsidRDefault="008A3FAD">
      <w:pPr>
        <w:pStyle w:val="afffffffffff4"/>
        <w:ind w:left="420" w:hangingChars="200" w:hanging="420"/>
        <w:rPr>
          <w:rFonts w:ascii="黑体" w:eastAsia="黑体" w:hAnsi="黑体" w:hint="eastAsia"/>
        </w:rPr>
      </w:pPr>
    </w:p>
    <w:p w14:paraId="57568E0A" w14:textId="77777777" w:rsidR="008A3FAD" w:rsidRDefault="00000000">
      <w:pPr>
        <w:pStyle w:val="afffff5"/>
        <w:ind w:firstLine="420"/>
      </w:pPr>
      <w:r>
        <w:rPr>
          <w:rStyle w:val="affff8"/>
          <w:rFonts w:ascii="黑体" w:eastAsia="黑体" w:hAnsi="黑体" w:cs="黑体" w:hint="eastAsia"/>
          <w:b w:val="0"/>
          <w:bCs w:val="0"/>
          <w:szCs w:val="21"/>
        </w:rPr>
        <w:t xml:space="preserve">氢燃料 </w:t>
      </w:r>
      <w:r>
        <w:rPr>
          <w:rFonts w:hint="eastAsia"/>
        </w:rPr>
        <w:t>h</w:t>
      </w:r>
      <w:r>
        <w:t>ydrogen fuel</w:t>
      </w:r>
    </w:p>
    <w:p w14:paraId="2E94044E" w14:textId="77777777" w:rsidR="008A3FAD" w:rsidRDefault="00000000">
      <w:pPr>
        <w:pStyle w:val="afffff5"/>
        <w:ind w:firstLine="420"/>
      </w:pPr>
      <w:r>
        <w:rPr>
          <w:rFonts w:hint="eastAsia"/>
        </w:rPr>
        <w:lastRenderedPageBreak/>
        <w:t>适合在港口设备安全操作，满足氢燃料电池使用要求的高纯度氢气，品质不应低于</w:t>
      </w:r>
      <w:r>
        <w:rPr>
          <w:rFonts w:hAnsi="宋体"/>
        </w:rPr>
        <w:t>GB/T 37244</w:t>
      </w:r>
      <w:r>
        <w:rPr>
          <w:rFonts w:hAnsi="宋体" w:hint="eastAsia"/>
        </w:rPr>
        <w:t>接受的标准。</w:t>
      </w:r>
    </w:p>
    <w:p w14:paraId="7F75E2AC" w14:textId="77777777" w:rsidR="008A3FAD" w:rsidRDefault="00000000">
      <w:pPr>
        <w:pStyle w:val="affc"/>
        <w:spacing w:before="240" w:after="240"/>
        <w:rPr>
          <w:b/>
        </w:rPr>
      </w:pPr>
      <w:bookmarkStart w:id="49" w:name="_Toc192512632"/>
      <w:r>
        <w:rPr>
          <w:rStyle w:val="affff8"/>
          <w:b w:val="0"/>
          <w:szCs w:val="21"/>
        </w:rPr>
        <w:t>系统构成和配置</w:t>
      </w:r>
      <w:bookmarkEnd w:id="49"/>
    </w:p>
    <w:p w14:paraId="6885E57B" w14:textId="77777777" w:rsidR="008A3FAD" w:rsidRDefault="00000000">
      <w:pPr>
        <w:pStyle w:val="affffffffe"/>
      </w:pPr>
      <w:r>
        <w:rPr>
          <w:rFonts w:hAnsi="宋体" w:cs="F2"/>
          <w:szCs w:val="21"/>
        </w:rPr>
        <w:t>轨道式集装箱门式起重机氢燃料电池供电系统（以下简称“系统”）由</w:t>
      </w:r>
      <w:r>
        <w:rPr>
          <w:rFonts w:hAnsi="宋体" w:cs="F2" w:hint="eastAsia"/>
          <w:szCs w:val="21"/>
        </w:rPr>
        <w:t>氢燃料电池系统、动力电池系统、直流供电装置、配电模块、功率分配模块、供氢设施、安全系统</w:t>
      </w:r>
      <w:r>
        <w:rPr>
          <w:rFonts w:hAnsi="宋体" w:cs="F2"/>
          <w:szCs w:val="21"/>
        </w:rPr>
        <w:t>构成。系统总体构成如图1所示。</w:t>
      </w:r>
    </w:p>
    <w:p w14:paraId="73C18968" w14:textId="77777777" w:rsidR="008A3FAD" w:rsidRDefault="008A3FAD">
      <w:pPr>
        <w:pStyle w:val="affffffffe"/>
        <w:numPr>
          <w:ilvl w:val="0"/>
          <w:numId w:val="0"/>
        </w:numPr>
      </w:pPr>
    </w:p>
    <w:p w14:paraId="62C13FEF" w14:textId="77777777" w:rsidR="008A3FAD" w:rsidRDefault="008A3FAD">
      <w:pPr>
        <w:pStyle w:val="affffffffe"/>
        <w:numPr>
          <w:ilvl w:val="0"/>
          <w:numId w:val="0"/>
        </w:numPr>
      </w:pPr>
    </w:p>
    <w:p w14:paraId="2ABE960F" w14:textId="77777777" w:rsidR="008A3FAD" w:rsidRDefault="00000000">
      <w:pPr>
        <w:pStyle w:val="affffffffe"/>
        <w:numPr>
          <w:ilvl w:val="0"/>
          <w:numId w:val="0"/>
        </w:numPr>
        <w:jc w:val="center"/>
      </w:pPr>
      <w:r>
        <w:rPr>
          <w:rFonts w:hint="eastAsia"/>
          <w:noProof/>
        </w:rPr>
        <w:drawing>
          <wp:inline distT="0" distB="0" distL="114300" distR="114300" wp14:anchorId="1C72DB83" wp14:editId="7D5BFA2A">
            <wp:extent cx="4632960" cy="4523105"/>
            <wp:effectExtent l="0" t="0" r="15240" b="10795"/>
            <wp:docPr id="3" name="图片 3" descr="e50bca285955a0445c8514d8f248c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50bca285955a0445c8514d8f248c14"/>
                    <pic:cNvPicPr>
                      <a:picLocks noChangeAspect="1"/>
                    </pic:cNvPicPr>
                  </pic:nvPicPr>
                  <pic:blipFill>
                    <a:blip r:embed="rId18"/>
                    <a:srcRect l="21370" r="21005"/>
                    <a:stretch>
                      <a:fillRect/>
                    </a:stretch>
                  </pic:blipFill>
                  <pic:spPr>
                    <a:xfrm>
                      <a:off x="0" y="0"/>
                      <a:ext cx="4632960" cy="4523105"/>
                    </a:xfrm>
                    <a:prstGeom prst="rect">
                      <a:avLst/>
                    </a:prstGeom>
                  </pic:spPr>
                </pic:pic>
              </a:graphicData>
            </a:graphic>
          </wp:inline>
        </w:drawing>
      </w:r>
    </w:p>
    <w:p w14:paraId="6C8F75F1" w14:textId="77777777" w:rsidR="008A3FAD" w:rsidRDefault="00000000">
      <w:pPr>
        <w:pStyle w:val="afd"/>
        <w:spacing w:before="120" w:after="120"/>
      </w:pPr>
      <w:r>
        <w:rPr>
          <w:rFonts w:hAnsi="黑体"/>
          <w:szCs w:val="21"/>
        </w:rPr>
        <w:t>轨道式集装箱门式起重机氢燃料电池供电系统总体构成图</w:t>
      </w:r>
    </w:p>
    <w:p w14:paraId="56AC9D1B" w14:textId="77777777" w:rsidR="008A3FAD" w:rsidRDefault="00000000">
      <w:pPr>
        <w:pStyle w:val="affffffffe"/>
        <w:rPr>
          <w:rFonts w:hAnsi="宋体" w:hint="eastAsia"/>
        </w:rPr>
      </w:pPr>
      <w:r>
        <w:rPr>
          <w:rFonts w:hAnsi="宋体"/>
          <w:szCs w:val="21"/>
        </w:rPr>
        <w:t>系统配置应满足表1的要求</w:t>
      </w:r>
      <w:r>
        <w:rPr>
          <w:rFonts w:hAnsi="宋体" w:hint="eastAsia"/>
          <w:szCs w:val="21"/>
        </w:rPr>
        <w:t>。</w:t>
      </w:r>
    </w:p>
    <w:p w14:paraId="3713E6B5" w14:textId="77777777" w:rsidR="008A3FAD" w:rsidRDefault="00000000">
      <w:pPr>
        <w:pStyle w:val="aff2"/>
        <w:spacing w:before="120" w:after="120"/>
      </w:pPr>
      <w:r>
        <w:rPr>
          <w:rFonts w:hAnsi="黑体"/>
          <w:szCs w:val="21"/>
        </w:rPr>
        <w:t>轨道式集装箱门式起重机氢燃料电池供电系统构成和基本配置</w:t>
      </w:r>
    </w:p>
    <w:tbl>
      <w:tblPr>
        <w:tblW w:w="7470" w:type="dxa"/>
        <w:jc w:val="center"/>
        <w:tblLayout w:type="fixed"/>
        <w:tblCellMar>
          <w:top w:w="15" w:type="dxa"/>
          <w:left w:w="15" w:type="dxa"/>
          <w:bottom w:w="15" w:type="dxa"/>
          <w:right w:w="15" w:type="dxa"/>
        </w:tblCellMar>
        <w:tblLook w:val="04A0" w:firstRow="1" w:lastRow="0" w:firstColumn="1" w:lastColumn="0" w:noHBand="0" w:noVBand="1"/>
      </w:tblPr>
      <w:tblGrid>
        <w:gridCol w:w="1185"/>
        <w:gridCol w:w="2115"/>
        <w:gridCol w:w="2550"/>
        <w:gridCol w:w="1620"/>
      </w:tblGrid>
      <w:tr w:rsidR="008A3FAD" w14:paraId="5E93D857" w14:textId="77777777">
        <w:trPr>
          <w:trHeight w:val="20"/>
          <w:jc w:val="center"/>
        </w:trPr>
        <w:tc>
          <w:tcPr>
            <w:tcW w:w="11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18675B0" w14:textId="77777777" w:rsidR="008A3FAD" w:rsidRDefault="00000000">
            <w:pPr>
              <w:jc w:val="center"/>
              <w:rPr>
                <w:rFonts w:ascii="宋体" w:hAnsi="宋体" w:hint="eastAsia"/>
                <w:sz w:val="18"/>
                <w:szCs w:val="18"/>
              </w:rPr>
            </w:pPr>
            <w:r>
              <w:rPr>
                <w:rFonts w:ascii="宋体" w:hAnsi="宋体" w:hint="eastAsia"/>
                <w:sz w:val="18"/>
                <w:szCs w:val="18"/>
              </w:rPr>
              <w:t>序号</w:t>
            </w:r>
          </w:p>
        </w:tc>
        <w:tc>
          <w:tcPr>
            <w:tcW w:w="21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E5DA2CC" w14:textId="77777777" w:rsidR="008A3FAD" w:rsidRDefault="00000000">
            <w:pPr>
              <w:jc w:val="center"/>
              <w:rPr>
                <w:rFonts w:ascii="宋体" w:hAnsi="宋体" w:hint="eastAsia"/>
                <w:sz w:val="18"/>
                <w:szCs w:val="18"/>
              </w:rPr>
            </w:pPr>
            <w:r>
              <w:rPr>
                <w:rFonts w:ascii="宋体" w:hAnsi="宋体" w:hint="eastAsia"/>
                <w:sz w:val="18"/>
                <w:szCs w:val="18"/>
              </w:rPr>
              <w:t>系统名称</w:t>
            </w: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93B5F5A" w14:textId="77777777" w:rsidR="008A3FAD" w:rsidRDefault="00000000">
            <w:pPr>
              <w:jc w:val="center"/>
              <w:rPr>
                <w:rFonts w:ascii="宋体" w:hAnsi="宋体" w:hint="eastAsia"/>
                <w:sz w:val="18"/>
                <w:szCs w:val="18"/>
              </w:rPr>
            </w:pPr>
            <w:r>
              <w:rPr>
                <w:rFonts w:ascii="宋体" w:hAnsi="宋体" w:hint="eastAsia"/>
                <w:sz w:val="18"/>
                <w:szCs w:val="18"/>
              </w:rPr>
              <w:t>子系统名称</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5C5C143" w14:textId="77777777" w:rsidR="008A3FAD" w:rsidRDefault="00000000">
            <w:pPr>
              <w:jc w:val="center"/>
              <w:rPr>
                <w:rFonts w:ascii="宋体" w:hAnsi="宋体" w:hint="eastAsia"/>
                <w:sz w:val="18"/>
                <w:szCs w:val="18"/>
              </w:rPr>
            </w:pPr>
            <w:r>
              <w:rPr>
                <w:rFonts w:ascii="宋体" w:hAnsi="宋体" w:hint="eastAsia"/>
                <w:sz w:val="18"/>
                <w:szCs w:val="18"/>
              </w:rPr>
              <w:t>配置要求</w:t>
            </w:r>
          </w:p>
        </w:tc>
      </w:tr>
      <w:tr w:rsidR="008A3FAD" w14:paraId="76CE64BA" w14:textId="77777777">
        <w:trPr>
          <w:trHeight w:val="20"/>
          <w:jc w:val="center"/>
        </w:trPr>
        <w:tc>
          <w:tcPr>
            <w:tcW w:w="1185"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68DF79DD" w14:textId="77777777" w:rsidR="008A3FAD" w:rsidRDefault="00000000">
            <w:pPr>
              <w:jc w:val="center"/>
              <w:rPr>
                <w:rFonts w:ascii="宋体" w:hAnsi="宋体" w:hint="eastAsia"/>
                <w:b/>
                <w:bCs/>
                <w:sz w:val="18"/>
                <w:szCs w:val="18"/>
              </w:rPr>
            </w:pPr>
            <w:r>
              <w:rPr>
                <w:rFonts w:ascii="宋体" w:hAnsi="宋体"/>
                <w:sz w:val="18"/>
                <w:szCs w:val="18"/>
              </w:rPr>
              <w:t>1</w:t>
            </w:r>
          </w:p>
        </w:tc>
        <w:tc>
          <w:tcPr>
            <w:tcW w:w="2115" w:type="dxa"/>
            <w:vMerge w:val="restart"/>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60530194" w14:textId="77777777" w:rsidR="008A3FAD" w:rsidRDefault="00000000">
            <w:pPr>
              <w:jc w:val="center"/>
              <w:rPr>
                <w:rFonts w:ascii="宋体" w:hAnsi="宋体" w:hint="eastAsia"/>
                <w:b/>
                <w:bCs/>
                <w:sz w:val="18"/>
                <w:szCs w:val="18"/>
              </w:rPr>
            </w:pPr>
            <w:r>
              <w:rPr>
                <w:rFonts w:ascii="宋体" w:hAnsi="宋体" w:hint="eastAsia"/>
                <w:sz w:val="18"/>
                <w:szCs w:val="18"/>
              </w:rPr>
              <w:t>供氢设施</w:t>
            </w: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B7072FD" w14:textId="77777777" w:rsidR="008A3FAD" w:rsidRDefault="00000000">
            <w:pPr>
              <w:jc w:val="center"/>
              <w:rPr>
                <w:rFonts w:ascii="宋体" w:hAnsi="宋体" w:hint="eastAsia"/>
                <w:b/>
                <w:bCs/>
                <w:sz w:val="18"/>
                <w:szCs w:val="18"/>
              </w:rPr>
            </w:pPr>
            <w:r>
              <w:rPr>
                <w:rFonts w:ascii="宋体" w:hAnsi="宋体" w:hint="eastAsia"/>
                <w:sz w:val="18"/>
                <w:szCs w:val="18"/>
              </w:rPr>
              <w:t>储氢装置</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3F84726" w14:textId="77777777" w:rsidR="008A3FAD" w:rsidRDefault="00000000">
            <w:pPr>
              <w:jc w:val="center"/>
              <w:rPr>
                <w:rFonts w:ascii="宋体" w:hAnsi="宋体" w:hint="eastAsia"/>
                <w:b/>
                <w:bCs/>
                <w:sz w:val="18"/>
                <w:szCs w:val="18"/>
              </w:rPr>
            </w:pPr>
            <w:r>
              <w:rPr>
                <w:rFonts w:ascii="宋体" w:hAnsi="宋体" w:hint="eastAsia"/>
                <w:sz w:val="18"/>
                <w:szCs w:val="18"/>
              </w:rPr>
              <w:t>●</w:t>
            </w:r>
          </w:p>
        </w:tc>
      </w:tr>
      <w:tr w:rsidR="008A3FAD" w14:paraId="5CDB1AA6" w14:textId="77777777">
        <w:trPr>
          <w:trHeight w:val="20"/>
          <w:jc w:val="center"/>
        </w:trPr>
        <w:tc>
          <w:tcPr>
            <w:tcW w:w="1185"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66FB314C" w14:textId="77777777" w:rsidR="008A3FAD" w:rsidRDefault="008A3FAD">
            <w:pPr>
              <w:jc w:val="center"/>
              <w:rPr>
                <w:rFonts w:ascii="宋体" w:hAnsi="宋体" w:hint="eastAsia"/>
                <w:sz w:val="18"/>
                <w:szCs w:val="18"/>
              </w:rPr>
            </w:pPr>
          </w:p>
        </w:tc>
        <w:tc>
          <w:tcPr>
            <w:tcW w:w="2115" w:type="dxa"/>
            <w:vMerge/>
            <w:tcBorders>
              <w:top w:val="single" w:sz="6" w:space="0" w:color="000000"/>
              <w:left w:val="single" w:sz="6" w:space="0" w:color="000000"/>
              <w:right w:val="single" w:sz="6" w:space="0" w:color="000000"/>
            </w:tcBorders>
            <w:tcMar>
              <w:top w:w="0" w:type="dxa"/>
              <w:left w:w="108" w:type="dxa"/>
              <w:bottom w:w="0" w:type="dxa"/>
              <w:right w:w="108" w:type="dxa"/>
            </w:tcMar>
            <w:vAlign w:val="center"/>
          </w:tcPr>
          <w:p w14:paraId="4D9F2905"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DF57AAF" w14:textId="77777777" w:rsidR="008A3FAD" w:rsidRDefault="00000000">
            <w:pPr>
              <w:jc w:val="center"/>
              <w:rPr>
                <w:rFonts w:ascii="宋体" w:hAnsi="宋体" w:hint="eastAsia"/>
                <w:sz w:val="18"/>
                <w:szCs w:val="18"/>
              </w:rPr>
            </w:pPr>
            <w:r>
              <w:rPr>
                <w:rFonts w:ascii="宋体" w:hAnsi="宋体" w:cstheme="minorBidi" w:hint="eastAsia"/>
                <w:sz w:val="18"/>
                <w:szCs w:val="18"/>
              </w:rPr>
              <w:t>壳体及内衬</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D706B8E" w14:textId="77777777" w:rsidR="008A3FAD" w:rsidRDefault="00000000">
            <w:pPr>
              <w:jc w:val="center"/>
              <w:rPr>
                <w:rFonts w:ascii="Cambria Math" w:hAnsi="Cambria Math" w:cs="Cambria Math"/>
                <w:sz w:val="18"/>
                <w:szCs w:val="18"/>
              </w:rPr>
            </w:pPr>
            <w:r>
              <w:rPr>
                <w:rFonts w:ascii="宋体" w:hAnsi="宋体" w:hint="eastAsia"/>
                <w:sz w:val="18"/>
                <w:szCs w:val="18"/>
              </w:rPr>
              <w:t>●</w:t>
            </w:r>
          </w:p>
        </w:tc>
      </w:tr>
      <w:tr w:rsidR="008A3FAD" w14:paraId="21F1B68A" w14:textId="77777777">
        <w:trPr>
          <w:trHeight w:val="20"/>
          <w:jc w:val="center"/>
        </w:trPr>
        <w:tc>
          <w:tcPr>
            <w:tcW w:w="1185" w:type="dxa"/>
            <w:vMerge/>
            <w:tcBorders>
              <w:left w:val="single" w:sz="6" w:space="0" w:color="000000"/>
              <w:right w:val="single" w:sz="6" w:space="0" w:color="000000"/>
            </w:tcBorders>
            <w:tcMar>
              <w:top w:w="0" w:type="dxa"/>
              <w:left w:w="108" w:type="dxa"/>
              <w:bottom w:w="0" w:type="dxa"/>
              <w:right w:w="108" w:type="dxa"/>
            </w:tcMar>
            <w:vAlign w:val="center"/>
          </w:tcPr>
          <w:p w14:paraId="5C9A3A14" w14:textId="77777777" w:rsidR="008A3FAD" w:rsidRDefault="008A3FAD">
            <w:pPr>
              <w:jc w:val="center"/>
              <w:rPr>
                <w:rFonts w:ascii="宋体" w:hAnsi="宋体" w:hint="eastAsia"/>
                <w:b/>
                <w:bCs/>
                <w:sz w:val="18"/>
                <w:szCs w:val="18"/>
              </w:rPr>
            </w:pPr>
          </w:p>
        </w:tc>
        <w:tc>
          <w:tcPr>
            <w:tcW w:w="2115" w:type="dxa"/>
            <w:vMerge/>
            <w:tcBorders>
              <w:left w:val="single" w:sz="6" w:space="0" w:color="000000"/>
              <w:right w:val="single" w:sz="6" w:space="0" w:color="000000"/>
            </w:tcBorders>
            <w:tcMar>
              <w:top w:w="0" w:type="dxa"/>
              <w:left w:w="108" w:type="dxa"/>
              <w:bottom w:w="0" w:type="dxa"/>
              <w:right w:w="108" w:type="dxa"/>
            </w:tcMar>
            <w:vAlign w:val="center"/>
          </w:tcPr>
          <w:p w14:paraId="23B30110" w14:textId="77777777" w:rsidR="008A3FAD" w:rsidRDefault="008A3FAD">
            <w:pPr>
              <w:jc w:val="center"/>
              <w:rPr>
                <w:rFonts w:ascii="宋体" w:hAnsi="宋体" w:hint="eastAsia"/>
                <w:b/>
                <w:bCs/>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53C7697" w14:textId="77777777" w:rsidR="008A3FAD" w:rsidRDefault="00000000">
            <w:pPr>
              <w:jc w:val="center"/>
              <w:rPr>
                <w:rFonts w:ascii="宋体" w:hAnsi="宋体" w:hint="eastAsia"/>
                <w:b/>
                <w:bCs/>
                <w:sz w:val="18"/>
                <w:szCs w:val="18"/>
              </w:rPr>
            </w:pPr>
            <w:r>
              <w:rPr>
                <w:rFonts w:ascii="宋体" w:hAnsi="宋体" w:hint="eastAsia"/>
                <w:sz w:val="18"/>
                <w:szCs w:val="18"/>
              </w:rPr>
              <w:t>泄压装置</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B9E460A" w14:textId="77777777" w:rsidR="008A3FAD" w:rsidRDefault="00000000">
            <w:pPr>
              <w:jc w:val="center"/>
              <w:rPr>
                <w:rFonts w:ascii="宋体" w:hAnsi="宋体" w:hint="eastAsia"/>
                <w:b/>
                <w:bCs/>
                <w:sz w:val="18"/>
                <w:szCs w:val="18"/>
              </w:rPr>
            </w:pPr>
            <w:r>
              <w:rPr>
                <w:rFonts w:ascii="宋体" w:hAnsi="宋体" w:hint="eastAsia"/>
                <w:sz w:val="18"/>
                <w:szCs w:val="18"/>
              </w:rPr>
              <w:t>●</w:t>
            </w:r>
          </w:p>
        </w:tc>
      </w:tr>
      <w:tr w:rsidR="008A3FAD" w14:paraId="3BA56B2B" w14:textId="77777777">
        <w:trPr>
          <w:trHeight w:val="20"/>
          <w:jc w:val="center"/>
        </w:trPr>
        <w:tc>
          <w:tcPr>
            <w:tcW w:w="1185" w:type="dxa"/>
            <w:vMerge/>
            <w:tcBorders>
              <w:left w:val="single" w:sz="6" w:space="0" w:color="000000"/>
              <w:right w:val="single" w:sz="6" w:space="0" w:color="000000"/>
            </w:tcBorders>
            <w:tcMar>
              <w:top w:w="0" w:type="dxa"/>
              <w:left w:w="108" w:type="dxa"/>
              <w:bottom w:w="0" w:type="dxa"/>
              <w:right w:w="108" w:type="dxa"/>
            </w:tcMar>
            <w:vAlign w:val="center"/>
          </w:tcPr>
          <w:p w14:paraId="50F49BDB" w14:textId="77777777" w:rsidR="008A3FAD" w:rsidRDefault="008A3FAD">
            <w:pPr>
              <w:jc w:val="center"/>
              <w:rPr>
                <w:rFonts w:ascii="宋体" w:hAnsi="宋体" w:hint="eastAsia"/>
                <w:b/>
                <w:bCs/>
                <w:sz w:val="18"/>
                <w:szCs w:val="18"/>
              </w:rPr>
            </w:pPr>
          </w:p>
        </w:tc>
        <w:tc>
          <w:tcPr>
            <w:tcW w:w="2115" w:type="dxa"/>
            <w:vMerge/>
            <w:tcBorders>
              <w:left w:val="single" w:sz="6" w:space="0" w:color="000000"/>
              <w:right w:val="single" w:sz="6" w:space="0" w:color="000000"/>
            </w:tcBorders>
            <w:tcMar>
              <w:top w:w="0" w:type="dxa"/>
              <w:left w:w="108" w:type="dxa"/>
              <w:bottom w:w="0" w:type="dxa"/>
              <w:right w:w="108" w:type="dxa"/>
            </w:tcMar>
            <w:vAlign w:val="center"/>
          </w:tcPr>
          <w:p w14:paraId="530C0496" w14:textId="77777777" w:rsidR="008A3FAD" w:rsidRDefault="008A3FAD">
            <w:pPr>
              <w:jc w:val="center"/>
              <w:rPr>
                <w:rFonts w:ascii="宋体" w:hAnsi="宋体" w:hint="eastAsia"/>
                <w:b/>
                <w:bCs/>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F18DB24" w14:textId="77777777" w:rsidR="008A3FAD" w:rsidRDefault="00000000">
            <w:pPr>
              <w:jc w:val="center"/>
              <w:rPr>
                <w:rFonts w:ascii="宋体" w:hAnsi="宋体" w:hint="eastAsia"/>
                <w:b/>
                <w:bCs/>
                <w:sz w:val="18"/>
                <w:szCs w:val="18"/>
              </w:rPr>
            </w:pPr>
            <w:r>
              <w:rPr>
                <w:rFonts w:ascii="宋体" w:hAnsi="宋体" w:hint="eastAsia"/>
                <w:sz w:val="18"/>
                <w:szCs w:val="18"/>
              </w:rPr>
              <w:t>监测及传感</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79BB617" w14:textId="77777777" w:rsidR="008A3FAD" w:rsidRDefault="00000000">
            <w:pPr>
              <w:jc w:val="center"/>
              <w:rPr>
                <w:rFonts w:ascii="宋体" w:hAnsi="宋体" w:hint="eastAsia"/>
                <w:b/>
                <w:bCs/>
                <w:sz w:val="18"/>
                <w:szCs w:val="18"/>
              </w:rPr>
            </w:pPr>
            <w:r>
              <w:rPr>
                <w:rFonts w:ascii="宋体" w:hAnsi="宋体" w:hint="eastAsia"/>
                <w:sz w:val="18"/>
                <w:szCs w:val="18"/>
              </w:rPr>
              <w:t>●</w:t>
            </w:r>
          </w:p>
        </w:tc>
      </w:tr>
      <w:tr w:rsidR="008A3FAD" w14:paraId="1CA96314" w14:textId="77777777">
        <w:trPr>
          <w:trHeight w:val="20"/>
          <w:jc w:val="center"/>
        </w:trPr>
        <w:tc>
          <w:tcPr>
            <w:tcW w:w="1185"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14:paraId="540D3027" w14:textId="77777777" w:rsidR="008A3FAD" w:rsidRDefault="008A3FAD">
            <w:pPr>
              <w:jc w:val="center"/>
              <w:rPr>
                <w:rFonts w:ascii="宋体" w:hAnsi="宋体" w:hint="eastAsia"/>
                <w:b/>
                <w:bCs/>
                <w:sz w:val="18"/>
                <w:szCs w:val="18"/>
              </w:rPr>
            </w:pPr>
          </w:p>
        </w:tc>
        <w:tc>
          <w:tcPr>
            <w:tcW w:w="2115" w:type="dxa"/>
            <w:vMerge/>
            <w:tcBorders>
              <w:left w:val="single" w:sz="6" w:space="0" w:color="000000"/>
              <w:bottom w:val="single" w:sz="4" w:space="0" w:color="auto"/>
              <w:right w:val="single" w:sz="6" w:space="0" w:color="000000"/>
            </w:tcBorders>
            <w:tcMar>
              <w:top w:w="0" w:type="dxa"/>
              <w:left w:w="108" w:type="dxa"/>
              <w:bottom w:w="0" w:type="dxa"/>
              <w:right w:w="108" w:type="dxa"/>
            </w:tcMar>
            <w:vAlign w:val="center"/>
          </w:tcPr>
          <w:p w14:paraId="18FD38B7" w14:textId="77777777" w:rsidR="008A3FAD" w:rsidRDefault="008A3FAD">
            <w:pPr>
              <w:jc w:val="center"/>
              <w:rPr>
                <w:rFonts w:ascii="宋体" w:hAnsi="宋体" w:hint="eastAsia"/>
                <w:b/>
                <w:bCs/>
                <w:sz w:val="18"/>
                <w:szCs w:val="18"/>
              </w:rPr>
            </w:pPr>
          </w:p>
        </w:tc>
        <w:tc>
          <w:tcPr>
            <w:tcW w:w="255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14:paraId="45757136" w14:textId="77777777" w:rsidR="008A3FAD" w:rsidRDefault="00000000">
            <w:pPr>
              <w:jc w:val="center"/>
              <w:rPr>
                <w:rFonts w:ascii="宋体" w:hAnsi="宋体" w:hint="eastAsia"/>
                <w:b/>
                <w:bCs/>
                <w:sz w:val="18"/>
                <w:szCs w:val="18"/>
              </w:rPr>
            </w:pPr>
            <w:r>
              <w:rPr>
                <w:rFonts w:ascii="宋体" w:hAnsi="宋体" w:hint="eastAsia"/>
                <w:sz w:val="18"/>
                <w:szCs w:val="18"/>
              </w:rPr>
              <w:t>阀门及管件</w:t>
            </w:r>
          </w:p>
        </w:tc>
        <w:tc>
          <w:tcPr>
            <w:tcW w:w="162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14:paraId="45850F51" w14:textId="77777777" w:rsidR="008A3FAD" w:rsidRDefault="00000000">
            <w:pPr>
              <w:jc w:val="center"/>
              <w:rPr>
                <w:rFonts w:ascii="宋体" w:hAnsi="宋体" w:hint="eastAsia"/>
                <w:b/>
                <w:bCs/>
                <w:sz w:val="18"/>
                <w:szCs w:val="18"/>
              </w:rPr>
            </w:pPr>
            <w:r>
              <w:rPr>
                <w:rFonts w:ascii="宋体" w:hAnsi="宋体" w:hint="eastAsia"/>
                <w:sz w:val="18"/>
                <w:szCs w:val="18"/>
              </w:rPr>
              <w:t>●</w:t>
            </w:r>
          </w:p>
        </w:tc>
      </w:tr>
      <w:tr w:rsidR="008A3FAD" w14:paraId="2094D46D" w14:textId="77777777">
        <w:trPr>
          <w:trHeight w:val="20"/>
          <w:jc w:val="center"/>
        </w:trPr>
        <w:tc>
          <w:tcPr>
            <w:tcW w:w="118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4AC923" w14:textId="77777777" w:rsidR="008A3FAD" w:rsidRDefault="00000000">
            <w:pPr>
              <w:jc w:val="center"/>
              <w:rPr>
                <w:rFonts w:ascii="宋体" w:hAnsi="宋体" w:hint="eastAsia"/>
                <w:sz w:val="18"/>
                <w:szCs w:val="18"/>
              </w:rPr>
            </w:pPr>
            <w:r>
              <w:rPr>
                <w:rFonts w:ascii="宋体" w:hAnsi="宋体"/>
                <w:sz w:val="18"/>
                <w:szCs w:val="18"/>
              </w:rPr>
              <w:t>2</w:t>
            </w:r>
          </w:p>
        </w:tc>
        <w:tc>
          <w:tcPr>
            <w:tcW w:w="211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131982" w14:textId="77777777" w:rsidR="008A3FAD" w:rsidRDefault="00000000">
            <w:pPr>
              <w:jc w:val="center"/>
              <w:rPr>
                <w:rFonts w:ascii="宋体" w:hAnsi="宋体" w:hint="eastAsia"/>
                <w:sz w:val="18"/>
                <w:szCs w:val="18"/>
              </w:rPr>
            </w:pPr>
            <w:r>
              <w:rPr>
                <w:rFonts w:ascii="宋体" w:hAnsi="宋体" w:hint="eastAsia"/>
                <w:sz w:val="18"/>
                <w:szCs w:val="18"/>
              </w:rPr>
              <w:t>燃料电池系统</w:t>
            </w:r>
          </w:p>
        </w:tc>
        <w:tc>
          <w:tcPr>
            <w:tcW w:w="2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C6693E" w14:textId="77777777" w:rsidR="008A3FAD" w:rsidRDefault="00000000">
            <w:pPr>
              <w:jc w:val="center"/>
              <w:rPr>
                <w:rFonts w:ascii="宋体" w:hAnsi="宋体" w:hint="eastAsia"/>
                <w:sz w:val="18"/>
                <w:szCs w:val="18"/>
              </w:rPr>
            </w:pPr>
            <w:r>
              <w:rPr>
                <w:rFonts w:ascii="宋体" w:hAnsi="宋体" w:hint="eastAsia"/>
                <w:sz w:val="18"/>
                <w:szCs w:val="18"/>
              </w:rPr>
              <w:t>燃料电池堆</w:t>
            </w:r>
          </w:p>
        </w:tc>
        <w:tc>
          <w:tcPr>
            <w:tcW w:w="16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C04146" w14:textId="77777777" w:rsidR="008A3FAD" w:rsidRDefault="00000000">
            <w:pPr>
              <w:jc w:val="center"/>
              <w:rPr>
                <w:rFonts w:ascii="宋体" w:hAnsi="宋体" w:hint="eastAsia"/>
                <w:sz w:val="18"/>
                <w:szCs w:val="18"/>
              </w:rPr>
            </w:pPr>
            <w:r>
              <w:rPr>
                <w:rFonts w:ascii="宋体" w:hAnsi="宋体" w:hint="eastAsia"/>
                <w:sz w:val="18"/>
                <w:szCs w:val="18"/>
              </w:rPr>
              <w:t>●</w:t>
            </w:r>
          </w:p>
        </w:tc>
      </w:tr>
      <w:tr w:rsidR="008A3FAD" w14:paraId="44C5B1CC" w14:textId="77777777">
        <w:trPr>
          <w:trHeight w:val="20"/>
          <w:jc w:val="center"/>
        </w:trPr>
        <w:tc>
          <w:tcPr>
            <w:tcW w:w="1185" w:type="dxa"/>
            <w:vMerge/>
            <w:tcBorders>
              <w:top w:val="single" w:sz="4" w:space="0" w:color="auto"/>
              <w:left w:val="single" w:sz="4" w:space="0" w:color="auto"/>
              <w:bottom w:val="single" w:sz="4" w:space="0" w:color="auto"/>
              <w:right w:val="single" w:sz="4" w:space="0" w:color="auto"/>
            </w:tcBorders>
            <w:vAlign w:val="center"/>
          </w:tcPr>
          <w:p w14:paraId="08A623B5" w14:textId="77777777" w:rsidR="008A3FAD" w:rsidRDefault="008A3FAD">
            <w:pPr>
              <w:jc w:val="center"/>
              <w:rPr>
                <w:rFonts w:ascii="宋体" w:hAnsi="宋体" w:hint="eastAsia"/>
                <w:sz w:val="18"/>
                <w:szCs w:val="18"/>
              </w:rPr>
            </w:pPr>
          </w:p>
        </w:tc>
        <w:tc>
          <w:tcPr>
            <w:tcW w:w="2115" w:type="dxa"/>
            <w:vMerge/>
            <w:tcBorders>
              <w:top w:val="single" w:sz="4" w:space="0" w:color="auto"/>
              <w:left w:val="single" w:sz="4" w:space="0" w:color="auto"/>
              <w:bottom w:val="single" w:sz="4" w:space="0" w:color="auto"/>
              <w:right w:val="single" w:sz="4" w:space="0" w:color="auto"/>
            </w:tcBorders>
            <w:vAlign w:val="center"/>
          </w:tcPr>
          <w:p w14:paraId="68B47C84" w14:textId="77777777" w:rsidR="008A3FAD" w:rsidRDefault="008A3FAD">
            <w:pPr>
              <w:jc w:val="center"/>
              <w:rPr>
                <w:rFonts w:ascii="宋体" w:hAnsi="宋体" w:hint="eastAsia"/>
                <w:sz w:val="18"/>
                <w:szCs w:val="18"/>
              </w:rPr>
            </w:pPr>
          </w:p>
        </w:tc>
        <w:tc>
          <w:tcPr>
            <w:tcW w:w="2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19C2C5"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燃料供应子系统</w:t>
            </w:r>
          </w:p>
        </w:tc>
        <w:tc>
          <w:tcPr>
            <w:tcW w:w="16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51F235"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hint="eastAsia"/>
                <w:sz w:val="18"/>
                <w:szCs w:val="18"/>
              </w:rPr>
              <w:t>●</w:t>
            </w:r>
          </w:p>
        </w:tc>
      </w:tr>
      <w:tr w:rsidR="008A3FAD" w14:paraId="6468062D" w14:textId="77777777">
        <w:trPr>
          <w:trHeight w:val="20"/>
          <w:jc w:val="center"/>
        </w:trPr>
        <w:tc>
          <w:tcPr>
            <w:tcW w:w="1185" w:type="dxa"/>
            <w:vMerge/>
            <w:tcBorders>
              <w:top w:val="single" w:sz="4" w:space="0" w:color="auto"/>
              <w:left w:val="single" w:sz="4" w:space="0" w:color="auto"/>
              <w:bottom w:val="single" w:sz="4" w:space="0" w:color="auto"/>
              <w:right w:val="single" w:sz="4" w:space="0" w:color="auto"/>
            </w:tcBorders>
            <w:vAlign w:val="center"/>
          </w:tcPr>
          <w:p w14:paraId="6F42B114" w14:textId="77777777" w:rsidR="008A3FAD" w:rsidRDefault="008A3FAD">
            <w:pPr>
              <w:jc w:val="center"/>
              <w:rPr>
                <w:rFonts w:ascii="宋体" w:hAnsi="宋体" w:hint="eastAsia"/>
                <w:sz w:val="18"/>
                <w:szCs w:val="18"/>
              </w:rPr>
            </w:pPr>
          </w:p>
        </w:tc>
        <w:tc>
          <w:tcPr>
            <w:tcW w:w="2115" w:type="dxa"/>
            <w:vMerge/>
            <w:tcBorders>
              <w:top w:val="single" w:sz="4" w:space="0" w:color="auto"/>
              <w:left w:val="single" w:sz="4" w:space="0" w:color="auto"/>
              <w:bottom w:val="single" w:sz="4" w:space="0" w:color="auto"/>
              <w:right w:val="single" w:sz="4" w:space="0" w:color="auto"/>
            </w:tcBorders>
            <w:vAlign w:val="center"/>
          </w:tcPr>
          <w:p w14:paraId="6C904187" w14:textId="77777777" w:rsidR="008A3FAD" w:rsidRDefault="008A3FAD">
            <w:pPr>
              <w:jc w:val="center"/>
              <w:rPr>
                <w:rFonts w:ascii="宋体" w:hAnsi="宋体" w:hint="eastAsia"/>
                <w:sz w:val="18"/>
                <w:szCs w:val="18"/>
              </w:rPr>
            </w:pPr>
          </w:p>
        </w:tc>
        <w:tc>
          <w:tcPr>
            <w:tcW w:w="2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2EBC38"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氧化剂处理子系统</w:t>
            </w:r>
          </w:p>
        </w:tc>
        <w:tc>
          <w:tcPr>
            <w:tcW w:w="16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F7AB01"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hint="eastAsia"/>
                <w:sz w:val="18"/>
                <w:szCs w:val="18"/>
              </w:rPr>
              <w:t>●</w:t>
            </w:r>
          </w:p>
        </w:tc>
      </w:tr>
      <w:tr w:rsidR="008A3FAD" w14:paraId="3C9D7D36" w14:textId="77777777">
        <w:trPr>
          <w:trHeight w:val="20"/>
          <w:jc w:val="center"/>
        </w:trPr>
        <w:tc>
          <w:tcPr>
            <w:tcW w:w="1185" w:type="dxa"/>
            <w:vMerge/>
            <w:tcBorders>
              <w:top w:val="single" w:sz="4" w:space="0" w:color="auto"/>
              <w:left w:val="single" w:sz="4" w:space="0" w:color="auto"/>
              <w:right w:val="single" w:sz="6" w:space="0" w:color="000000"/>
            </w:tcBorders>
            <w:vAlign w:val="center"/>
          </w:tcPr>
          <w:p w14:paraId="05C1CAC3" w14:textId="77777777" w:rsidR="008A3FAD" w:rsidRDefault="008A3FAD">
            <w:pPr>
              <w:jc w:val="center"/>
              <w:rPr>
                <w:rFonts w:ascii="宋体" w:hAnsi="宋体" w:hint="eastAsia"/>
                <w:sz w:val="18"/>
                <w:szCs w:val="18"/>
              </w:rPr>
            </w:pPr>
          </w:p>
        </w:tc>
        <w:tc>
          <w:tcPr>
            <w:tcW w:w="2115" w:type="dxa"/>
            <w:vMerge/>
            <w:tcBorders>
              <w:top w:val="single" w:sz="4" w:space="0" w:color="auto"/>
              <w:left w:val="single" w:sz="6" w:space="0" w:color="000000"/>
              <w:right w:val="single" w:sz="6" w:space="0" w:color="000000"/>
            </w:tcBorders>
            <w:vAlign w:val="center"/>
          </w:tcPr>
          <w:p w14:paraId="768C4938" w14:textId="77777777" w:rsidR="008A3FAD" w:rsidRDefault="008A3FAD">
            <w:pPr>
              <w:jc w:val="center"/>
              <w:rPr>
                <w:rFonts w:ascii="宋体" w:hAnsi="宋体" w:hint="eastAsia"/>
                <w:sz w:val="18"/>
                <w:szCs w:val="18"/>
              </w:rPr>
            </w:pPr>
          </w:p>
        </w:tc>
        <w:tc>
          <w:tcPr>
            <w:tcW w:w="2550"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14:paraId="7EE1D3E3"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热管理子系统</w:t>
            </w:r>
          </w:p>
        </w:tc>
        <w:tc>
          <w:tcPr>
            <w:tcW w:w="1620" w:type="dxa"/>
            <w:tcBorders>
              <w:top w:val="single" w:sz="4" w:space="0" w:color="auto"/>
              <w:left w:val="single" w:sz="6" w:space="0" w:color="000000"/>
              <w:bottom w:val="single" w:sz="6" w:space="0" w:color="000000"/>
              <w:right w:val="single" w:sz="6" w:space="0" w:color="000000"/>
            </w:tcBorders>
            <w:tcMar>
              <w:top w:w="0" w:type="dxa"/>
              <w:left w:w="108" w:type="dxa"/>
              <w:bottom w:w="0" w:type="dxa"/>
              <w:right w:w="108" w:type="dxa"/>
            </w:tcMar>
            <w:vAlign w:val="center"/>
          </w:tcPr>
          <w:p w14:paraId="388AB70F"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2F215284" w14:textId="77777777">
        <w:trPr>
          <w:trHeight w:val="20"/>
          <w:jc w:val="center"/>
        </w:trPr>
        <w:tc>
          <w:tcPr>
            <w:tcW w:w="1185" w:type="dxa"/>
            <w:vMerge/>
            <w:tcBorders>
              <w:left w:val="single" w:sz="4" w:space="0" w:color="auto"/>
              <w:right w:val="single" w:sz="6" w:space="0" w:color="000000"/>
            </w:tcBorders>
            <w:vAlign w:val="center"/>
          </w:tcPr>
          <w:p w14:paraId="00D95464"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2C8736A7"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A487298"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自动控制子系统</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286112F7"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06549E9D" w14:textId="77777777">
        <w:trPr>
          <w:trHeight w:val="20"/>
          <w:jc w:val="center"/>
        </w:trPr>
        <w:tc>
          <w:tcPr>
            <w:tcW w:w="1185" w:type="dxa"/>
            <w:vMerge/>
            <w:tcBorders>
              <w:left w:val="single" w:sz="4" w:space="0" w:color="auto"/>
              <w:right w:val="single" w:sz="6" w:space="0" w:color="000000"/>
            </w:tcBorders>
            <w:vAlign w:val="center"/>
          </w:tcPr>
          <w:p w14:paraId="2C67620E"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15296D3C"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1504879"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功率调节子系统</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2FF93435"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3B0C98B3" w14:textId="77777777">
        <w:trPr>
          <w:trHeight w:val="20"/>
          <w:jc w:val="center"/>
        </w:trPr>
        <w:tc>
          <w:tcPr>
            <w:tcW w:w="1185" w:type="dxa"/>
            <w:vMerge/>
            <w:tcBorders>
              <w:left w:val="single" w:sz="4" w:space="0" w:color="auto"/>
              <w:bottom w:val="single" w:sz="6" w:space="0" w:color="000000"/>
              <w:right w:val="single" w:sz="6" w:space="0" w:color="000000"/>
            </w:tcBorders>
            <w:vAlign w:val="center"/>
          </w:tcPr>
          <w:p w14:paraId="775599D7" w14:textId="77777777" w:rsidR="008A3FAD" w:rsidRDefault="008A3FAD">
            <w:pPr>
              <w:jc w:val="center"/>
              <w:rPr>
                <w:rFonts w:ascii="宋体" w:hAnsi="宋体" w:hint="eastAsia"/>
                <w:sz w:val="18"/>
                <w:szCs w:val="18"/>
              </w:rPr>
            </w:pPr>
          </w:p>
        </w:tc>
        <w:tc>
          <w:tcPr>
            <w:tcW w:w="2115" w:type="dxa"/>
            <w:vMerge/>
            <w:tcBorders>
              <w:left w:val="single" w:sz="6" w:space="0" w:color="000000"/>
              <w:bottom w:val="single" w:sz="6" w:space="0" w:color="000000"/>
              <w:right w:val="single" w:sz="6" w:space="0" w:color="000000"/>
            </w:tcBorders>
            <w:vAlign w:val="center"/>
          </w:tcPr>
          <w:p w14:paraId="29FBBEC6"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9D27A89"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DC-DC</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5AB3B3FB"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7F087D24" w14:textId="77777777">
        <w:trPr>
          <w:trHeight w:val="20"/>
          <w:jc w:val="center"/>
        </w:trPr>
        <w:tc>
          <w:tcPr>
            <w:tcW w:w="1185" w:type="dxa"/>
            <w:vMerge w:val="restart"/>
            <w:tcBorders>
              <w:top w:val="single" w:sz="6" w:space="0" w:color="000000"/>
              <w:left w:val="single" w:sz="6" w:space="0" w:color="000000"/>
              <w:right w:val="single" w:sz="6" w:space="0" w:color="000000"/>
            </w:tcBorders>
            <w:vAlign w:val="center"/>
          </w:tcPr>
          <w:p w14:paraId="6D4ACFCF" w14:textId="77777777" w:rsidR="008A3FAD" w:rsidRDefault="00000000">
            <w:pPr>
              <w:jc w:val="center"/>
              <w:rPr>
                <w:rFonts w:ascii="宋体" w:hAnsi="宋体" w:hint="eastAsia"/>
                <w:sz w:val="18"/>
                <w:szCs w:val="18"/>
              </w:rPr>
            </w:pPr>
            <w:r>
              <w:rPr>
                <w:rFonts w:ascii="宋体" w:hAnsi="宋体"/>
                <w:sz w:val="18"/>
                <w:szCs w:val="18"/>
              </w:rPr>
              <w:t>3</w:t>
            </w:r>
          </w:p>
        </w:tc>
        <w:tc>
          <w:tcPr>
            <w:tcW w:w="2115" w:type="dxa"/>
            <w:vMerge w:val="restart"/>
            <w:tcBorders>
              <w:top w:val="single" w:sz="6" w:space="0" w:color="CBCDD1"/>
              <w:left w:val="single" w:sz="6" w:space="0" w:color="000000"/>
              <w:right w:val="single" w:sz="6" w:space="0" w:color="000000"/>
            </w:tcBorders>
            <w:vAlign w:val="center"/>
          </w:tcPr>
          <w:p w14:paraId="6A132EA9" w14:textId="77777777" w:rsidR="008A3FAD" w:rsidRDefault="00000000">
            <w:pPr>
              <w:jc w:val="center"/>
              <w:rPr>
                <w:rFonts w:ascii="宋体" w:hAnsi="宋体" w:hint="eastAsia"/>
                <w:sz w:val="18"/>
                <w:szCs w:val="18"/>
              </w:rPr>
            </w:pPr>
            <w:r>
              <w:rPr>
                <w:rFonts w:ascii="宋体" w:hAnsi="宋体" w:hint="eastAsia"/>
                <w:sz w:val="18"/>
                <w:szCs w:val="18"/>
              </w:rPr>
              <w:t>动力电池系统</w:t>
            </w: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CF1E9F9"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hint="eastAsia"/>
                <w:sz w:val="18"/>
                <w:szCs w:val="18"/>
              </w:rPr>
              <w:t>动力电池</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67A9FAD4"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6308808D" w14:textId="77777777">
        <w:trPr>
          <w:trHeight w:val="20"/>
          <w:jc w:val="center"/>
        </w:trPr>
        <w:tc>
          <w:tcPr>
            <w:tcW w:w="1185" w:type="dxa"/>
            <w:vMerge/>
            <w:tcBorders>
              <w:left w:val="single" w:sz="6" w:space="0" w:color="000000"/>
              <w:right w:val="single" w:sz="6" w:space="0" w:color="000000"/>
            </w:tcBorders>
            <w:vAlign w:val="center"/>
          </w:tcPr>
          <w:p w14:paraId="03B5BE06"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6E47AE0A"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4EECA8DF"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动力电池管理装置</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68175AEF"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4D09C692" w14:textId="77777777">
        <w:trPr>
          <w:trHeight w:val="20"/>
          <w:jc w:val="center"/>
        </w:trPr>
        <w:tc>
          <w:tcPr>
            <w:tcW w:w="1185" w:type="dxa"/>
            <w:vMerge/>
            <w:tcBorders>
              <w:left w:val="single" w:sz="6" w:space="0" w:color="000000"/>
              <w:right w:val="single" w:sz="6" w:space="0" w:color="000000"/>
            </w:tcBorders>
            <w:vAlign w:val="center"/>
          </w:tcPr>
          <w:p w14:paraId="5838997B"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0E64F1FB"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1A3EC0B"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电池热管理装置</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18A3553D"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4F0A3481" w14:textId="77777777">
        <w:trPr>
          <w:trHeight w:val="20"/>
          <w:jc w:val="center"/>
        </w:trPr>
        <w:tc>
          <w:tcPr>
            <w:tcW w:w="1185" w:type="dxa"/>
            <w:vMerge/>
            <w:tcBorders>
              <w:left w:val="single" w:sz="6" w:space="0" w:color="000000"/>
              <w:right w:val="single" w:sz="6" w:space="0" w:color="000000"/>
            </w:tcBorders>
            <w:vAlign w:val="center"/>
          </w:tcPr>
          <w:p w14:paraId="0B13BED6"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0F8CCB85"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7687480"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电池柜</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6D4A1B67"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50F969D5" w14:textId="77777777">
        <w:trPr>
          <w:trHeight w:val="20"/>
          <w:jc w:val="center"/>
        </w:trPr>
        <w:tc>
          <w:tcPr>
            <w:tcW w:w="1185" w:type="dxa"/>
            <w:vMerge/>
            <w:tcBorders>
              <w:left w:val="single" w:sz="6" w:space="0" w:color="000000"/>
              <w:bottom w:val="single" w:sz="6" w:space="0" w:color="000000"/>
              <w:right w:val="single" w:sz="6" w:space="0" w:color="000000"/>
            </w:tcBorders>
            <w:vAlign w:val="center"/>
          </w:tcPr>
          <w:p w14:paraId="558D1CE4" w14:textId="77777777" w:rsidR="008A3FAD" w:rsidRDefault="008A3FAD">
            <w:pPr>
              <w:jc w:val="center"/>
              <w:rPr>
                <w:rFonts w:ascii="宋体" w:hAnsi="宋体" w:hint="eastAsia"/>
                <w:sz w:val="18"/>
                <w:szCs w:val="18"/>
              </w:rPr>
            </w:pPr>
          </w:p>
        </w:tc>
        <w:tc>
          <w:tcPr>
            <w:tcW w:w="2115" w:type="dxa"/>
            <w:vMerge/>
            <w:tcBorders>
              <w:left w:val="single" w:sz="6" w:space="0" w:color="000000"/>
              <w:bottom w:val="single" w:sz="6" w:space="0" w:color="000000"/>
              <w:right w:val="single" w:sz="6" w:space="0" w:color="000000"/>
            </w:tcBorders>
            <w:vAlign w:val="center"/>
          </w:tcPr>
          <w:p w14:paraId="219A437A"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61B6155"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充电机</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5371D4B1"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2C9BF74C" w14:textId="77777777">
        <w:trPr>
          <w:trHeight w:val="20"/>
          <w:jc w:val="center"/>
        </w:trPr>
        <w:tc>
          <w:tcPr>
            <w:tcW w:w="1185" w:type="dxa"/>
            <w:vMerge w:val="restart"/>
            <w:tcBorders>
              <w:left w:val="single" w:sz="6" w:space="0" w:color="000000"/>
              <w:right w:val="single" w:sz="6" w:space="0" w:color="000000"/>
            </w:tcBorders>
            <w:vAlign w:val="center"/>
          </w:tcPr>
          <w:p w14:paraId="0B5E00ED" w14:textId="77777777" w:rsidR="008A3FAD" w:rsidRDefault="00000000">
            <w:pPr>
              <w:jc w:val="center"/>
              <w:rPr>
                <w:rFonts w:ascii="宋体" w:hAnsi="宋体" w:hint="eastAsia"/>
                <w:sz w:val="18"/>
                <w:szCs w:val="18"/>
              </w:rPr>
            </w:pPr>
            <w:r>
              <w:rPr>
                <w:rFonts w:ascii="宋体" w:hAnsi="宋体"/>
                <w:sz w:val="18"/>
                <w:szCs w:val="18"/>
              </w:rPr>
              <w:t>4</w:t>
            </w:r>
          </w:p>
        </w:tc>
        <w:tc>
          <w:tcPr>
            <w:tcW w:w="2115" w:type="dxa"/>
            <w:vMerge w:val="restart"/>
            <w:tcBorders>
              <w:left w:val="single" w:sz="6" w:space="0" w:color="000000"/>
              <w:right w:val="single" w:sz="6" w:space="0" w:color="000000"/>
            </w:tcBorders>
            <w:vAlign w:val="center"/>
          </w:tcPr>
          <w:p w14:paraId="305630D5" w14:textId="77777777" w:rsidR="008A3FAD" w:rsidRDefault="00000000">
            <w:pPr>
              <w:jc w:val="center"/>
              <w:rPr>
                <w:rFonts w:ascii="宋体" w:hAnsi="宋体" w:hint="eastAsia"/>
                <w:sz w:val="18"/>
                <w:szCs w:val="18"/>
              </w:rPr>
            </w:pPr>
            <w:r>
              <w:rPr>
                <w:rFonts w:ascii="宋体" w:hAnsi="宋体" w:hint="eastAsia"/>
                <w:sz w:val="18"/>
                <w:szCs w:val="18"/>
              </w:rPr>
              <w:t>直流供电装置</w:t>
            </w: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59C1FB6"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hint="eastAsia"/>
                <w:sz w:val="18"/>
                <w:szCs w:val="18"/>
              </w:rPr>
              <w:t>变压器</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01797C23"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49ABFA70" w14:textId="77777777">
        <w:trPr>
          <w:trHeight w:val="20"/>
          <w:jc w:val="center"/>
        </w:trPr>
        <w:tc>
          <w:tcPr>
            <w:tcW w:w="1185" w:type="dxa"/>
            <w:vMerge/>
            <w:tcBorders>
              <w:left w:val="single" w:sz="6" w:space="0" w:color="000000"/>
              <w:right w:val="single" w:sz="6" w:space="0" w:color="000000"/>
            </w:tcBorders>
            <w:vAlign w:val="center"/>
          </w:tcPr>
          <w:p w14:paraId="766AFB5E"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013A4BE9"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47EE42A"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分线开关</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0303F3C8"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01058503" w14:textId="77777777">
        <w:trPr>
          <w:trHeight w:val="20"/>
          <w:jc w:val="center"/>
        </w:trPr>
        <w:tc>
          <w:tcPr>
            <w:tcW w:w="1185" w:type="dxa"/>
            <w:vMerge/>
            <w:tcBorders>
              <w:left w:val="single" w:sz="6" w:space="0" w:color="000000"/>
              <w:bottom w:val="single" w:sz="6" w:space="0" w:color="000000"/>
              <w:right w:val="single" w:sz="6" w:space="0" w:color="000000"/>
            </w:tcBorders>
            <w:vAlign w:val="center"/>
          </w:tcPr>
          <w:p w14:paraId="65B3746A" w14:textId="77777777" w:rsidR="008A3FAD" w:rsidRDefault="008A3FAD">
            <w:pPr>
              <w:jc w:val="center"/>
              <w:rPr>
                <w:rFonts w:ascii="宋体" w:hAnsi="宋体" w:hint="eastAsia"/>
                <w:sz w:val="18"/>
                <w:szCs w:val="18"/>
              </w:rPr>
            </w:pPr>
          </w:p>
        </w:tc>
        <w:tc>
          <w:tcPr>
            <w:tcW w:w="2115" w:type="dxa"/>
            <w:vMerge/>
            <w:tcBorders>
              <w:left w:val="single" w:sz="6" w:space="0" w:color="000000"/>
              <w:bottom w:val="single" w:sz="6" w:space="0" w:color="000000"/>
              <w:right w:val="single" w:sz="6" w:space="0" w:color="000000"/>
            </w:tcBorders>
            <w:vAlign w:val="center"/>
          </w:tcPr>
          <w:p w14:paraId="3085F7E0"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1E831F66"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直流供设备</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2758496C"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77801A2F" w14:textId="77777777">
        <w:trPr>
          <w:trHeight w:val="20"/>
          <w:jc w:val="center"/>
        </w:trPr>
        <w:tc>
          <w:tcPr>
            <w:tcW w:w="1185" w:type="dxa"/>
            <w:vMerge w:val="restart"/>
            <w:tcBorders>
              <w:left w:val="single" w:sz="6" w:space="0" w:color="000000"/>
              <w:right w:val="single" w:sz="6" w:space="0" w:color="000000"/>
            </w:tcBorders>
            <w:vAlign w:val="center"/>
          </w:tcPr>
          <w:p w14:paraId="4BCC7039" w14:textId="77777777" w:rsidR="008A3FAD" w:rsidRDefault="00000000">
            <w:pPr>
              <w:jc w:val="center"/>
              <w:rPr>
                <w:rFonts w:ascii="宋体" w:hAnsi="宋体" w:hint="eastAsia"/>
                <w:sz w:val="18"/>
                <w:szCs w:val="18"/>
              </w:rPr>
            </w:pPr>
            <w:r>
              <w:rPr>
                <w:rFonts w:ascii="宋体" w:hAnsi="宋体"/>
                <w:sz w:val="18"/>
                <w:szCs w:val="18"/>
              </w:rPr>
              <w:t>5</w:t>
            </w:r>
          </w:p>
        </w:tc>
        <w:tc>
          <w:tcPr>
            <w:tcW w:w="2115" w:type="dxa"/>
            <w:vMerge w:val="restart"/>
            <w:tcBorders>
              <w:left w:val="single" w:sz="6" w:space="0" w:color="000000"/>
              <w:right w:val="single" w:sz="6" w:space="0" w:color="000000"/>
            </w:tcBorders>
            <w:vAlign w:val="center"/>
          </w:tcPr>
          <w:p w14:paraId="7CFA1405" w14:textId="77777777" w:rsidR="008A3FAD" w:rsidRDefault="00000000">
            <w:pPr>
              <w:jc w:val="center"/>
              <w:rPr>
                <w:rFonts w:ascii="宋体" w:hAnsi="宋体" w:hint="eastAsia"/>
                <w:sz w:val="18"/>
                <w:szCs w:val="18"/>
              </w:rPr>
            </w:pPr>
            <w:r>
              <w:rPr>
                <w:rFonts w:ascii="宋体" w:hAnsi="宋体" w:hint="eastAsia"/>
                <w:sz w:val="18"/>
                <w:szCs w:val="18"/>
              </w:rPr>
              <w:t>安全系统</w:t>
            </w: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20DEFCE7"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hint="eastAsia"/>
                <w:sz w:val="18"/>
                <w:szCs w:val="18"/>
              </w:rPr>
              <w:t xml:space="preserve">燃料供应与处理子系统安全保护 </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2598F1C7"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56743153" w14:textId="77777777">
        <w:trPr>
          <w:trHeight w:val="20"/>
          <w:jc w:val="center"/>
        </w:trPr>
        <w:tc>
          <w:tcPr>
            <w:tcW w:w="1185" w:type="dxa"/>
            <w:vMerge/>
            <w:tcBorders>
              <w:left w:val="single" w:sz="6" w:space="0" w:color="000000"/>
              <w:right w:val="single" w:sz="6" w:space="0" w:color="000000"/>
            </w:tcBorders>
            <w:vAlign w:val="center"/>
          </w:tcPr>
          <w:p w14:paraId="08797470"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3674ADCD"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53C6565"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储氢安全保护</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690A97F3"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2B2F2DFE" w14:textId="77777777">
        <w:trPr>
          <w:trHeight w:val="20"/>
          <w:jc w:val="center"/>
        </w:trPr>
        <w:tc>
          <w:tcPr>
            <w:tcW w:w="1185" w:type="dxa"/>
            <w:vMerge/>
            <w:tcBorders>
              <w:left w:val="single" w:sz="6" w:space="0" w:color="000000"/>
              <w:right w:val="single" w:sz="6" w:space="0" w:color="000000"/>
            </w:tcBorders>
            <w:vAlign w:val="center"/>
          </w:tcPr>
          <w:p w14:paraId="42951425"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6C32A4DB"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DEB6875"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 xml:space="preserve">加氢安全保护 </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7B1336ED"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7776DF0F" w14:textId="77777777">
        <w:trPr>
          <w:trHeight w:val="20"/>
          <w:jc w:val="center"/>
        </w:trPr>
        <w:tc>
          <w:tcPr>
            <w:tcW w:w="1185" w:type="dxa"/>
            <w:vMerge/>
            <w:tcBorders>
              <w:left w:val="single" w:sz="6" w:space="0" w:color="000000"/>
              <w:right w:val="single" w:sz="6" w:space="0" w:color="000000"/>
            </w:tcBorders>
            <w:vAlign w:val="center"/>
          </w:tcPr>
          <w:p w14:paraId="4C04218B"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5587BB25"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32358A0"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管路安全保护</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0E0BD855"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46FE1D42" w14:textId="77777777">
        <w:trPr>
          <w:trHeight w:val="20"/>
          <w:jc w:val="center"/>
        </w:trPr>
        <w:tc>
          <w:tcPr>
            <w:tcW w:w="1185" w:type="dxa"/>
            <w:vMerge/>
            <w:tcBorders>
              <w:left w:val="single" w:sz="6" w:space="0" w:color="000000"/>
              <w:right w:val="single" w:sz="6" w:space="0" w:color="000000"/>
            </w:tcBorders>
            <w:vAlign w:val="center"/>
          </w:tcPr>
          <w:p w14:paraId="26584CC5"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2485E108"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F16C3FA"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 xml:space="preserve">综合监控系统 </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67692004"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71D9A7FE" w14:textId="77777777">
        <w:trPr>
          <w:trHeight w:val="20"/>
          <w:jc w:val="center"/>
        </w:trPr>
        <w:tc>
          <w:tcPr>
            <w:tcW w:w="1185" w:type="dxa"/>
            <w:vMerge/>
            <w:tcBorders>
              <w:left w:val="single" w:sz="6" w:space="0" w:color="000000"/>
              <w:bottom w:val="single" w:sz="6" w:space="0" w:color="000000"/>
              <w:right w:val="single" w:sz="6" w:space="0" w:color="000000"/>
            </w:tcBorders>
            <w:vAlign w:val="center"/>
          </w:tcPr>
          <w:p w14:paraId="1DB544B8" w14:textId="77777777" w:rsidR="008A3FAD" w:rsidRDefault="008A3FAD">
            <w:pPr>
              <w:rPr>
                <w:rFonts w:ascii="宋体" w:hAnsi="宋体" w:hint="eastAsia"/>
                <w:sz w:val="18"/>
                <w:szCs w:val="18"/>
              </w:rPr>
            </w:pPr>
          </w:p>
        </w:tc>
        <w:tc>
          <w:tcPr>
            <w:tcW w:w="2115" w:type="dxa"/>
            <w:vMerge/>
            <w:tcBorders>
              <w:left w:val="single" w:sz="6" w:space="0" w:color="000000"/>
              <w:bottom w:val="single" w:sz="6" w:space="0" w:color="000000"/>
              <w:right w:val="single" w:sz="6" w:space="0" w:color="000000"/>
            </w:tcBorders>
            <w:vAlign w:val="center"/>
          </w:tcPr>
          <w:p w14:paraId="4E1A1538"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9ACDF08"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消防</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57F52001"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1CF743D3" w14:textId="77777777">
        <w:trPr>
          <w:trHeight w:val="20"/>
          <w:jc w:val="center"/>
        </w:trPr>
        <w:tc>
          <w:tcPr>
            <w:tcW w:w="1185" w:type="dxa"/>
            <w:vMerge w:val="restart"/>
            <w:tcBorders>
              <w:left w:val="single" w:sz="6" w:space="0" w:color="000000"/>
              <w:right w:val="single" w:sz="6" w:space="0" w:color="000000"/>
            </w:tcBorders>
            <w:vAlign w:val="center"/>
          </w:tcPr>
          <w:p w14:paraId="460EAF1D" w14:textId="77777777" w:rsidR="008A3FAD" w:rsidRDefault="00000000">
            <w:pPr>
              <w:jc w:val="center"/>
              <w:rPr>
                <w:rFonts w:ascii="宋体" w:hAnsi="宋体" w:hint="eastAsia"/>
                <w:sz w:val="18"/>
                <w:szCs w:val="18"/>
              </w:rPr>
            </w:pPr>
            <w:r>
              <w:rPr>
                <w:rFonts w:ascii="宋体" w:hAnsi="宋体"/>
                <w:sz w:val="18"/>
                <w:szCs w:val="18"/>
              </w:rPr>
              <w:t>6</w:t>
            </w:r>
          </w:p>
        </w:tc>
        <w:tc>
          <w:tcPr>
            <w:tcW w:w="2115" w:type="dxa"/>
            <w:vMerge w:val="restart"/>
            <w:tcBorders>
              <w:left w:val="single" w:sz="6" w:space="0" w:color="000000"/>
              <w:right w:val="single" w:sz="6" w:space="0" w:color="000000"/>
            </w:tcBorders>
            <w:vAlign w:val="center"/>
          </w:tcPr>
          <w:p w14:paraId="3C60BE7B" w14:textId="77777777" w:rsidR="008A3FAD" w:rsidRDefault="00000000">
            <w:pPr>
              <w:jc w:val="center"/>
              <w:rPr>
                <w:rFonts w:ascii="宋体" w:hAnsi="宋体" w:hint="eastAsia"/>
                <w:sz w:val="18"/>
                <w:szCs w:val="18"/>
              </w:rPr>
            </w:pPr>
            <w:r>
              <w:rPr>
                <w:rFonts w:ascii="宋体" w:hAnsi="宋体" w:hint="eastAsia"/>
                <w:sz w:val="18"/>
                <w:szCs w:val="18"/>
              </w:rPr>
              <w:t>功率分配模块</w:t>
            </w: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6785171"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hint="eastAsia"/>
                <w:sz w:val="18"/>
                <w:szCs w:val="18"/>
              </w:rPr>
              <w:t>输入端口</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30D9574F"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0A6D5067" w14:textId="77777777">
        <w:trPr>
          <w:trHeight w:val="20"/>
          <w:jc w:val="center"/>
        </w:trPr>
        <w:tc>
          <w:tcPr>
            <w:tcW w:w="1185" w:type="dxa"/>
            <w:vMerge/>
            <w:tcBorders>
              <w:left w:val="single" w:sz="6" w:space="0" w:color="000000"/>
              <w:right w:val="single" w:sz="6" w:space="0" w:color="000000"/>
            </w:tcBorders>
            <w:vAlign w:val="center"/>
          </w:tcPr>
          <w:p w14:paraId="54F1AC20"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5665237C"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10F406A"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输出端口</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4126D95B"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2B2D2C43" w14:textId="77777777">
        <w:trPr>
          <w:trHeight w:val="20"/>
          <w:jc w:val="center"/>
        </w:trPr>
        <w:tc>
          <w:tcPr>
            <w:tcW w:w="1185" w:type="dxa"/>
            <w:vMerge/>
            <w:tcBorders>
              <w:left w:val="single" w:sz="6" w:space="0" w:color="000000"/>
              <w:right w:val="single" w:sz="6" w:space="0" w:color="000000"/>
            </w:tcBorders>
            <w:vAlign w:val="center"/>
          </w:tcPr>
          <w:p w14:paraId="1EB24448"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37F22EDC"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60FC8A4F"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功率分配网络</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5352D11D"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3F6ABE8D" w14:textId="77777777">
        <w:trPr>
          <w:trHeight w:val="20"/>
          <w:jc w:val="center"/>
        </w:trPr>
        <w:tc>
          <w:tcPr>
            <w:tcW w:w="1185" w:type="dxa"/>
            <w:vMerge/>
            <w:tcBorders>
              <w:left w:val="single" w:sz="6" w:space="0" w:color="000000"/>
              <w:right w:val="single" w:sz="6" w:space="0" w:color="000000"/>
            </w:tcBorders>
            <w:vAlign w:val="center"/>
          </w:tcPr>
          <w:p w14:paraId="7F07E14D" w14:textId="77777777" w:rsidR="008A3FAD" w:rsidRDefault="008A3FAD">
            <w:pPr>
              <w:jc w:val="center"/>
              <w:rPr>
                <w:rFonts w:ascii="宋体" w:hAnsi="宋体" w:hint="eastAsia"/>
                <w:sz w:val="18"/>
                <w:szCs w:val="18"/>
              </w:rPr>
            </w:pPr>
          </w:p>
        </w:tc>
        <w:tc>
          <w:tcPr>
            <w:tcW w:w="2115" w:type="dxa"/>
            <w:vMerge/>
            <w:tcBorders>
              <w:left w:val="single" w:sz="6" w:space="0" w:color="000000"/>
              <w:right w:val="single" w:sz="6" w:space="0" w:color="000000"/>
            </w:tcBorders>
            <w:vAlign w:val="center"/>
          </w:tcPr>
          <w:p w14:paraId="6C5B3471"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01F7BB6E"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控制系统</w:t>
            </w:r>
          </w:p>
        </w:tc>
        <w:tc>
          <w:tcPr>
            <w:tcW w:w="1620" w:type="dxa"/>
            <w:tcBorders>
              <w:top w:val="single" w:sz="6" w:space="0" w:color="CBCDD1"/>
              <w:left w:val="single" w:sz="6" w:space="0" w:color="000000"/>
              <w:bottom w:val="single" w:sz="6" w:space="0" w:color="000000"/>
              <w:right w:val="single" w:sz="6" w:space="0" w:color="000000"/>
            </w:tcBorders>
            <w:tcMar>
              <w:top w:w="0" w:type="dxa"/>
              <w:left w:w="108" w:type="dxa"/>
              <w:bottom w:w="0" w:type="dxa"/>
              <w:right w:w="108" w:type="dxa"/>
            </w:tcMar>
            <w:vAlign w:val="center"/>
          </w:tcPr>
          <w:p w14:paraId="17DE1F7D"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25BA3385" w14:textId="77777777">
        <w:trPr>
          <w:trHeight w:val="20"/>
          <w:jc w:val="center"/>
        </w:trPr>
        <w:tc>
          <w:tcPr>
            <w:tcW w:w="1185" w:type="dxa"/>
            <w:vMerge/>
            <w:tcBorders>
              <w:left w:val="single" w:sz="6" w:space="0" w:color="000000"/>
              <w:bottom w:val="single" w:sz="4" w:space="0" w:color="auto"/>
              <w:right w:val="single" w:sz="6" w:space="0" w:color="000000"/>
            </w:tcBorders>
            <w:vAlign w:val="center"/>
          </w:tcPr>
          <w:p w14:paraId="7D1D0448" w14:textId="77777777" w:rsidR="008A3FAD" w:rsidRDefault="008A3FAD">
            <w:pPr>
              <w:jc w:val="center"/>
              <w:rPr>
                <w:rFonts w:ascii="宋体" w:hAnsi="宋体" w:hint="eastAsia"/>
                <w:sz w:val="18"/>
                <w:szCs w:val="18"/>
              </w:rPr>
            </w:pPr>
          </w:p>
        </w:tc>
        <w:tc>
          <w:tcPr>
            <w:tcW w:w="2115" w:type="dxa"/>
            <w:vMerge/>
            <w:tcBorders>
              <w:left w:val="single" w:sz="6" w:space="0" w:color="000000"/>
              <w:bottom w:val="single" w:sz="4" w:space="0" w:color="auto"/>
              <w:right w:val="single" w:sz="6" w:space="0" w:color="000000"/>
            </w:tcBorders>
            <w:vAlign w:val="center"/>
          </w:tcPr>
          <w:p w14:paraId="5D3A2EEC" w14:textId="77777777" w:rsidR="008A3FAD" w:rsidRDefault="008A3FAD">
            <w:pPr>
              <w:jc w:val="center"/>
              <w:rPr>
                <w:rFonts w:ascii="宋体" w:hAnsi="宋体" w:hint="eastAsia"/>
                <w:sz w:val="18"/>
                <w:szCs w:val="18"/>
              </w:rPr>
            </w:pPr>
          </w:p>
        </w:tc>
        <w:tc>
          <w:tcPr>
            <w:tcW w:w="2550"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tcPr>
          <w:p w14:paraId="1C26FBD0" w14:textId="77777777" w:rsidR="008A3FAD" w:rsidRDefault="00000000">
            <w:pPr>
              <w:pStyle w:val="paragraph"/>
              <w:widowControl w:val="0"/>
              <w:spacing w:before="0" w:beforeAutospacing="0" w:after="0" w:afterAutospacing="0"/>
              <w:jc w:val="center"/>
              <w:rPr>
                <w:rFonts w:ascii="宋体" w:eastAsia="宋体" w:hAnsi="宋体" w:cstheme="minorBidi" w:hint="eastAsia"/>
                <w:kern w:val="2"/>
                <w:sz w:val="18"/>
                <w:szCs w:val="18"/>
              </w:rPr>
            </w:pPr>
            <w:r>
              <w:rPr>
                <w:rFonts w:ascii="宋体" w:eastAsia="宋体" w:hAnsi="宋体" w:cstheme="minorBidi" w:hint="eastAsia"/>
                <w:kern w:val="2"/>
                <w:sz w:val="18"/>
                <w:szCs w:val="18"/>
              </w:rPr>
              <w:t>维护系统</w:t>
            </w:r>
          </w:p>
        </w:tc>
        <w:tc>
          <w:tcPr>
            <w:tcW w:w="1620" w:type="dxa"/>
            <w:tcBorders>
              <w:top w:val="single" w:sz="6" w:space="0" w:color="CBCDD1"/>
              <w:left w:val="single" w:sz="6" w:space="0" w:color="000000"/>
              <w:bottom w:val="single" w:sz="4" w:space="0" w:color="auto"/>
              <w:right w:val="single" w:sz="6" w:space="0" w:color="000000"/>
            </w:tcBorders>
            <w:tcMar>
              <w:top w:w="0" w:type="dxa"/>
              <w:left w:w="108" w:type="dxa"/>
              <w:bottom w:w="0" w:type="dxa"/>
              <w:right w:w="108" w:type="dxa"/>
            </w:tcMar>
            <w:vAlign w:val="center"/>
          </w:tcPr>
          <w:p w14:paraId="1E971981" w14:textId="77777777" w:rsidR="008A3FAD" w:rsidRDefault="00000000">
            <w:pPr>
              <w:pStyle w:val="paragraph"/>
              <w:widowControl w:val="0"/>
              <w:spacing w:before="0" w:beforeAutospacing="0" w:after="0" w:afterAutospacing="0"/>
              <w:jc w:val="center"/>
              <w:rPr>
                <w:rFonts w:ascii="宋体" w:eastAsia="宋体" w:hAnsi="宋体" w:hint="eastAsia"/>
                <w:sz w:val="18"/>
                <w:szCs w:val="18"/>
              </w:rPr>
            </w:pPr>
            <w:r>
              <w:rPr>
                <w:rFonts w:ascii="宋体" w:eastAsia="宋体" w:hAnsi="宋体" w:hint="eastAsia"/>
                <w:sz w:val="18"/>
                <w:szCs w:val="18"/>
              </w:rPr>
              <w:t>○</w:t>
            </w:r>
          </w:p>
        </w:tc>
      </w:tr>
      <w:tr w:rsidR="008A3FAD" w14:paraId="74F240D1" w14:textId="77777777">
        <w:trPr>
          <w:trHeight w:val="20"/>
          <w:jc w:val="center"/>
        </w:trPr>
        <w:tc>
          <w:tcPr>
            <w:tcW w:w="7470" w:type="dxa"/>
            <w:gridSpan w:val="4"/>
            <w:tcBorders>
              <w:top w:val="single" w:sz="4" w:space="0" w:color="auto"/>
              <w:left w:val="single" w:sz="4" w:space="0" w:color="auto"/>
              <w:bottom w:val="single" w:sz="4" w:space="0" w:color="auto"/>
              <w:right w:val="single" w:sz="4" w:space="0" w:color="auto"/>
            </w:tcBorders>
            <w:vAlign w:val="center"/>
          </w:tcPr>
          <w:p w14:paraId="73573DFE" w14:textId="77777777" w:rsidR="008A3FAD" w:rsidRDefault="00000000">
            <w:pPr>
              <w:pStyle w:val="afff2"/>
            </w:pPr>
            <w:r>
              <w:rPr>
                <w:rFonts w:hAnsi="宋体" w:hint="eastAsia"/>
              </w:rPr>
              <w:t>●为必配，○为选配。</w:t>
            </w:r>
          </w:p>
        </w:tc>
      </w:tr>
    </w:tbl>
    <w:p w14:paraId="0CAD8266" w14:textId="77777777" w:rsidR="008A3FAD" w:rsidRDefault="00000000">
      <w:pPr>
        <w:pStyle w:val="affc"/>
        <w:spacing w:before="240" w:after="240"/>
      </w:pPr>
      <w:bookmarkStart w:id="50" w:name="_Toc192512633"/>
      <w:r>
        <w:rPr>
          <w:rFonts w:hint="eastAsia"/>
        </w:rPr>
        <w:t>一般要求</w:t>
      </w:r>
      <w:bookmarkEnd w:id="50"/>
    </w:p>
    <w:p w14:paraId="777028E4" w14:textId="77777777" w:rsidR="008A3FAD" w:rsidRDefault="00000000">
      <w:pPr>
        <w:pStyle w:val="affffffffe"/>
      </w:pPr>
      <w:r>
        <w:t>轨道式集装箱门式起重机</w:t>
      </w:r>
      <w:r>
        <w:rPr>
          <w:rFonts w:hint="eastAsia"/>
        </w:rPr>
        <w:t>应</w:t>
      </w:r>
      <w:r>
        <w:t>在安装或改造氢燃料电池供电系统前</w:t>
      </w:r>
      <w:r>
        <w:rPr>
          <w:rFonts w:hint="eastAsia"/>
        </w:rPr>
        <w:t>、后</w:t>
      </w:r>
      <w:r>
        <w:t>应进行安全评估,起重机安全应符合GB/T 6067.1的相关</w:t>
      </w:r>
      <w:r>
        <w:rPr>
          <w:rFonts w:hint="eastAsia"/>
        </w:rPr>
        <w:t>要求</w:t>
      </w:r>
      <w:r>
        <w:t>。</w:t>
      </w:r>
    </w:p>
    <w:p w14:paraId="24DDA89E" w14:textId="77777777" w:rsidR="008A3FAD" w:rsidRDefault="00000000">
      <w:pPr>
        <w:pStyle w:val="affffffffe"/>
      </w:pPr>
      <w:r>
        <w:t>氢燃料电池系统采用氢气</w:t>
      </w:r>
      <w:r>
        <w:rPr>
          <w:rFonts w:hint="eastAsia"/>
        </w:rPr>
        <w:t>氢气纯度、氢气中杂质等品质</w:t>
      </w:r>
      <w:r>
        <w:t>应符合GB/T 37244的相关</w:t>
      </w:r>
      <w:r>
        <w:rPr>
          <w:rFonts w:hint="eastAsia"/>
        </w:rPr>
        <w:t>要求</w:t>
      </w:r>
      <w:r>
        <w:t>。</w:t>
      </w:r>
    </w:p>
    <w:p w14:paraId="669A7D8D" w14:textId="77777777" w:rsidR="008A3FAD" w:rsidRDefault="00000000">
      <w:pPr>
        <w:pStyle w:val="affffffffe"/>
      </w:pPr>
      <w:r>
        <w:rPr>
          <w:rFonts w:cs="宋体"/>
        </w:rPr>
        <w:t>燃料电池的工作条件和工作环境</w:t>
      </w:r>
      <w:r>
        <w:rPr>
          <w:rFonts w:cs="宋体" w:hint="eastAsia"/>
        </w:rPr>
        <w:t>的安全条件</w:t>
      </w:r>
      <w:r>
        <w:rPr>
          <w:rFonts w:cs="宋体"/>
        </w:rPr>
        <w:t>应符合</w:t>
      </w:r>
      <w:r>
        <w:t>GB/T 24549</w:t>
      </w:r>
      <w:r>
        <w:rPr>
          <w:rFonts w:cs="宋体" w:hint="eastAsia"/>
        </w:rPr>
        <w:t>、</w:t>
      </w:r>
      <w:r>
        <w:t>GB/T 29729</w:t>
      </w:r>
      <w:r>
        <w:rPr>
          <w:rFonts w:hint="eastAsia"/>
        </w:rPr>
        <w:t>、</w:t>
      </w:r>
      <w:r>
        <w:t>GB/T 36288</w:t>
      </w:r>
      <w:r>
        <w:rPr>
          <w:rFonts w:cs="宋体"/>
        </w:rPr>
        <w:t>的相关</w:t>
      </w:r>
      <w:r>
        <w:rPr>
          <w:rFonts w:cs="宋体" w:hint="eastAsia"/>
        </w:rPr>
        <w:t>要求</w:t>
      </w:r>
      <w:r>
        <w:rPr>
          <w:rFonts w:cs="宋体"/>
        </w:rPr>
        <w:t>。</w:t>
      </w:r>
    </w:p>
    <w:p w14:paraId="4FCF875A" w14:textId="77777777" w:rsidR="008A3FAD" w:rsidRDefault="00000000">
      <w:pPr>
        <w:pStyle w:val="affffffffe"/>
      </w:pPr>
      <w:r>
        <w:rPr>
          <w:rFonts w:hint="eastAsia"/>
        </w:rPr>
        <w:t>轨道式集装箱门式起重机氢燃料电池供电系统中</w:t>
      </w:r>
      <w:r>
        <w:t>各子系统应具备自诊断功能</w:t>
      </w:r>
      <w:r>
        <w:rPr>
          <w:rFonts w:hint="eastAsia"/>
        </w:rPr>
        <w:t>，</w:t>
      </w:r>
      <w:r>
        <w:t>通讯应开放接口</w:t>
      </w:r>
      <w:r>
        <w:rPr>
          <w:rFonts w:hint="eastAsia"/>
        </w:rPr>
        <w:t>，各子安全系统应具备并网和离网两种运行模式</w:t>
      </w:r>
      <w:r>
        <w:t>。</w:t>
      </w:r>
    </w:p>
    <w:p w14:paraId="67886E92" w14:textId="77777777" w:rsidR="008A3FAD" w:rsidRDefault="00000000">
      <w:pPr>
        <w:pStyle w:val="affffffffe"/>
      </w:pPr>
      <w:r>
        <w:t>轨道式集装箱门式起重机氢燃料电池供电系统</w:t>
      </w:r>
      <w:r>
        <w:rPr>
          <w:rFonts w:hint="eastAsia"/>
        </w:rPr>
        <w:t>宜</w:t>
      </w:r>
      <w:r>
        <w:t>预留</w:t>
      </w:r>
      <w:r>
        <w:rPr>
          <w:rFonts w:hint="eastAsia"/>
        </w:rPr>
        <w:t>供氢设施、氢燃料电池系统或动力电池系统</w:t>
      </w:r>
      <w:r>
        <w:t>增容接口。</w:t>
      </w:r>
    </w:p>
    <w:p w14:paraId="7806BFF0" w14:textId="77777777" w:rsidR="008A3FAD" w:rsidRDefault="00000000">
      <w:pPr>
        <w:pStyle w:val="affffffffe"/>
      </w:pPr>
      <w:r>
        <w:rPr>
          <w:rFonts w:hint="eastAsia"/>
        </w:rPr>
        <w:t>选配直流供电模式功能的供电</w:t>
      </w:r>
      <w:r>
        <w:t>系统</w:t>
      </w:r>
      <w:r>
        <w:rPr>
          <w:rFonts w:hint="eastAsia"/>
        </w:rPr>
        <w:t>应具备</w:t>
      </w:r>
      <w:r>
        <w:t>自动</w:t>
      </w:r>
      <w:r>
        <w:rPr>
          <w:rFonts w:hint="eastAsia"/>
        </w:rPr>
        <w:t>投切</w:t>
      </w:r>
      <w:r>
        <w:t>氢燃料电池和直流</w:t>
      </w:r>
      <w:r>
        <w:rPr>
          <w:rFonts w:hint="eastAsia"/>
        </w:rPr>
        <w:t>两种</w:t>
      </w:r>
      <w:r>
        <w:t>供电模式</w:t>
      </w:r>
      <w:r>
        <w:rPr>
          <w:rFonts w:hint="eastAsia"/>
        </w:rPr>
        <w:t>的功能</w:t>
      </w:r>
      <w:r>
        <w:t>。</w:t>
      </w:r>
    </w:p>
    <w:p w14:paraId="35FE3F6B" w14:textId="77777777" w:rsidR="008A3FAD" w:rsidRDefault="00000000">
      <w:pPr>
        <w:pStyle w:val="affffffffe"/>
      </w:pPr>
      <w:r>
        <w:rPr>
          <w:rFonts w:hint="eastAsia"/>
        </w:rPr>
        <w:t>轨道吊上设备应</w:t>
      </w:r>
      <w:r>
        <w:t>易维护且具备防坠落措施。</w:t>
      </w:r>
    </w:p>
    <w:p w14:paraId="75D3AEA1" w14:textId="77777777" w:rsidR="008A3FAD" w:rsidRDefault="00000000">
      <w:pPr>
        <w:pStyle w:val="affffffffe"/>
      </w:pPr>
      <w:r>
        <w:rPr>
          <w:rFonts w:hint="eastAsia"/>
        </w:rPr>
        <w:t>各子</w:t>
      </w:r>
      <w:r>
        <w:t>系统</w:t>
      </w:r>
      <w:r>
        <w:rPr>
          <w:rFonts w:hint="eastAsia"/>
        </w:rPr>
        <w:t>宜</w:t>
      </w:r>
      <w:r>
        <w:t>采用模块化布局，</w:t>
      </w:r>
      <w:r>
        <w:rPr>
          <w:rFonts w:hint="eastAsia"/>
        </w:rPr>
        <w:t>宜</w:t>
      </w:r>
      <w:r>
        <w:t>具备快速脱离系统、快捷更换能力。</w:t>
      </w:r>
    </w:p>
    <w:p w14:paraId="54DF509F" w14:textId="77777777" w:rsidR="008A3FAD" w:rsidRDefault="00000000">
      <w:pPr>
        <w:pStyle w:val="affffffffe"/>
      </w:pPr>
      <w:r>
        <w:rPr>
          <w:rFonts w:hint="eastAsia"/>
        </w:rPr>
        <w:t>轨道式集装箱门式起重机应采用直流供电模式或多能源驱动模式，氢燃料电池应部分或全部覆盖轨道式集装箱门式起重机功率范围，未覆盖功率范围部分应采用动力电池或直流供电方式补充。</w:t>
      </w:r>
    </w:p>
    <w:p w14:paraId="1624C09A" w14:textId="77777777" w:rsidR="008A3FAD" w:rsidRDefault="00000000">
      <w:pPr>
        <w:pStyle w:val="affffffffe"/>
      </w:pPr>
      <w:r>
        <w:rPr>
          <w:rFonts w:hint="eastAsia"/>
        </w:rPr>
        <w:t>系统应具备防爆功能</w:t>
      </w:r>
      <w:r>
        <w:t>，燃料电池的设计应满足本节的有关规定，或使用与其具有同等安全水平的设计原则</w:t>
      </w:r>
      <w:r>
        <w:rPr>
          <w:rFonts w:hint="eastAsia"/>
        </w:rPr>
        <w:t>。</w:t>
      </w:r>
    </w:p>
    <w:p w14:paraId="1AFD8972" w14:textId="77777777" w:rsidR="008A3FAD" w:rsidRDefault="00000000">
      <w:pPr>
        <w:pStyle w:val="affffffffe"/>
      </w:pPr>
      <w:r>
        <w:rPr>
          <w:rFonts w:hint="eastAsia"/>
        </w:rPr>
        <w:t>轨道式集装箱门式起重机应与氢燃料电池、动力电池和直流供电装置进行数据传输，对各子系统进行不间断监控、故障诊断和数据集收集。</w:t>
      </w:r>
    </w:p>
    <w:p w14:paraId="0B8EA86B" w14:textId="77777777" w:rsidR="008A3FAD" w:rsidRDefault="00000000">
      <w:pPr>
        <w:pStyle w:val="affc"/>
        <w:spacing w:before="240" w:after="240"/>
      </w:pPr>
      <w:bookmarkStart w:id="51" w:name="_Toc192512634"/>
      <w:r>
        <w:rPr>
          <w:rFonts w:hint="eastAsia"/>
        </w:rPr>
        <w:lastRenderedPageBreak/>
        <w:t>技术要求</w:t>
      </w:r>
      <w:bookmarkEnd w:id="51"/>
    </w:p>
    <w:p w14:paraId="7ADFC7B7" w14:textId="77777777" w:rsidR="008A3FAD" w:rsidRDefault="00000000">
      <w:pPr>
        <w:pStyle w:val="affd"/>
        <w:spacing w:before="120" w:after="120"/>
      </w:pPr>
      <w:r>
        <w:t>供氢设施</w:t>
      </w:r>
    </w:p>
    <w:p w14:paraId="75FDB62E" w14:textId="77777777" w:rsidR="008A3FAD" w:rsidRDefault="00000000">
      <w:pPr>
        <w:pStyle w:val="afffffffff1"/>
      </w:pPr>
      <w:r>
        <w:rPr>
          <w:rFonts w:hint="eastAsia"/>
        </w:rPr>
        <w:t>氢气加注</w:t>
      </w:r>
      <w:r>
        <w:t>时</w:t>
      </w:r>
      <w:r>
        <w:rPr>
          <w:rFonts w:hint="eastAsia"/>
        </w:rPr>
        <w:t>加注性能目标、边界条件、加注方法、过程控制、加注速率和目标压力</w:t>
      </w:r>
      <w:r>
        <w:t xml:space="preserve">应符合GB/T </w:t>
      </w:r>
      <w:r>
        <w:rPr>
          <w:rFonts w:hint="eastAsia"/>
        </w:rPr>
        <w:t>42855的相关要求</w:t>
      </w:r>
      <w:r>
        <w:t>。</w:t>
      </w:r>
    </w:p>
    <w:p w14:paraId="214308E9" w14:textId="77777777" w:rsidR="008A3FAD" w:rsidRDefault="00000000">
      <w:pPr>
        <w:pStyle w:val="afffffffff1"/>
      </w:pPr>
      <w:r>
        <w:t>供氢设施</w:t>
      </w:r>
      <w:r>
        <w:rPr>
          <w:rFonts w:hint="eastAsia"/>
        </w:rPr>
        <w:t>应包括储氢或</w:t>
      </w:r>
      <w:r>
        <w:t>管道供氢装置</w:t>
      </w:r>
      <w:r>
        <w:rPr>
          <w:rFonts w:hint="eastAsia"/>
        </w:rPr>
        <w:t>、</w:t>
      </w:r>
      <w:r>
        <w:t>壳体及内衬</w:t>
      </w:r>
      <w:r>
        <w:rPr>
          <w:rFonts w:hint="eastAsia"/>
        </w:rPr>
        <w:t>、</w:t>
      </w:r>
      <w:r>
        <w:t>泄压装置</w:t>
      </w:r>
      <w:r>
        <w:rPr>
          <w:rFonts w:hint="eastAsia"/>
        </w:rPr>
        <w:t>、</w:t>
      </w:r>
      <w:r>
        <w:t>监测</w:t>
      </w:r>
      <w:r>
        <w:rPr>
          <w:rFonts w:hint="eastAsia"/>
        </w:rPr>
        <w:t>及</w:t>
      </w:r>
      <w:r>
        <w:t>传感</w:t>
      </w:r>
      <w:r>
        <w:rPr>
          <w:rFonts w:hint="eastAsia"/>
        </w:rPr>
        <w:t>装置、</w:t>
      </w:r>
      <w:r>
        <w:t>阀门及管件</w:t>
      </w:r>
      <w:r>
        <w:rPr>
          <w:rFonts w:hint="eastAsia"/>
        </w:rPr>
        <w:t>等部分</w:t>
      </w:r>
      <w:r>
        <w:t>。</w:t>
      </w:r>
    </w:p>
    <w:p w14:paraId="23B99269" w14:textId="77777777" w:rsidR="008A3FAD" w:rsidRDefault="00000000">
      <w:pPr>
        <w:pStyle w:val="afffffffff1"/>
      </w:pPr>
      <w:r>
        <w:rPr>
          <w:rFonts w:hint="eastAsia"/>
        </w:rPr>
        <w:t>储氢或</w:t>
      </w:r>
      <w:r>
        <w:t>管道供氢装置应符合下列要求：</w:t>
      </w:r>
    </w:p>
    <w:p w14:paraId="21328FBA" w14:textId="77777777" w:rsidR="008A3FAD" w:rsidRDefault="00000000">
      <w:pPr>
        <w:pStyle w:val="af5"/>
      </w:pPr>
      <w:r>
        <w:rPr>
          <w:rFonts w:hint="eastAsia"/>
        </w:rPr>
        <w:t>储氢瓶或供氢</w:t>
      </w:r>
      <w:r>
        <w:t>管路尺寸应符合设计要求，材料应满足预期氢气压力要求</w:t>
      </w:r>
      <w:r>
        <w:rPr>
          <w:rFonts w:hint="eastAsia"/>
        </w:rPr>
        <w:t>；</w:t>
      </w:r>
    </w:p>
    <w:p w14:paraId="2BC09449" w14:textId="77777777" w:rsidR="008A3FAD" w:rsidRDefault="00000000">
      <w:pPr>
        <w:pStyle w:val="af5"/>
      </w:pPr>
      <w:r>
        <w:t>管路内表面</w:t>
      </w:r>
      <w:r>
        <w:rPr>
          <w:rFonts w:hint="eastAsia"/>
        </w:rPr>
        <w:t>应去</w:t>
      </w:r>
      <w:r>
        <w:t>除颗粒物，端口应</w:t>
      </w:r>
      <w:r>
        <w:rPr>
          <w:rFonts w:hint="eastAsia"/>
        </w:rPr>
        <w:t>洁净，无</w:t>
      </w:r>
      <w:r>
        <w:t>障碍物和毛刺</w:t>
      </w:r>
      <w:r>
        <w:rPr>
          <w:rFonts w:hint="eastAsia"/>
        </w:rPr>
        <w:t>；</w:t>
      </w:r>
    </w:p>
    <w:p w14:paraId="16057376" w14:textId="77777777" w:rsidR="008A3FAD" w:rsidRDefault="00000000">
      <w:pPr>
        <w:pStyle w:val="af5"/>
      </w:pPr>
      <w:r>
        <w:rPr>
          <w:rFonts w:hint="eastAsia"/>
        </w:rPr>
        <w:t>储氢或</w:t>
      </w:r>
      <w:r>
        <w:t>管道供氢装置应安装氢安全预警装置</w:t>
      </w:r>
      <w:r>
        <w:rPr>
          <w:rFonts w:hint="eastAsia"/>
        </w:rPr>
        <w:t>；</w:t>
      </w:r>
    </w:p>
    <w:p w14:paraId="6A2B3F85" w14:textId="77777777" w:rsidR="008A3FAD" w:rsidRDefault="00000000">
      <w:pPr>
        <w:pStyle w:val="af5"/>
      </w:pPr>
      <w:r>
        <w:rPr>
          <w:rFonts w:hint="eastAsia"/>
        </w:rPr>
        <w:t>储氢瓶应设置遮阳措施，防止阳光直射，出口方向应避开设备、人员通道等区域。</w:t>
      </w:r>
    </w:p>
    <w:p w14:paraId="1830C05D" w14:textId="77777777" w:rsidR="008A3FAD" w:rsidRDefault="00000000">
      <w:pPr>
        <w:pStyle w:val="afffffffff1"/>
      </w:pPr>
      <w:r>
        <w:t>壳体及内衬应符合下列要求：</w:t>
      </w:r>
    </w:p>
    <w:p w14:paraId="21506A9B" w14:textId="77777777" w:rsidR="008A3FAD" w:rsidRDefault="00000000">
      <w:pPr>
        <w:pStyle w:val="af5"/>
        <w:numPr>
          <w:ilvl w:val="0"/>
          <w:numId w:val="32"/>
        </w:numPr>
      </w:pPr>
      <w:r>
        <w:rPr>
          <w:rFonts w:hint="eastAsia"/>
        </w:rPr>
        <w:t>应具备良好的电气、机械性能、气密性、防腐性等技术性能；</w:t>
      </w:r>
    </w:p>
    <w:p w14:paraId="25168657" w14:textId="77777777" w:rsidR="008A3FAD" w:rsidRDefault="00000000">
      <w:pPr>
        <w:pStyle w:val="af5"/>
        <w:rPr>
          <w:rFonts w:hAnsi="宋体" w:cs="宋体" w:hint="eastAsia"/>
        </w:rPr>
      </w:pPr>
      <w:r>
        <w:rPr>
          <w:rFonts w:hAnsi="宋体" w:cs="宋体"/>
        </w:rPr>
        <w:t>应具有良好的使用性和必要的防护设施</w:t>
      </w:r>
      <w:r>
        <w:rPr>
          <w:rFonts w:hAnsi="宋体" w:cs="宋体" w:hint="eastAsia"/>
        </w:rPr>
        <w:t xml:space="preserve">； </w:t>
      </w:r>
    </w:p>
    <w:p w14:paraId="6C2C7CC3" w14:textId="77777777" w:rsidR="008A3FAD" w:rsidRDefault="00000000">
      <w:pPr>
        <w:pStyle w:val="af5"/>
        <w:rPr>
          <w:rFonts w:hAnsi="宋体" w:cs="宋体" w:hint="eastAsia"/>
        </w:rPr>
      </w:pPr>
      <w:r>
        <w:rPr>
          <w:rFonts w:hAnsi="宋体" w:cs="宋体" w:hint="eastAsia"/>
        </w:rPr>
        <w:t>壳体应设置电气接地措施，接地点不应少于2处，接地电阻应不大于4Ω；</w:t>
      </w:r>
    </w:p>
    <w:p w14:paraId="01BB37C9" w14:textId="77777777" w:rsidR="008A3FAD" w:rsidRDefault="00000000">
      <w:pPr>
        <w:pStyle w:val="af5"/>
        <w:rPr>
          <w:rFonts w:hAnsi="宋体" w:cs="宋体" w:hint="eastAsia"/>
        </w:rPr>
      </w:pPr>
      <w:r>
        <w:rPr>
          <w:rFonts w:hAnsi="宋体" w:cs="宋体"/>
        </w:rPr>
        <w:t>设计应符合标准化、规格化、系列化的要求。</w:t>
      </w:r>
    </w:p>
    <w:p w14:paraId="0657BFB6" w14:textId="77777777" w:rsidR="008A3FAD" w:rsidRDefault="00000000">
      <w:pPr>
        <w:pStyle w:val="afffffffff1"/>
      </w:pPr>
      <w:r>
        <w:t>泄压装置应符合下列要求：</w:t>
      </w:r>
    </w:p>
    <w:p w14:paraId="6F626A9B" w14:textId="77777777" w:rsidR="008A3FAD" w:rsidRDefault="00000000">
      <w:pPr>
        <w:pStyle w:val="af5"/>
        <w:numPr>
          <w:ilvl w:val="0"/>
          <w:numId w:val="33"/>
        </w:numPr>
      </w:pPr>
      <w:r>
        <w:t>泄压装置应配备专</w:t>
      </w:r>
      <w:r>
        <w:rPr>
          <w:rFonts w:hint="eastAsia"/>
        </w:rPr>
        <w:t>用</w:t>
      </w:r>
      <w:r>
        <w:t>泄压阀</w:t>
      </w:r>
      <w:r>
        <w:rPr>
          <w:rFonts w:hint="eastAsia"/>
        </w:rPr>
        <w:t>；</w:t>
      </w:r>
    </w:p>
    <w:p w14:paraId="2DA0A3B4" w14:textId="77777777" w:rsidR="008A3FAD" w:rsidRDefault="00000000">
      <w:pPr>
        <w:pStyle w:val="af5"/>
      </w:pPr>
      <w:r>
        <w:t>压缩储氢系统的安全泄压装置，</w:t>
      </w:r>
      <w:r>
        <w:rPr>
          <w:rFonts w:hint="eastAsia"/>
        </w:rPr>
        <w:t>宜</w:t>
      </w:r>
      <w:r>
        <w:t>选用温度驱动压力泄放装置</w:t>
      </w:r>
      <w:r>
        <w:rPr>
          <w:rFonts w:hint="eastAsia"/>
        </w:rPr>
        <w:t>；</w:t>
      </w:r>
    </w:p>
    <w:p w14:paraId="06B4EE36" w14:textId="77777777" w:rsidR="008A3FAD" w:rsidRDefault="00000000">
      <w:pPr>
        <w:pStyle w:val="af5"/>
      </w:pPr>
      <w:r>
        <w:t>不</w:t>
      </w:r>
      <w:r>
        <w:rPr>
          <w:rFonts w:hint="eastAsia"/>
        </w:rPr>
        <w:t>应将</w:t>
      </w:r>
      <w:r>
        <w:t>泄压装置与气瓶隔离</w:t>
      </w:r>
      <w:r>
        <w:rPr>
          <w:rFonts w:hint="eastAsia"/>
        </w:rPr>
        <w:t>；</w:t>
      </w:r>
    </w:p>
    <w:p w14:paraId="66233B79" w14:textId="77777777" w:rsidR="008A3FAD" w:rsidRDefault="00000000">
      <w:pPr>
        <w:pStyle w:val="af5"/>
      </w:pPr>
      <w:r>
        <w:t>泄压装置应直接安装在气瓶的瓶口内，或一组气瓶中的一个气瓶瓶口内，或气瓶上安装的阀开口内，以便将氢气排放至外部</w:t>
      </w:r>
      <w:r>
        <w:rPr>
          <w:rFonts w:hint="eastAsia"/>
        </w:rPr>
        <w:t xml:space="preserve">； </w:t>
      </w:r>
    </w:p>
    <w:p w14:paraId="70AD7116" w14:textId="77777777" w:rsidR="008A3FAD" w:rsidRDefault="00000000">
      <w:pPr>
        <w:pStyle w:val="afffffffff1"/>
      </w:pPr>
      <w:r>
        <w:t>排气管内径不</w:t>
      </w:r>
      <w:r>
        <w:rPr>
          <w:rFonts w:hint="eastAsia"/>
        </w:rPr>
        <w:t>应</w:t>
      </w:r>
      <w:r>
        <w:t>影响泄压装置的排放流量</w:t>
      </w:r>
      <w:r>
        <w:rPr>
          <w:rFonts w:hint="eastAsia"/>
        </w:rPr>
        <w:t>；</w:t>
      </w:r>
    </w:p>
    <w:p w14:paraId="48D85AEB" w14:textId="77777777" w:rsidR="008A3FAD" w:rsidRDefault="00000000">
      <w:pPr>
        <w:pStyle w:val="af5"/>
        <w:numPr>
          <w:ilvl w:val="0"/>
          <w:numId w:val="34"/>
        </w:numPr>
      </w:pPr>
      <w:r>
        <w:t>泄压装置的氢气排放不</w:t>
      </w:r>
      <w:r>
        <w:rPr>
          <w:rFonts w:hint="eastAsia"/>
        </w:rPr>
        <w:t>应</w:t>
      </w:r>
      <w:r>
        <w:t>朝向裸露的电气端子、裸露的电器开关或其他引火源</w:t>
      </w:r>
      <w:r>
        <w:rPr>
          <w:rFonts w:hint="eastAsia"/>
        </w:rPr>
        <w:t>；</w:t>
      </w:r>
    </w:p>
    <w:p w14:paraId="2F24C203" w14:textId="77777777" w:rsidR="008A3FAD" w:rsidRDefault="00000000">
      <w:pPr>
        <w:pStyle w:val="af5"/>
      </w:pPr>
      <w:r>
        <w:t>泄压装置的排气管</w:t>
      </w:r>
      <w:r>
        <w:rPr>
          <w:rFonts w:hint="eastAsia"/>
        </w:rPr>
        <w:t>应保持疏通状态；</w:t>
      </w:r>
    </w:p>
    <w:p w14:paraId="3033C25C" w14:textId="77777777" w:rsidR="008A3FAD" w:rsidRDefault="00000000">
      <w:pPr>
        <w:pStyle w:val="af5"/>
      </w:pPr>
      <w:r>
        <w:t>不</w:t>
      </w:r>
      <w:r>
        <w:rPr>
          <w:rFonts w:hint="eastAsia"/>
        </w:rPr>
        <w:t>应</w:t>
      </w:r>
      <w:r>
        <w:t>在氢气泄漏或排气的情况下积聚氢气。</w:t>
      </w:r>
    </w:p>
    <w:p w14:paraId="4CB41205" w14:textId="77777777" w:rsidR="008A3FAD" w:rsidRDefault="00000000">
      <w:pPr>
        <w:pStyle w:val="afffffffff1"/>
      </w:pPr>
      <w:r>
        <w:t>监测</w:t>
      </w:r>
      <w:r>
        <w:rPr>
          <w:rFonts w:hint="eastAsia"/>
        </w:rPr>
        <w:t>及</w:t>
      </w:r>
      <w:r>
        <w:t>传感应符合下列要求：</w:t>
      </w:r>
    </w:p>
    <w:p w14:paraId="33243869" w14:textId="77777777" w:rsidR="008A3FAD" w:rsidRDefault="00000000">
      <w:pPr>
        <w:pStyle w:val="af5"/>
        <w:numPr>
          <w:ilvl w:val="0"/>
          <w:numId w:val="35"/>
        </w:numPr>
      </w:pPr>
      <w:r>
        <w:rPr>
          <w:rFonts w:hint="eastAsia"/>
        </w:rPr>
        <w:t>应使用</w:t>
      </w:r>
      <w:r>
        <w:t>防爆型操作台、控制箱、传感器</w:t>
      </w:r>
      <w:r>
        <w:rPr>
          <w:rFonts w:hint="eastAsia"/>
        </w:rPr>
        <w:t>；</w:t>
      </w:r>
    </w:p>
    <w:p w14:paraId="0F94F1E2" w14:textId="77777777" w:rsidR="008A3FAD" w:rsidRDefault="00000000">
      <w:pPr>
        <w:pStyle w:val="af5"/>
      </w:pPr>
      <w:r>
        <w:t>传感器的性能参数</w:t>
      </w:r>
      <w:r>
        <w:rPr>
          <w:rFonts w:hint="eastAsia"/>
        </w:rPr>
        <w:t>应</w:t>
      </w:r>
      <w:r>
        <w:t>满足相应标准要求</w:t>
      </w:r>
      <w:r>
        <w:rPr>
          <w:rFonts w:hint="eastAsia"/>
        </w:rPr>
        <w:t>；</w:t>
      </w:r>
    </w:p>
    <w:p w14:paraId="6010277E" w14:textId="77777777" w:rsidR="008A3FAD" w:rsidRDefault="00000000">
      <w:pPr>
        <w:pStyle w:val="af5"/>
      </w:pPr>
      <w:r>
        <w:t>监控站</w:t>
      </w:r>
      <w:r>
        <w:rPr>
          <w:rFonts w:hint="eastAsia"/>
        </w:rPr>
        <w:t>应</w:t>
      </w:r>
      <w:r>
        <w:t>具有多通道、多制式的信号采集功能和通讯功能，</w:t>
      </w:r>
      <w:r>
        <w:rPr>
          <w:rFonts w:hint="eastAsia"/>
        </w:rPr>
        <w:t>应</w:t>
      </w:r>
      <w:r>
        <w:t>及时将监控到的多种参数、设备状态传送到地面中心站，并执行中心站发出的各种命令，及时发出报警和断电控制信号。</w:t>
      </w:r>
    </w:p>
    <w:p w14:paraId="66C7F60C" w14:textId="77777777" w:rsidR="008A3FAD" w:rsidRDefault="00000000">
      <w:pPr>
        <w:pStyle w:val="afffffffff1"/>
      </w:pPr>
      <w:r>
        <w:t>阀门及管件应符合下列要求：</w:t>
      </w:r>
    </w:p>
    <w:p w14:paraId="20370C11" w14:textId="77777777" w:rsidR="008A3FAD" w:rsidRDefault="00000000">
      <w:pPr>
        <w:pStyle w:val="af5"/>
        <w:numPr>
          <w:ilvl w:val="0"/>
          <w:numId w:val="36"/>
        </w:numPr>
      </w:pPr>
      <w:r>
        <w:rPr>
          <w:rFonts w:hint="eastAsia"/>
        </w:rPr>
        <w:t>供氢设施中所有氢气管道、阀门、管件的设计压力应满足GB 50156相关要求；</w:t>
      </w:r>
    </w:p>
    <w:p w14:paraId="7AD6BC9E" w14:textId="77777777" w:rsidR="008A3FAD" w:rsidRDefault="00000000">
      <w:pPr>
        <w:pStyle w:val="af5"/>
      </w:pPr>
      <w:r>
        <w:rPr>
          <w:rFonts w:hint="eastAsia"/>
        </w:rPr>
        <w:t>涉氢系统或管路应选用316不锈钢材质，如非氢材料应有良好的抗氢渗透性能。</w:t>
      </w:r>
    </w:p>
    <w:p w14:paraId="1B0EEE70" w14:textId="77777777" w:rsidR="008A3FAD" w:rsidRDefault="00000000">
      <w:pPr>
        <w:pStyle w:val="af5"/>
      </w:pPr>
      <w:r>
        <w:rPr>
          <w:rFonts w:hint="eastAsia"/>
        </w:rPr>
        <w:t>非金属材料应具有良好的氢相容性，其疲劳性能、耐久极限和蟠变强度在阀门设计寿命内应能满足设计文件的要求；</w:t>
      </w:r>
    </w:p>
    <w:p w14:paraId="26DE0E0A" w14:textId="77777777" w:rsidR="008A3FAD" w:rsidRDefault="00000000">
      <w:pPr>
        <w:pStyle w:val="af5"/>
      </w:pPr>
      <w:r>
        <w:rPr>
          <w:rFonts w:hint="eastAsia"/>
        </w:rPr>
        <w:t>输氢管路材料应与氢有良好的相容特性；</w:t>
      </w:r>
    </w:p>
    <w:p w14:paraId="2FCD56D2" w14:textId="77777777" w:rsidR="008A3FAD" w:rsidRDefault="00000000">
      <w:pPr>
        <w:pStyle w:val="af5"/>
      </w:pPr>
      <w:r>
        <w:rPr>
          <w:rFonts w:hint="eastAsia"/>
        </w:rPr>
        <w:t>阀门的预紧力应满足相应标准要求。</w:t>
      </w:r>
    </w:p>
    <w:p w14:paraId="7388912D" w14:textId="77777777" w:rsidR="008A3FAD" w:rsidRDefault="00000000">
      <w:pPr>
        <w:pStyle w:val="affd"/>
        <w:spacing w:before="120" w:after="120"/>
      </w:pPr>
      <w:r>
        <w:rPr>
          <w:rFonts w:hint="eastAsia"/>
        </w:rPr>
        <w:t>氢</w:t>
      </w:r>
      <w:r>
        <w:t>燃料电池系统</w:t>
      </w:r>
    </w:p>
    <w:p w14:paraId="593651D9" w14:textId="77777777" w:rsidR="008A3FAD" w:rsidRDefault="00000000">
      <w:pPr>
        <w:pStyle w:val="afffffffff1"/>
      </w:pPr>
      <w:r>
        <w:t>氢燃料电池系统应避开易燃、易爆区域及敏感设施，且运输、维护方便</w:t>
      </w:r>
      <w:r>
        <w:rPr>
          <w:rFonts w:hint="eastAsia"/>
        </w:rPr>
        <w:t>，</w:t>
      </w:r>
      <w:r>
        <w:t>基本安全</w:t>
      </w:r>
      <w:r>
        <w:rPr>
          <w:rFonts w:hint="eastAsia"/>
        </w:rPr>
        <w:t>应符合</w:t>
      </w:r>
      <w:r>
        <w:t>GB/T 29729</w:t>
      </w:r>
      <w:r>
        <w:rPr>
          <w:rFonts w:hint="eastAsia"/>
        </w:rPr>
        <w:t>的相关要求</w:t>
      </w:r>
      <w:r>
        <w:t>。</w:t>
      </w:r>
    </w:p>
    <w:p w14:paraId="13EEDE42" w14:textId="77777777" w:rsidR="008A3FAD" w:rsidRDefault="00000000">
      <w:pPr>
        <w:pStyle w:val="afffffffff1"/>
      </w:pPr>
      <w:r>
        <w:rPr>
          <w:rFonts w:hint="eastAsia"/>
        </w:rPr>
        <w:t>氢燃料电池系统应独立安装，氢燃料电池设备间内不应安装与燃料电池无关的动力源和热源设备，设备间内的电气设备应采用合格的防爆设备。 燃料电池设备间设计应避免氢气的积聚。</w:t>
      </w:r>
    </w:p>
    <w:p w14:paraId="4DD13715" w14:textId="77777777" w:rsidR="008A3FAD" w:rsidRDefault="00000000">
      <w:pPr>
        <w:pStyle w:val="afffffffff1"/>
      </w:pPr>
      <w:r>
        <w:rPr>
          <w:rFonts w:hint="eastAsia"/>
        </w:rPr>
        <w:t>轨道式集装箱门式起重机氢燃料电池供电系统应设计为自动运行，并根据安全规范要求配备氢泄露、火灾探测、阻火器等安全系统，</w:t>
      </w:r>
      <w:r>
        <w:rPr>
          <w:rFonts w:hint="eastAsia"/>
          <w:kern w:val="2"/>
          <w:szCs w:val="22"/>
        </w:rPr>
        <w:t>检测到氢泄漏或火焰时,设备能自动采取相应的安全措施,包括发出报警、关闭截止阀、开启通风装置、关停设备等。</w:t>
      </w:r>
    </w:p>
    <w:p w14:paraId="6E3B07CD" w14:textId="77777777" w:rsidR="008A3FAD" w:rsidRDefault="00000000">
      <w:pPr>
        <w:pStyle w:val="afffffffff1"/>
      </w:pPr>
      <w:r>
        <w:t>轨道式集装箱门式起重机氢燃料电池系统需要维护或者关闭时，应有相应措施，使氢燃料电池</w:t>
      </w:r>
      <w:r>
        <w:lastRenderedPageBreak/>
        <w:t>发电装置处于安全状态。</w:t>
      </w:r>
    </w:p>
    <w:p w14:paraId="69A7483E" w14:textId="77777777" w:rsidR="008A3FAD" w:rsidRDefault="00000000">
      <w:pPr>
        <w:pStyle w:val="afffffffff1"/>
      </w:pPr>
      <w:r>
        <w:rPr>
          <w:rFonts w:hint="eastAsia"/>
        </w:rPr>
        <w:t>氢燃料电池系统内部应设置监控措施，当空气进入氢燃料管路或者氢气进去空气管路时能发出报警并停止系统工作及氢气供给。</w:t>
      </w:r>
    </w:p>
    <w:p w14:paraId="518B6DA1" w14:textId="77777777" w:rsidR="008A3FAD" w:rsidRDefault="00000000">
      <w:pPr>
        <w:pStyle w:val="afffffffff1"/>
      </w:pPr>
      <w:r>
        <w:t>氢燃料电池系统</w:t>
      </w:r>
      <w:r>
        <w:rPr>
          <w:rFonts w:hint="eastAsia"/>
        </w:rPr>
        <w:t>包含</w:t>
      </w:r>
      <w:r>
        <w:t>燃料电池堆</w:t>
      </w:r>
      <w:r>
        <w:rPr>
          <w:rFonts w:hint="eastAsia"/>
        </w:rPr>
        <w:t>、</w:t>
      </w:r>
      <w:r>
        <w:t>燃料供应子系统</w:t>
      </w:r>
      <w:r>
        <w:rPr>
          <w:rFonts w:hint="eastAsia"/>
        </w:rPr>
        <w:t>、</w:t>
      </w:r>
      <w:r>
        <w:t>氧化剂处理子系统</w:t>
      </w:r>
      <w:r>
        <w:rPr>
          <w:rFonts w:hint="eastAsia"/>
        </w:rPr>
        <w:t>、</w:t>
      </w:r>
      <w:r>
        <w:t>热管理子系统</w:t>
      </w:r>
      <w:r>
        <w:rPr>
          <w:rFonts w:hint="eastAsia"/>
        </w:rPr>
        <w:t>、</w:t>
      </w:r>
      <w:r>
        <w:t>水管理子系统</w:t>
      </w:r>
      <w:r>
        <w:rPr>
          <w:rFonts w:hint="eastAsia"/>
        </w:rPr>
        <w:t>、</w:t>
      </w:r>
      <w:r>
        <w:t>自动控制子系统</w:t>
      </w:r>
      <w:r>
        <w:rPr>
          <w:rFonts w:hint="eastAsia"/>
        </w:rPr>
        <w:t>、</w:t>
      </w:r>
      <w:r>
        <w:t>功率调节子系统</w:t>
      </w:r>
      <w:r>
        <w:rPr>
          <w:rFonts w:hint="eastAsia"/>
        </w:rPr>
        <w:t>等部分</w:t>
      </w:r>
      <w:r>
        <w:t>。</w:t>
      </w:r>
    </w:p>
    <w:p w14:paraId="6CF9A409" w14:textId="77777777" w:rsidR="008A3FAD" w:rsidRDefault="00000000">
      <w:pPr>
        <w:pStyle w:val="af5"/>
        <w:numPr>
          <w:ilvl w:val="0"/>
          <w:numId w:val="37"/>
        </w:numPr>
      </w:pPr>
      <w:r>
        <w:t>当</w:t>
      </w:r>
      <w:r>
        <w:rPr>
          <w:rFonts w:hint="eastAsia"/>
        </w:rPr>
        <w:t>轨道吊突然加载导致</w:t>
      </w:r>
      <w:r>
        <w:t>电压跌落时，应满足氢燃料电池</w:t>
      </w:r>
      <w:r>
        <w:rPr>
          <w:rFonts w:hint="eastAsia"/>
        </w:rPr>
        <w:t>系统</w:t>
      </w:r>
      <w:r>
        <w:t>瞬态电压值不低于额定电压的</w:t>
      </w:r>
      <w:r>
        <w:rPr>
          <w:rFonts w:hint="eastAsia"/>
        </w:rPr>
        <w:t>9</w:t>
      </w:r>
      <w:r>
        <w:t>5%，且不低于轨道吊最低工作电压</w:t>
      </w:r>
      <w:r>
        <w:rPr>
          <w:rFonts w:hint="eastAsia"/>
        </w:rPr>
        <w:t>；</w:t>
      </w:r>
    </w:p>
    <w:p w14:paraId="4016D259" w14:textId="77777777" w:rsidR="008A3FAD" w:rsidRDefault="00000000">
      <w:pPr>
        <w:pStyle w:val="af5"/>
      </w:pPr>
      <w:r>
        <w:t>当</w:t>
      </w:r>
      <w:r>
        <w:rPr>
          <w:rFonts w:hint="eastAsia"/>
        </w:rPr>
        <w:t>轨道吊突然降载或回馈能量导致</w:t>
      </w:r>
      <w:r>
        <w:t>电压上升时，应满足氢燃料电池</w:t>
      </w:r>
      <w:r>
        <w:rPr>
          <w:rFonts w:hint="eastAsia"/>
        </w:rPr>
        <w:t>系统</w:t>
      </w:r>
      <w:r>
        <w:t>瞬态电压值不超过额定电压的105%，且不高于轨道吊最高工作电压</w:t>
      </w:r>
      <w:r>
        <w:rPr>
          <w:rFonts w:hint="eastAsia"/>
        </w:rPr>
        <w:t>；</w:t>
      </w:r>
    </w:p>
    <w:p w14:paraId="46907B85" w14:textId="77777777" w:rsidR="008A3FAD" w:rsidRDefault="00000000">
      <w:pPr>
        <w:pStyle w:val="af5"/>
      </w:pPr>
      <w:r>
        <w:t>电压恢复到与稳定值相差3%额定电压以内所需的时间应不超过0.5s。</w:t>
      </w:r>
    </w:p>
    <w:p w14:paraId="2FDF7954" w14:textId="77777777" w:rsidR="008A3FAD" w:rsidRDefault="00000000">
      <w:pPr>
        <w:pStyle w:val="afffffffff1"/>
      </w:pPr>
      <w:r>
        <w:t>燃料电池堆应符合下列要求：</w:t>
      </w:r>
    </w:p>
    <w:p w14:paraId="2B3E6774" w14:textId="77777777" w:rsidR="008A3FAD" w:rsidRDefault="00000000">
      <w:pPr>
        <w:pStyle w:val="af5"/>
        <w:numPr>
          <w:ilvl w:val="0"/>
          <w:numId w:val="38"/>
        </w:numPr>
      </w:pPr>
      <w:r>
        <w:t>燃料电池堆</w:t>
      </w:r>
      <w:r>
        <w:rPr>
          <w:rFonts w:hint="eastAsia"/>
        </w:rPr>
        <w:t>应满足GB/T 36288标准要求，且</w:t>
      </w:r>
      <w:r>
        <w:t>燃料电池堆应根据风险评估进行设计。风险评估应符合GB/T 7826、GB/T 7829 和 IEC61508-1 的规定</w:t>
      </w:r>
      <w:r>
        <w:rPr>
          <w:rFonts w:hint="eastAsia"/>
        </w:rPr>
        <w:t>；</w:t>
      </w:r>
    </w:p>
    <w:p w14:paraId="1413A21D" w14:textId="77777777" w:rsidR="008A3FAD" w:rsidRDefault="00000000">
      <w:pPr>
        <w:pStyle w:val="af5"/>
      </w:pPr>
      <w:r>
        <w:rPr>
          <w:rFonts w:hint="eastAsia"/>
        </w:rPr>
        <w:t>应符合轨道吊</w:t>
      </w:r>
      <w:r>
        <w:t>使用时的温度、压力、电压及电流范围</w:t>
      </w:r>
      <w:r>
        <w:rPr>
          <w:rFonts w:hint="eastAsia"/>
        </w:rPr>
        <w:t>；</w:t>
      </w:r>
    </w:p>
    <w:p w14:paraId="503EE543" w14:textId="77777777" w:rsidR="008A3FAD" w:rsidRDefault="00000000">
      <w:pPr>
        <w:pStyle w:val="af5"/>
      </w:pPr>
      <w:r>
        <w:rPr>
          <w:rFonts w:hint="eastAsia"/>
        </w:rPr>
        <w:t>燃料电池堆应有接地点,接地点与所有裸露的金属间电阻应小于0.1 Ω。</w:t>
      </w:r>
    </w:p>
    <w:p w14:paraId="17EE140F" w14:textId="77777777" w:rsidR="008A3FAD" w:rsidRDefault="00000000">
      <w:pPr>
        <w:pStyle w:val="af5"/>
      </w:pPr>
      <w:r>
        <w:rPr>
          <w:rFonts w:hAnsi="宋体" w:hint="eastAsia"/>
        </w:rPr>
        <w:t>燃料电池堆应有外壳做必要防护；</w:t>
      </w:r>
    </w:p>
    <w:p w14:paraId="23843953" w14:textId="77777777" w:rsidR="008A3FAD" w:rsidRDefault="00000000">
      <w:pPr>
        <w:pStyle w:val="af5"/>
      </w:pPr>
      <w:r>
        <w:rPr>
          <w:rFonts w:hAnsi="宋体" w:hint="eastAsia"/>
        </w:rPr>
        <w:t>若</w:t>
      </w:r>
      <w:r>
        <w:rPr>
          <w:rFonts w:hAnsi="宋体"/>
        </w:rPr>
        <w:t>燃料电池堆采用气密并承压的</w:t>
      </w:r>
      <w:r>
        <w:rPr>
          <w:rFonts w:hAnsi="宋体" w:hint="eastAsia"/>
        </w:rPr>
        <w:t>外壳</w:t>
      </w:r>
      <w:r>
        <w:rPr>
          <w:rFonts w:hAnsi="宋体"/>
        </w:rPr>
        <w:t>封装，则</w:t>
      </w:r>
      <w:r>
        <w:rPr>
          <w:rFonts w:hAnsi="宋体" w:hint="eastAsia"/>
        </w:rPr>
        <w:t>外壳</w:t>
      </w:r>
      <w:r>
        <w:rPr>
          <w:rFonts w:hAnsi="宋体"/>
        </w:rPr>
        <w:t>应符合《压力容器安全技术监察规程》的规定。</w:t>
      </w:r>
    </w:p>
    <w:p w14:paraId="2297EFA2" w14:textId="77777777" w:rsidR="008A3FAD" w:rsidRDefault="00000000">
      <w:pPr>
        <w:pStyle w:val="affd"/>
        <w:spacing w:before="120" w:after="120"/>
      </w:pPr>
      <w:r>
        <w:t>动力电池系统</w:t>
      </w:r>
    </w:p>
    <w:p w14:paraId="39D0E275" w14:textId="77777777" w:rsidR="008A3FAD" w:rsidRDefault="00000000">
      <w:pPr>
        <w:pStyle w:val="afffffffff1"/>
      </w:pPr>
      <w:r>
        <w:t>动力电池系统应包括动力电池、动力电池管理装置、电池热管理装置、电池柜、充电机等</w:t>
      </w:r>
      <w:r>
        <w:rPr>
          <w:rFonts w:hint="eastAsia"/>
        </w:rPr>
        <w:t>部分。</w:t>
      </w:r>
    </w:p>
    <w:p w14:paraId="1D8C7CB8" w14:textId="77777777" w:rsidR="008A3FAD" w:rsidRDefault="00000000">
      <w:pPr>
        <w:pStyle w:val="afffffffff1"/>
      </w:pPr>
      <w:r>
        <w:rPr>
          <w:rFonts w:hint="eastAsia"/>
        </w:rPr>
        <w:t>动力电池如采用锂电池应采用磷酸铁锂电池。</w:t>
      </w:r>
    </w:p>
    <w:p w14:paraId="31996CFF" w14:textId="77777777" w:rsidR="008A3FAD" w:rsidRDefault="00000000">
      <w:pPr>
        <w:pStyle w:val="afffffffff1"/>
      </w:pPr>
      <w:r>
        <w:t>动力电池应符合下列要求：</w:t>
      </w:r>
    </w:p>
    <w:p w14:paraId="65F7376B" w14:textId="77777777" w:rsidR="008A3FAD" w:rsidRDefault="00000000">
      <w:pPr>
        <w:pStyle w:val="af5"/>
        <w:numPr>
          <w:ilvl w:val="0"/>
          <w:numId w:val="39"/>
        </w:numPr>
      </w:pPr>
      <w:r>
        <w:rPr>
          <w:rFonts w:hint="eastAsia"/>
        </w:rPr>
        <w:t>应</w:t>
      </w:r>
      <w:r>
        <w:t>具有</w:t>
      </w:r>
      <w:r>
        <w:rPr>
          <w:rFonts w:hint="eastAsia"/>
        </w:rPr>
        <w:t>单体</w:t>
      </w:r>
      <w:r>
        <w:t>电压、电流、温度等检测功能</w:t>
      </w:r>
      <w:r>
        <w:rPr>
          <w:rFonts w:hint="eastAsia"/>
        </w:rPr>
        <w:t>，应</w:t>
      </w:r>
      <w:r>
        <w:t>具有电池和通讯故障检测功能；</w:t>
      </w:r>
    </w:p>
    <w:p w14:paraId="5815FA55" w14:textId="77777777" w:rsidR="008A3FAD" w:rsidRDefault="00000000">
      <w:pPr>
        <w:pStyle w:val="af5"/>
      </w:pPr>
      <w:r>
        <w:rPr>
          <w:rFonts w:hint="eastAsia"/>
        </w:rPr>
        <w:t>b) 应</w:t>
      </w:r>
      <w:r>
        <w:t>具有与动力电池管理</w:t>
      </w:r>
      <w:r>
        <w:rPr>
          <w:rFonts w:hint="eastAsia"/>
        </w:rPr>
        <w:t>系统</w:t>
      </w:r>
      <w:r>
        <w:t>以外控制部件的通讯功能</w:t>
      </w:r>
      <w:r>
        <w:rPr>
          <w:rFonts w:hint="eastAsia"/>
        </w:rPr>
        <w:t>，应</w:t>
      </w:r>
      <w:r>
        <w:t>具有电池运行状态显示与上传功能；</w:t>
      </w:r>
    </w:p>
    <w:p w14:paraId="5E316F63" w14:textId="77777777" w:rsidR="008A3FAD" w:rsidRDefault="00000000">
      <w:pPr>
        <w:pStyle w:val="af5"/>
      </w:pPr>
      <w:r>
        <w:rPr>
          <w:rFonts w:hint="eastAsia"/>
        </w:rPr>
        <w:t>应</w:t>
      </w:r>
      <w:r>
        <w:t>具有</w:t>
      </w:r>
      <w:r>
        <w:rPr>
          <w:rFonts w:hint="eastAsia"/>
        </w:rPr>
        <w:t>过流、过充过放、过高温等保护功能。</w:t>
      </w:r>
    </w:p>
    <w:p w14:paraId="298B0102" w14:textId="77777777" w:rsidR="008A3FAD" w:rsidRDefault="00000000">
      <w:pPr>
        <w:pStyle w:val="af5"/>
      </w:pPr>
      <w:r>
        <w:rPr>
          <w:rFonts w:hint="eastAsia"/>
        </w:rPr>
        <w:t>应</w:t>
      </w:r>
      <w:r>
        <w:t>具有电池热管理装置控制功能。</w:t>
      </w:r>
    </w:p>
    <w:p w14:paraId="54B26D9C" w14:textId="77777777" w:rsidR="008A3FAD" w:rsidRDefault="00000000">
      <w:pPr>
        <w:pStyle w:val="afffffffff1"/>
      </w:pPr>
      <w:r>
        <w:t>电池热管理装置应具有制冷、制热等功能；具有故障诊断功能；</w:t>
      </w:r>
      <w:r>
        <w:rPr>
          <w:rFonts w:hint="eastAsia"/>
        </w:rPr>
        <w:t>应</w:t>
      </w:r>
      <w:r>
        <w:t>具有与动力电池管理装置通讯的功能。</w:t>
      </w:r>
    </w:p>
    <w:p w14:paraId="5C23E93D" w14:textId="77777777" w:rsidR="008A3FAD" w:rsidRDefault="00000000">
      <w:pPr>
        <w:pStyle w:val="afffffffff1"/>
      </w:pPr>
      <w:r>
        <w:t>电池模组温度控制最低温度不宜低于10</w:t>
      </w:r>
      <w:r>
        <w:t>℃</w:t>
      </w:r>
      <w:r>
        <w:t>；最高温度不宜高于45</w:t>
      </w:r>
      <w:r>
        <w:t>℃</w:t>
      </w:r>
      <w:r>
        <w:t>；温差不宜超过10</w:t>
      </w:r>
      <w:r>
        <w:t>℃</w:t>
      </w:r>
      <w:r>
        <w:t>。</w:t>
      </w:r>
    </w:p>
    <w:p w14:paraId="68B7B4C1" w14:textId="77777777" w:rsidR="008A3FAD" w:rsidRDefault="00000000">
      <w:pPr>
        <w:pStyle w:val="afffffffff1"/>
      </w:pPr>
      <w:r>
        <w:t>电池柜应符合下列要求：</w:t>
      </w:r>
    </w:p>
    <w:p w14:paraId="6A9E4A05" w14:textId="77777777" w:rsidR="008A3FAD" w:rsidRDefault="00000000">
      <w:pPr>
        <w:pStyle w:val="af5"/>
        <w:numPr>
          <w:ilvl w:val="0"/>
          <w:numId w:val="40"/>
        </w:numPr>
      </w:pPr>
      <w:r>
        <w:rPr>
          <w:rFonts w:hint="eastAsia"/>
        </w:rPr>
        <w:t>电池柜柜体外观应满足各焊接部位牢固，焊缝均匀，无漏焊、咬边、气孔、飞溅等缺陷；电池柜柜体外部油漆表面光滑、平整、颜色均匀，无流挂、底、针孔等缺陷。</w:t>
      </w:r>
    </w:p>
    <w:p w14:paraId="558A8FF6" w14:textId="77777777" w:rsidR="008A3FAD" w:rsidRDefault="00000000">
      <w:pPr>
        <w:pStyle w:val="af5"/>
      </w:pPr>
      <w:r>
        <w:rPr>
          <w:rFonts w:hint="eastAsia"/>
        </w:rPr>
        <w:t>电池柜柜体表面应具有防腐蚀镀层或涂层，防腐等级不低于</w:t>
      </w:r>
      <w:r>
        <w:t>C</w:t>
      </w:r>
      <w:r>
        <w:rPr>
          <w:rFonts w:hint="eastAsia"/>
        </w:rPr>
        <w:t>5。</w:t>
      </w:r>
    </w:p>
    <w:p w14:paraId="3FC1AAA8" w14:textId="77777777" w:rsidR="008A3FAD" w:rsidRDefault="00000000">
      <w:pPr>
        <w:pStyle w:val="af5"/>
      </w:pPr>
      <w:r>
        <w:rPr>
          <w:rFonts w:hint="eastAsia"/>
        </w:rPr>
        <w:t>电池柜防护等级应达到</w:t>
      </w:r>
      <w:r>
        <w:t>IP65</w:t>
      </w:r>
      <w:r>
        <w:rPr>
          <w:rFonts w:hint="eastAsia"/>
        </w:rPr>
        <w:t>，具有较高的防尘能力，</w:t>
      </w:r>
      <w:r>
        <w:rPr>
          <w:rFonts w:ascii="Times New Roman"/>
        </w:rPr>
        <w:t>‌</w:t>
      </w:r>
      <w:r>
        <w:rPr>
          <w:rFonts w:hint="eastAsia"/>
        </w:rPr>
        <w:t>并能防止喷溅的水侵入。</w:t>
      </w:r>
    </w:p>
    <w:p w14:paraId="03BCC427" w14:textId="77777777" w:rsidR="008A3FAD" w:rsidRDefault="00000000">
      <w:pPr>
        <w:pStyle w:val="af5"/>
      </w:pPr>
      <w:r>
        <w:rPr>
          <w:rFonts w:hint="eastAsia"/>
        </w:rPr>
        <w:t>电池柜宜具备防爆泄压功能。</w:t>
      </w:r>
    </w:p>
    <w:p w14:paraId="7BBDCCD4" w14:textId="77777777" w:rsidR="008A3FAD" w:rsidRDefault="00000000">
      <w:pPr>
        <w:pStyle w:val="af5"/>
      </w:pPr>
      <w:r>
        <w:rPr>
          <w:rFonts w:hint="eastAsia"/>
        </w:rPr>
        <w:t>外壳结构采用隔热保温材料、内外部装饰材料应为阻燃材料。柜体四周与顶部应有隔热设计，耐火极限应不小于</w:t>
      </w:r>
      <w:r>
        <w:t>0.5h</w:t>
      </w:r>
      <w:r>
        <w:rPr>
          <w:rFonts w:hint="eastAsia"/>
        </w:rPr>
        <w:t>。</w:t>
      </w:r>
    </w:p>
    <w:p w14:paraId="3B67D7DA" w14:textId="77777777" w:rsidR="008A3FAD" w:rsidRDefault="00000000">
      <w:pPr>
        <w:pStyle w:val="af5"/>
      </w:pPr>
      <w:r>
        <w:rPr>
          <w:rFonts w:hint="eastAsia"/>
        </w:rPr>
        <w:t>柜体外壳上应有铭牌信息，包括但不限于额定功率/额定容量、投运日期。</w:t>
      </w:r>
    </w:p>
    <w:p w14:paraId="19D0A355" w14:textId="77777777" w:rsidR="008A3FAD" w:rsidRDefault="00000000">
      <w:pPr>
        <w:pStyle w:val="af5"/>
      </w:pPr>
      <w:r>
        <w:rPr>
          <w:rFonts w:hint="eastAsia"/>
        </w:rPr>
        <w:t>柜体孔洞、门、线缆口等与柜外相通部位，应设置防止小动物进入的设施。。</w:t>
      </w:r>
    </w:p>
    <w:p w14:paraId="7416C540" w14:textId="77777777" w:rsidR="008A3FAD" w:rsidRDefault="00000000">
      <w:pPr>
        <w:pStyle w:val="afffffffff1"/>
        <w:rPr>
          <w:rFonts w:ascii="黑体" w:eastAsia="黑体" w:hAnsi="黑体" w:cs="黑体" w:hint="eastAsia"/>
        </w:rPr>
      </w:pPr>
      <w:r>
        <w:t>充电机应符合下列要求：</w:t>
      </w:r>
    </w:p>
    <w:p w14:paraId="289A0C22" w14:textId="77777777" w:rsidR="008A3FAD" w:rsidRDefault="00000000">
      <w:pPr>
        <w:pStyle w:val="af5"/>
        <w:numPr>
          <w:ilvl w:val="0"/>
          <w:numId w:val="41"/>
        </w:numPr>
      </w:pPr>
      <w:r>
        <w:t>具</w:t>
      </w:r>
      <w:r>
        <w:rPr>
          <w:rFonts w:hint="eastAsia"/>
        </w:rPr>
        <w:t>备</w:t>
      </w:r>
      <w:r>
        <w:t>脉宽整流控制功能，可</w:t>
      </w:r>
      <w:r>
        <w:rPr>
          <w:rFonts w:hint="eastAsia"/>
        </w:rPr>
        <w:t>自动</w:t>
      </w:r>
      <w:r>
        <w:t>调节输出电压、电流；</w:t>
      </w:r>
    </w:p>
    <w:p w14:paraId="38D02CC6" w14:textId="77777777" w:rsidR="008A3FAD" w:rsidRDefault="00000000">
      <w:pPr>
        <w:pStyle w:val="af5"/>
      </w:pPr>
      <w:r>
        <w:t>具</w:t>
      </w:r>
      <w:r>
        <w:rPr>
          <w:rFonts w:hint="eastAsia"/>
        </w:rPr>
        <w:t>备</w:t>
      </w:r>
      <w:r>
        <w:t>过流、过压、过温</w:t>
      </w:r>
      <w:r>
        <w:rPr>
          <w:rFonts w:hint="eastAsia"/>
        </w:rPr>
        <w:t>告警</w:t>
      </w:r>
      <w:r>
        <w:t>等保护功能；</w:t>
      </w:r>
    </w:p>
    <w:p w14:paraId="25527927" w14:textId="77777777" w:rsidR="008A3FAD" w:rsidRDefault="00000000">
      <w:pPr>
        <w:pStyle w:val="af5"/>
      </w:pPr>
      <w:r>
        <w:t>具</w:t>
      </w:r>
      <w:r>
        <w:rPr>
          <w:rFonts w:hint="eastAsia"/>
        </w:rPr>
        <w:t>备</w:t>
      </w:r>
      <w:r>
        <w:t>故障自主停机、显示、历史</w:t>
      </w:r>
      <w:r>
        <w:rPr>
          <w:rFonts w:hint="eastAsia"/>
        </w:rPr>
        <w:t>记录</w:t>
      </w:r>
      <w:r>
        <w:t>等功能</w:t>
      </w:r>
      <w:r>
        <w:rPr>
          <w:rFonts w:hint="eastAsia"/>
        </w:rPr>
        <w:t>；</w:t>
      </w:r>
    </w:p>
    <w:p w14:paraId="67FEA31C" w14:textId="77777777" w:rsidR="008A3FAD" w:rsidRDefault="00000000">
      <w:pPr>
        <w:pStyle w:val="af5"/>
      </w:pPr>
      <w:r>
        <w:t>与外</w:t>
      </w:r>
      <w:r>
        <w:rPr>
          <w:rFonts w:hint="eastAsia"/>
        </w:rPr>
        <w:t>部设备</w:t>
      </w:r>
      <w:r>
        <w:t>具</w:t>
      </w:r>
      <w:r>
        <w:rPr>
          <w:rFonts w:hint="eastAsia"/>
        </w:rPr>
        <w:t>备</w:t>
      </w:r>
      <w:r>
        <w:t>通讯功能。</w:t>
      </w:r>
    </w:p>
    <w:p w14:paraId="2EC45020" w14:textId="77777777" w:rsidR="008A3FAD" w:rsidRDefault="00000000">
      <w:pPr>
        <w:pStyle w:val="affd"/>
        <w:spacing w:before="120" w:after="120"/>
      </w:pPr>
      <w:r>
        <w:t>直流供电装置</w:t>
      </w:r>
    </w:p>
    <w:p w14:paraId="3C42A521" w14:textId="77777777" w:rsidR="008A3FAD" w:rsidRDefault="00000000">
      <w:pPr>
        <w:pStyle w:val="afffffffff1"/>
      </w:pPr>
      <w:r>
        <w:t>直流供电设备</w:t>
      </w:r>
      <w:r>
        <w:rPr>
          <w:rFonts w:hint="eastAsia"/>
        </w:rPr>
        <w:t>宜设置在轨道吊就近位置</w:t>
      </w:r>
      <w:r>
        <w:t>，</w:t>
      </w:r>
      <w:r>
        <w:rPr>
          <w:rFonts w:hint="eastAsia"/>
        </w:rPr>
        <w:t>应避开</w:t>
      </w:r>
      <w:r>
        <w:t>易燃、易爆区域及敏感设施，且</w:t>
      </w:r>
      <w:r>
        <w:rPr>
          <w:rFonts w:hint="eastAsia"/>
        </w:rPr>
        <w:t>检修</w:t>
      </w:r>
      <w:r>
        <w:t>、维护方</w:t>
      </w:r>
      <w:r>
        <w:lastRenderedPageBreak/>
        <w:t>便。</w:t>
      </w:r>
    </w:p>
    <w:p w14:paraId="63C5C418" w14:textId="77777777" w:rsidR="008A3FAD" w:rsidRDefault="00000000">
      <w:pPr>
        <w:pStyle w:val="afffffffff1"/>
      </w:pPr>
      <w:r>
        <w:t>直流供电设备应便于快速安装、低成本维护，宜选用符合GB/T 17467</w:t>
      </w:r>
      <w:r>
        <w:rPr>
          <w:rFonts w:hint="eastAsia"/>
        </w:rPr>
        <w:t>相关</w:t>
      </w:r>
      <w:r>
        <w:rPr>
          <w:rFonts w:hAnsi="宋体"/>
        </w:rPr>
        <w:t>要求</w:t>
      </w:r>
      <w:r>
        <w:t>的高压/低压预装式直流供电站。</w:t>
      </w:r>
    </w:p>
    <w:p w14:paraId="3500B625" w14:textId="77777777" w:rsidR="008A3FAD" w:rsidRDefault="00000000">
      <w:pPr>
        <w:pStyle w:val="afffffffff1"/>
      </w:pPr>
      <w:r>
        <w:t>变压器应符合下列要求：</w:t>
      </w:r>
    </w:p>
    <w:p w14:paraId="775872B8" w14:textId="77777777" w:rsidR="008A3FAD" w:rsidRDefault="00000000">
      <w:pPr>
        <w:pStyle w:val="af5"/>
        <w:numPr>
          <w:ilvl w:val="0"/>
          <w:numId w:val="42"/>
        </w:numPr>
      </w:pPr>
      <w:r>
        <w:t>一次侧有可靠电源，容量满足</w:t>
      </w:r>
      <w:r>
        <w:rPr>
          <w:rFonts w:hint="eastAsia"/>
        </w:rPr>
        <w:t>轨道吊功率</w:t>
      </w:r>
      <w:r>
        <w:t>要求；</w:t>
      </w:r>
    </w:p>
    <w:p w14:paraId="1735EF69" w14:textId="77777777" w:rsidR="008A3FAD" w:rsidRDefault="00000000">
      <w:pPr>
        <w:pStyle w:val="af5"/>
      </w:pPr>
      <w:r>
        <w:t>电源输出</w:t>
      </w:r>
      <w:r>
        <w:rPr>
          <w:rFonts w:hint="eastAsia"/>
        </w:rPr>
        <w:t>应</w:t>
      </w:r>
      <w:r>
        <w:t>符合GB/T 14549</w:t>
      </w:r>
      <w:r>
        <w:rPr>
          <w:rFonts w:cs="宋体" w:hint="eastAsia"/>
        </w:rPr>
        <w:t>的相关</w:t>
      </w:r>
      <w:r>
        <w:t>要求；</w:t>
      </w:r>
    </w:p>
    <w:p w14:paraId="0B2E5EA6" w14:textId="77777777" w:rsidR="008A3FAD" w:rsidRDefault="00000000">
      <w:pPr>
        <w:pStyle w:val="af5"/>
      </w:pPr>
      <w:r>
        <w:t>绝缘符合GB/T 1094.3</w:t>
      </w:r>
      <w:r>
        <w:rPr>
          <w:rFonts w:cs="宋体" w:hint="eastAsia"/>
        </w:rPr>
        <w:t>的相关</w:t>
      </w:r>
      <w:r>
        <w:t>要求；</w:t>
      </w:r>
    </w:p>
    <w:p w14:paraId="0CF1AF12" w14:textId="77777777" w:rsidR="008A3FAD" w:rsidRDefault="00000000">
      <w:pPr>
        <w:pStyle w:val="af5"/>
      </w:pPr>
      <w:r>
        <w:t>承受短路能力符合GB/T 1094.5</w:t>
      </w:r>
      <w:r>
        <w:rPr>
          <w:rFonts w:cs="宋体" w:hint="eastAsia"/>
        </w:rPr>
        <w:t>的相关</w:t>
      </w:r>
      <w:r>
        <w:t>要求；</w:t>
      </w:r>
    </w:p>
    <w:p w14:paraId="2ED5F1D3" w14:textId="77777777" w:rsidR="008A3FAD" w:rsidRDefault="00000000">
      <w:pPr>
        <w:pStyle w:val="af5"/>
      </w:pPr>
      <w:r>
        <w:t>具有低损耗、低噪声特性。</w:t>
      </w:r>
    </w:p>
    <w:p w14:paraId="60AAEC8A" w14:textId="77777777" w:rsidR="008A3FAD" w:rsidRDefault="00000000">
      <w:pPr>
        <w:pStyle w:val="afffffffff1"/>
      </w:pPr>
      <w:r>
        <w:t>分线开关应符合下列要求：</w:t>
      </w:r>
    </w:p>
    <w:p w14:paraId="18414F83" w14:textId="77777777" w:rsidR="008A3FAD" w:rsidRDefault="00000000">
      <w:pPr>
        <w:pStyle w:val="af5"/>
        <w:numPr>
          <w:ilvl w:val="0"/>
          <w:numId w:val="43"/>
        </w:numPr>
      </w:pPr>
      <w:r>
        <w:t>单个分线开关容量满足带载地面供电装置载荷要求；</w:t>
      </w:r>
    </w:p>
    <w:p w14:paraId="1C942537" w14:textId="77777777" w:rsidR="008A3FAD" w:rsidRDefault="00000000">
      <w:pPr>
        <w:pStyle w:val="af5"/>
      </w:pPr>
      <w:r>
        <w:t>配置数量</w:t>
      </w:r>
      <w:r>
        <w:rPr>
          <w:rFonts w:hint="eastAsia"/>
        </w:rPr>
        <w:t>应</w:t>
      </w:r>
      <w:r>
        <w:t>与变压器容量、分线开关容量、地面供电装置分组匹配；</w:t>
      </w:r>
    </w:p>
    <w:p w14:paraId="7A647389" w14:textId="77777777" w:rsidR="008A3FAD" w:rsidRDefault="00000000">
      <w:pPr>
        <w:pStyle w:val="af5"/>
      </w:pPr>
      <w:r>
        <w:t>每个分线开关</w:t>
      </w:r>
      <w:r>
        <w:rPr>
          <w:rFonts w:hint="eastAsia"/>
        </w:rPr>
        <w:t>应</w:t>
      </w:r>
      <w:r>
        <w:t>配置断路器。</w:t>
      </w:r>
    </w:p>
    <w:p w14:paraId="7AB156B0" w14:textId="77777777" w:rsidR="008A3FAD" w:rsidRDefault="00000000">
      <w:pPr>
        <w:pStyle w:val="afffffffff1"/>
      </w:pPr>
      <w:r>
        <w:rPr>
          <w:rFonts w:ascii="黑体" w:eastAsia="黑体" w:hAnsi="黑体" w:hint="eastAsia"/>
          <w:szCs w:val="21"/>
        </w:rPr>
        <w:t>6</w:t>
      </w:r>
      <w:r>
        <w:rPr>
          <w:rFonts w:ascii="黑体" w:eastAsia="黑体" w:hAnsi="黑体"/>
          <w:szCs w:val="21"/>
        </w:rPr>
        <w:t>.</w:t>
      </w:r>
      <w:r>
        <w:t>直流供电设备附件应符合GB T 19826的</w:t>
      </w:r>
      <w:r>
        <w:rPr>
          <w:rFonts w:hAnsi="宋体" w:cs="宋体" w:hint="eastAsia"/>
        </w:rPr>
        <w:t>相关</w:t>
      </w:r>
      <w:r>
        <w:rPr>
          <w:rFonts w:hAnsi="宋体"/>
        </w:rPr>
        <w:t>要求</w:t>
      </w:r>
      <w:r>
        <w:t>。</w:t>
      </w:r>
      <w:r>
        <w:rPr>
          <w:rFonts w:hint="eastAsia"/>
        </w:rPr>
        <w:t>直流供电</w:t>
      </w:r>
      <w:r>
        <w:t>系统与设备的安全总体原则和应考虑的安全因素</w:t>
      </w:r>
      <w:r>
        <w:rPr>
          <w:rFonts w:hint="eastAsia"/>
        </w:rPr>
        <w:t>应符合</w:t>
      </w:r>
      <w:r>
        <w:t>GB/T 39462</w:t>
      </w:r>
      <w:r>
        <w:rPr>
          <w:rFonts w:hint="eastAsia"/>
        </w:rPr>
        <w:t>的相关要求。</w:t>
      </w:r>
    </w:p>
    <w:p w14:paraId="00578AF6" w14:textId="77777777" w:rsidR="008A3FAD" w:rsidRDefault="00000000">
      <w:pPr>
        <w:pStyle w:val="affd"/>
        <w:spacing w:before="120" w:after="120"/>
      </w:pPr>
      <w:r>
        <w:t>安全系统</w:t>
      </w:r>
    </w:p>
    <w:p w14:paraId="397ABDEF" w14:textId="77777777" w:rsidR="008A3FAD" w:rsidRDefault="00000000">
      <w:pPr>
        <w:pStyle w:val="afffffffff1"/>
      </w:pPr>
      <w:r>
        <w:t>安全系统</w:t>
      </w:r>
      <w:r>
        <w:rPr>
          <w:rFonts w:hint="eastAsia"/>
        </w:rPr>
        <w:t>应包括</w:t>
      </w:r>
      <w:r>
        <w:rPr>
          <w:rFonts w:hint="eastAsia"/>
          <w:szCs w:val="21"/>
        </w:rPr>
        <w:t>燃料供应与处理子系统安全保护、</w:t>
      </w:r>
      <w:r>
        <w:t>储氢安全保护</w:t>
      </w:r>
      <w:r>
        <w:rPr>
          <w:rFonts w:hint="eastAsia"/>
        </w:rPr>
        <w:t>、</w:t>
      </w:r>
      <w:r>
        <w:t>加氢安全保护</w:t>
      </w:r>
      <w:r>
        <w:rPr>
          <w:rFonts w:hint="eastAsia"/>
        </w:rPr>
        <w:t>、</w:t>
      </w:r>
      <w:r>
        <w:t>管路安全保护</w:t>
      </w:r>
      <w:r>
        <w:rPr>
          <w:rFonts w:hint="eastAsia"/>
        </w:rPr>
        <w:t>、</w:t>
      </w:r>
      <w:r>
        <w:t>综合监控系统</w:t>
      </w:r>
      <w:r>
        <w:rPr>
          <w:rFonts w:hint="eastAsia"/>
        </w:rPr>
        <w:t>、消防等部分：</w:t>
      </w:r>
      <w:r>
        <w:t xml:space="preserve"> </w:t>
      </w:r>
    </w:p>
    <w:p w14:paraId="34D54701" w14:textId="77777777" w:rsidR="008A3FAD" w:rsidRDefault="00000000">
      <w:pPr>
        <w:pStyle w:val="afffffffff1"/>
        <w:rPr>
          <w:rFonts w:cs="宋体"/>
        </w:rPr>
      </w:pPr>
      <w:r>
        <w:rPr>
          <w:rFonts w:hint="eastAsia"/>
          <w:szCs w:val="21"/>
        </w:rPr>
        <w:t>燃料供应与处理子系统安全保护应</w:t>
      </w:r>
      <w:r>
        <w:t>符合下列要</w:t>
      </w:r>
      <w:r>
        <w:rPr>
          <w:rFonts w:ascii="Times New Roman"/>
        </w:rPr>
        <w:t>求：</w:t>
      </w:r>
    </w:p>
    <w:p w14:paraId="7511B6AB" w14:textId="77777777" w:rsidR="008A3FAD" w:rsidRDefault="00000000">
      <w:pPr>
        <w:pStyle w:val="af5"/>
        <w:numPr>
          <w:ilvl w:val="0"/>
          <w:numId w:val="44"/>
        </w:numPr>
      </w:pPr>
      <w:r>
        <w:t>发电系统燃料供应端口(燃料贮存容器出口)</w:t>
      </w:r>
      <w:r>
        <w:rPr>
          <w:rFonts w:hint="eastAsia"/>
        </w:rPr>
        <w:t>应</w:t>
      </w:r>
      <w:r>
        <w:t>采用至少两种不同的控制装置(如自动或手动)控制燃料的供应</w:t>
      </w:r>
      <w:r>
        <w:rPr>
          <w:rFonts w:hint="eastAsia"/>
        </w:rPr>
        <w:t>；</w:t>
      </w:r>
      <w:r>
        <w:t xml:space="preserve"> </w:t>
      </w:r>
    </w:p>
    <w:p w14:paraId="4399BEFF" w14:textId="77777777" w:rsidR="008A3FAD" w:rsidRDefault="00000000">
      <w:pPr>
        <w:pStyle w:val="af5"/>
      </w:pPr>
      <w:r>
        <w:t>发电系统排放燃料时应设有直通外界的排放口</w:t>
      </w:r>
      <w:r>
        <w:rPr>
          <w:rFonts w:hint="eastAsia"/>
        </w:rPr>
        <w:t>，排放口应远离</w:t>
      </w:r>
      <w:r>
        <w:t>易燃、易爆区域及敏感设施,并有安全保护装置</w:t>
      </w:r>
      <w:r>
        <w:rPr>
          <w:rFonts w:hint="eastAsia"/>
        </w:rPr>
        <w:t>；</w:t>
      </w:r>
      <w:r>
        <w:t xml:space="preserve"> </w:t>
      </w:r>
    </w:p>
    <w:p w14:paraId="7C4126A8" w14:textId="77777777" w:rsidR="008A3FAD" w:rsidRDefault="00000000">
      <w:pPr>
        <w:pStyle w:val="af5"/>
      </w:pPr>
      <w:r>
        <w:rPr>
          <w:rFonts w:hint="eastAsia"/>
        </w:rPr>
        <w:t>发电系统燃料供应管路不得通过电气舱，燃料贮存和燃料应用端应有泄漏监测传感器，当燃料泄漏时，控制系统应能自动切断燃料供应。</w:t>
      </w:r>
    </w:p>
    <w:p w14:paraId="6A74FC0E" w14:textId="77777777" w:rsidR="008A3FAD" w:rsidRDefault="00000000">
      <w:pPr>
        <w:pStyle w:val="af5"/>
      </w:pPr>
      <w:r>
        <w:rPr>
          <w:rFonts w:hint="eastAsia"/>
        </w:rPr>
        <w:t>发电系统尾排水不得直接排入雨水管沟，应采用水封井等安全措施。</w:t>
      </w:r>
    </w:p>
    <w:p w14:paraId="24F69D33" w14:textId="77777777" w:rsidR="008A3FAD" w:rsidRDefault="00000000">
      <w:pPr>
        <w:pStyle w:val="afffffffff1"/>
      </w:pPr>
      <w:r>
        <w:t>储氢安全保护</w:t>
      </w:r>
      <w:r>
        <w:rPr>
          <w:rFonts w:hint="eastAsia"/>
          <w:szCs w:val="21"/>
        </w:rPr>
        <w:t>应</w:t>
      </w:r>
      <w:r>
        <w:rPr>
          <w:rFonts w:ascii="Times New Roman"/>
        </w:rPr>
        <w:t>符合下列要求</w:t>
      </w:r>
      <w:r>
        <w:rPr>
          <w:rFonts w:ascii="Times New Roman" w:hint="eastAsia"/>
        </w:rPr>
        <w:t>：</w:t>
      </w:r>
    </w:p>
    <w:p w14:paraId="23F96786" w14:textId="77777777" w:rsidR="008A3FAD" w:rsidRDefault="00000000">
      <w:pPr>
        <w:pStyle w:val="af5"/>
        <w:numPr>
          <w:ilvl w:val="0"/>
          <w:numId w:val="45"/>
        </w:numPr>
      </w:pPr>
      <w:r>
        <w:t>储氢装置应尽量减少接头或者其他可能产生泄漏的潜在危险点的数量</w:t>
      </w:r>
      <w:r>
        <w:rPr>
          <w:rFonts w:hint="eastAsia"/>
        </w:rPr>
        <w:t>；</w:t>
      </w:r>
    </w:p>
    <w:p w14:paraId="320549C9" w14:textId="77777777" w:rsidR="008A3FAD" w:rsidRDefault="00000000">
      <w:pPr>
        <w:pStyle w:val="af5"/>
      </w:pPr>
      <w:r>
        <w:t>储氢装置的储氢能力应满足设计压力、供氢方式、供氢压力、充氢压力、氢气充装数量以及均衡连续供气的要求</w:t>
      </w:r>
      <w:r>
        <w:rPr>
          <w:rFonts w:hint="eastAsia"/>
        </w:rPr>
        <w:t>；</w:t>
      </w:r>
    </w:p>
    <w:p w14:paraId="0FEC7026" w14:textId="77777777" w:rsidR="008A3FAD" w:rsidRDefault="00000000">
      <w:pPr>
        <w:pStyle w:val="af5"/>
      </w:pPr>
      <w:r>
        <w:rPr>
          <w:rFonts w:hint="eastAsia"/>
        </w:rPr>
        <w:t>储氢装置安装区域应通风良好并设置明显的禁火标志，并配备消防设施和氢气泄漏报警设施；</w:t>
      </w:r>
    </w:p>
    <w:p w14:paraId="7C972A42" w14:textId="77777777" w:rsidR="008A3FAD" w:rsidRDefault="00000000">
      <w:pPr>
        <w:pStyle w:val="af5"/>
      </w:pPr>
      <w:r>
        <w:t>储氢装置的防雷、防静电与接地应符合GB/T 50516规定</w:t>
      </w:r>
      <w:r>
        <w:rPr>
          <w:rFonts w:hint="eastAsia"/>
        </w:rPr>
        <w:t>；</w:t>
      </w:r>
    </w:p>
    <w:p w14:paraId="4E3D189E" w14:textId="77777777" w:rsidR="008A3FAD" w:rsidRDefault="00000000">
      <w:pPr>
        <w:pStyle w:val="afffffffff1"/>
      </w:pPr>
      <w:r>
        <w:t>加氢安全保护</w:t>
      </w:r>
      <w:r>
        <w:rPr>
          <w:rFonts w:hint="eastAsia"/>
          <w:szCs w:val="21"/>
        </w:rPr>
        <w:t>应</w:t>
      </w:r>
      <w:r>
        <w:t>符合下列要求</w:t>
      </w:r>
      <w:r>
        <w:rPr>
          <w:rFonts w:hint="eastAsia"/>
        </w:rPr>
        <w:t>：</w:t>
      </w:r>
    </w:p>
    <w:p w14:paraId="18E63BF1" w14:textId="77777777" w:rsidR="008A3FAD" w:rsidRDefault="00000000">
      <w:pPr>
        <w:pStyle w:val="af5"/>
        <w:numPr>
          <w:ilvl w:val="0"/>
          <w:numId w:val="46"/>
        </w:numPr>
      </w:pPr>
      <w:r>
        <w:t>氢气加注点应位于敞开位置，</w:t>
      </w:r>
      <w:r>
        <w:rPr>
          <w:rFonts w:hint="eastAsia"/>
        </w:rPr>
        <w:t>应</w:t>
      </w:r>
      <w:r>
        <w:t>具有足够的通风</w:t>
      </w:r>
      <w:r>
        <w:rPr>
          <w:rFonts w:hint="eastAsia"/>
        </w:rPr>
        <w:t>量；</w:t>
      </w:r>
    </w:p>
    <w:p w14:paraId="53965E85" w14:textId="77777777" w:rsidR="008A3FAD" w:rsidRDefault="00000000">
      <w:pPr>
        <w:pStyle w:val="af5"/>
        <w:numPr>
          <w:ilvl w:val="0"/>
          <w:numId w:val="46"/>
        </w:numPr>
        <w:rPr>
          <w:rFonts w:hAnsi="宋体" w:hint="eastAsia"/>
        </w:rPr>
      </w:pPr>
      <w:r>
        <w:rPr>
          <w:rFonts w:hAnsi="宋体" w:cs="宋体"/>
        </w:rPr>
        <w:t>在加注操作时，应能对氢罐压力、温度进行监测且能在安全位置进行加注控制</w:t>
      </w:r>
      <w:r>
        <w:rPr>
          <w:rFonts w:hAnsi="宋体" w:cs="宋体" w:hint="eastAsia"/>
        </w:rPr>
        <w:t>；</w:t>
      </w:r>
    </w:p>
    <w:p w14:paraId="4AB50994" w14:textId="77777777" w:rsidR="008A3FAD" w:rsidRDefault="00000000">
      <w:pPr>
        <w:pStyle w:val="af5"/>
        <w:numPr>
          <w:ilvl w:val="0"/>
          <w:numId w:val="46"/>
        </w:numPr>
        <w:rPr>
          <w:rFonts w:hAnsi="宋体" w:hint="eastAsia"/>
        </w:rPr>
      </w:pPr>
      <w:r>
        <w:rPr>
          <w:rFonts w:hAnsi="宋体" w:cs="宋体"/>
        </w:rPr>
        <w:t>氢气加注点</w:t>
      </w:r>
      <w:r>
        <w:rPr>
          <w:rFonts w:hAnsi="宋体" w:cs="宋体" w:hint="eastAsia"/>
        </w:rPr>
        <w:t>应</w:t>
      </w:r>
      <w:r>
        <w:rPr>
          <w:rFonts w:hAnsi="宋体" w:cs="宋体"/>
        </w:rPr>
        <w:t>设置可燃气体检测报警系统，系统检测到空气中的氢气含量达到0.4%时应触发声光报警信号，含量达到1%时应启动相应事故排风风机，含量达到1.6%时，应触发紧急切断互锁系统</w:t>
      </w:r>
      <w:r>
        <w:rPr>
          <w:rFonts w:hAnsi="宋体" w:cs="宋体" w:hint="eastAsia"/>
        </w:rPr>
        <w:t>；</w:t>
      </w:r>
    </w:p>
    <w:p w14:paraId="1E3D56DF" w14:textId="77777777" w:rsidR="008A3FAD" w:rsidRDefault="00000000">
      <w:pPr>
        <w:pStyle w:val="af5"/>
        <w:numPr>
          <w:ilvl w:val="0"/>
          <w:numId w:val="46"/>
        </w:numPr>
        <w:rPr>
          <w:rFonts w:hAnsi="宋体" w:hint="eastAsia"/>
        </w:rPr>
      </w:pPr>
      <w:r>
        <w:rPr>
          <w:rFonts w:hAnsi="宋体" w:cs="宋体"/>
        </w:rPr>
        <w:t>可燃气体检测报警系统的各项检测报警装置及仪器应定期进行检测，应由有资格的检测单位进行检测和提供相应检测报告</w:t>
      </w:r>
      <w:r>
        <w:rPr>
          <w:rFonts w:hAnsi="宋体" w:cs="宋体" w:hint="eastAsia"/>
        </w:rPr>
        <w:t>；</w:t>
      </w:r>
    </w:p>
    <w:p w14:paraId="323A7644" w14:textId="77777777" w:rsidR="008A3FAD" w:rsidRDefault="00000000">
      <w:pPr>
        <w:pStyle w:val="af5"/>
      </w:pPr>
      <w:r>
        <w:t>可燃气体报警声光信号应能手动消除，信号再次输入时应能</w:t>
      </w:r>
      <w:r>
        <w:rPr>
          <w:rFonts w:hint="eastAsia"/>
        </w:rPr>
        <w:t>正常</w:t>
      </w:r>
      <w:r>
        <w:t>启动。</w:t>
      </w:r>
    </w:p>
    <w:p w14:paraId="07D7CC99" w14:textId="77777777" w:rsidR="008A3FAD" w:rsidRDefault="00000000">
      <w:pPr>
        <w:pStyle w:val="afffffffff1"/>
        <w:rPr>
          <w:rFonts w:cs="宋体"/>
        </w:rPr>
      </w:pPr>
      <w:r>
        <w:rPr>
          <w:rFonts w:cs="宋体"/>
        </w:rPr>
        <w:t>管路安全保护</w:t>
      </w:r>
      <w:r>
        <w:rPr>
          <w:rFonts w:hint="eastAsia"/>
          <w:szCs w:val="21"/>
        </w:rPr>
        <w:t>应</w:t>
      </w:r>
      <w:r>
        <w:t>符合下列要求</w:t>
      </w:r>
      <w:r>
        <w:rPr>
          <w:rFonts w:hint="eastAsia"/>
        </w:rPr>
        <w:t>：</w:t>
      </w:r>
    </w:p>
    <w:p w14:paraId="7CD0BE67" w14:textId="77777777" w:rsidR="008A3FAD" w:rsidRDefault="00000000">
      <w:pPr>
        <w:pStyle w:val="af5"/>
        <w:numPr>
          <w:ilvl w:val="0"/>
          <w:numId w:val="47"/>
        </w:numPr>
      </w:pPr>
      <w:r>
        <w:t>氢气设备应严防泄漏，所用的仪表及阀门等零部件密封应确保良好，定期检查，对设备发生氢气泄露的部位应及时处理</w:t>
      </w:r>
      <w:r>
        <w:rPr>
          <w:rFonts w:hint="eastAsia"/>
        </w:rPr>
        <w:t>；</w:t>
      </w:r>
    </w:p>
    <w:p w14:paraId="6F2577CA" w14:textId="77777777" w:rsidR="008A3FAD" w:rsidRDefault="00000000">
      <w:pPr>
        <w:pStyle w:val="af5"/>
      </w:pPr>
      <w:r>
        <w:t>氢气管道、阀门及水封等出现冻结时，作业人员应使用热水或蒸汽加热进行解冻，且应佩戴面罩进行操作</w:t>
      </w:r>
      <w:r>
        <w:rPr>
          <w:rFonts w:hint="eastAsia"/>
        </w:rPr>
        <w:t>；</w:t>
      </w:r>
    </w:p>
    <w:p w14:paraId="0B7182B0" w14:textId="77777777" w:rsidR="008A3FAD" w:rsidRDefault="00000000">
      <w:pPr>
        <w:pStyle w:val="af5"/>
      </w:pPr>
      <w:r>
        <w:t>按照GB/T 7231、GB/T 2893和GB/T 2894的规定涂安全色，并设安全标志和标识</w:t>
      </w:r>
      <w:r>
        <w:rPr>
          <w:rFonts w:hint="eastAsia"/>
        </w:rPr>
        <w:t>。</w:t>
      </w:r>
    </w:p>
    <w:p w14:paraId="1CAF489F" w14:textId="77777777" w:rsidR="008A3FAD" w:rsidRDefault="00000000">
      <w:pPr>
        <w:pStyle w:val="afffffffff1"/>
      </w:pPr>
      <w:r>
        <w:t>消防</w:t>
      </w:r>
    </w:p>
    <w:p w14:paraId="0B81B576" w14:textId="77777777" w:rsidR="008A3FAD" w:rsidRDefault="00000000">
      <w:pPr>
        <w:pStyle w:val="af5"/>
        <w:numPr>
          <w:ilvl w:val="0"/>
          <w:numId w:val="48"/>
        </w:numPr>
      </w:pPr>
      <w:r>
        <w:rPr>
          <w:szCs w:val="21"/>
        </w:rPr>
        <w:lastRenderedPageBreak/>
        <w:t>氢燃料电池</w:t>
      </w:r>
      <w:r>
        <w:rPr>
          <w:rFonts w:hint="eastAsia"/>
          <w:szCs w:val="21"/>
        </w:rPr>
        <w:t>系统</w:t>
      </w:r>
      <w:r>
        <w:t>、</w:t>
      </w:r>
      <w:r>
        <w:rPr>
          <w:rFonts w:hint="eastAsia"/>
        </w:rPr>
        <w:t>氢罐</w:t>
      </w:r>
      <w:r>
        <w:t>、</w:t>
      </w:r>
      <w:r>
        <w:rPr>
          <w:rFonts w:hint="eastAsia"/>
          <w:szCs w:val="21"/>
        </w:rPr>
        <w:t>动力电池系统</w:t>
      </w:r>
      <w:r>
        <w:t>及其他可能出现可燃气体的处所，均应根据ISO/TR15916设置合适的火灾探测器</w:t>
      </w:r>
      <w:r>
        <w:rPr>
          <w:rFonts w:hint="eastAsia"/>
        </w:rPr>
        <w:t>及</w:t>
      </w:r>
      <w:r>
        <w:t>固定式自动探火或火灾报警系统</w:t>
      </w:r>
      <w:r>
        <w:rPr>
          <w:rFonts w:hint="eastAsia"/>
        </w:rPr>
        <w:t>；</w:t>
      </w:r>
    </w:p>
    <w:p w14:paraId="0A1B1E1A" w14:textId="77777777" w:rsidR="008A3FAD" w:rsidRDefault="00000000">
      <w:pPr>
        <w:pStyle w:val="af5"/>
      </w:pPr>
      <w:r>
        <w:rPr>
          <w:szCs w:val="21"/>
        </w:rPr>
        <w:t>氢燃料电池</w:t>
      </w:r>
      <w:r>
        <w:rPr>
          <w:rFonts w:hint="eastAsia"/>
          <w:szCs w:val="21"/>
        </w:rPr>
        <w:t>系统</w:t>
      </w:r>
      <w:r>
        <w:t>、</w:t>
      </w:r>
      <w:r>
        <w:rPr>
          <w:rFonts w:hint="eastAsia"/>
        </w:rPr>
        <w:t>氢罐</w:t>
      </w:r>
      <w:r>
        <w:t>、</w:t>
      </w:r>
      <w:r>
        <w:rPr>
          <w:rFonts w:hint="eastAsia"/>
          <w:szCs w:val="21"/>
        </w:rPr>
        <w:t>动力电池系统</w:t>
      </w:r>
      <w:r>
        <w:t>等应设置符合《国际消防安全系统规则》的固定式灭火系统</w:t>
      </w:r>
      <w:r>
        <w:rPr>
          <w:rFonts w:hint="eastAsia"/>
        </w:rPr>
        <w:t>；</w:t>
      </w:r>
    </w:p>
    <w:p w14:paraId="4D5E81B1" w14:textId="77777777" w:rsidR="008A3FAD" w:rsidRDefault="00000000">
      <w:pPr>
        <w:pStyle w:val="af5"/>
      </w:pPr>
      <w:r>
        <w:rPr>
          <w:rFonts w:cs="黑体"/>
        </w:rPr>
        <w:t>c</w:t>
      </w:r>
      <w:r>
        <w:t>灭火系统应与氢燃料电池及</w:t>
      </w:r>
      <w:r>
        <w:rPr>
          <w:rFonts w:hint="eastAsia"/>
          <w:szCs w:val="21"/>
        </w:rPr>
        <w:t>动力电池系统</w:t>
      </w:r>
      <w:r>
        <w:t>的火灾特性相适应</w:t>
      </w:r>
      <w:r>
        <w:rPr>
          <w:rFonts w:hint="eastAsia"/>
        </w:rPr>
        <w:t>；</w:t>
      </w:r>
    </w:p>
    <w:p w14:paraId="3DA2509F" w14:textId="77777777" w:rsidR="008A3FAD" w:rsidRDefault="00000000">
      <w:pPr>
        <w:pStyle w:val="af5"/>
      </w:pPr>
      <w:r>
        <w:rPr>
          <w:rFonts w:hint="eastAsia"/>
        </w:rPr>
        <w:t>动力电池系统</w:t>
      </w:r>
      <w:r>
        <w:t>固定式灭火系统的灭火剂量和控制系统应保证该系统在电池复燃时再次释放，即具备两次以上灭火剂喷发功能，每次喷发灭火剂容量须有效扑灭初起火灾。</w:t>
      </w:r>
    </w:p>
    <w:p w14:paraId="16FBBE21" w14:textId="77777777" w:rsidR="008A3FAD" w:rsidRDefault="00000000">
      <w:pPr>
        <w:pStyle w:val="afffffffff1"/>
      </w:pPr>
      <w:r>
        <w:rPr>
          <w:rFonts w:hint="eastAsia"/>
        </w:rPr>
        <w:t>系统运行安全应符合下列要求：</w:t>
      </w:r>
    </w:p>
    <w:p w14:paraId="52B9ADB6" w14:textId="77777777" w:rsidR="008A3FAD" w:rsidRDefault="00000000">
      <w:pPr>
        <w:pStyle w:val="af5"/>
        <w:numPr>
          <w:ilvl w:val="0"/>
          <w:numId w:val="49"/>
        </w:numPr>
      </w:pPr>
      <w:r>
        <w:t>仅当所有防护装置均已到位且起作用时，燃料电池发电系统</w:t>
      </w:r>
      <w:r>
        <w:rPr>
          <w:rFonts w:hint="eastAsia"/>
        </w:rPr>
        <w:t>方可</w:t>
      </w:r>
      <w:r>
        <w:t>运行</w:t>
      </w:r>
      <w:r>
        <w:rPr>
          <w:rFonts w:hint="eastAsia"/>
        </w:rPr>
        <w:t>；</w:t>
      </w:r>
    </w:p>
    <w:p w14:paraId="384A0206" w14:textId="77777777" w:rsidR="008A3FAD" w:rsidRDefault="00000000">
      <w:pPr>
        <w:pStyle w:val="af5"/>
      </w:pPr>
      <w:r>
        <w:rPr>
          <w:rFonts w:hint="eastAsia"/>
        </w:rPr>
        <w:t>应</w:t>
      </w:r>
      <w:r>
        <w:t>采用联锁装置</w:t>
      </w:r>
      <w:r>
        <w:rPr>
          <w:rFonts w:hint="eastAsia"/>
        </w:rPr>
        <w:t>；</w:t>
      </w:r>
    </w:p>
    <w:p w14:paraId="0A3C7108" w14:textId="77777777" w:rsidR="008A3FAD" w:rsidRDefault="00000000">
      <w:pPr>
        <w:pStyle w:val="af5"/>
      </w:pPr>
      <w:r>
        <w:t>燃料电池设备停止后，在设备自动模式满足安全条件下，</w:t>
      </w:r>
      <w:r>
        <w:rPr>
          <w:rFonts w:hint="eastAsia"/>
        </w:rPr>
        <w:t>应具备</w:t>
      </w:r>
      <w:r>
        <w:t>设备</w:t>
      </w:r>
      <w:r>
        <w:rPr>
          <w:rFonts w:hint="eastAsia"/>
        </w:rPr>
        <w:t>自动</w:t>
      </w:r>
      <w:r>
        <w:t>重新启动</w:t>
      </w:r>
      <w:r>
        <w:rPr>
          <w:rFonts w:hint="eastAsia"/>
        </w:rPr>
        <w:t>功能；</w:t>
      </w:r>
    </w:p>
    <w:p w14:paraId="4BC8F302" w14:textId="77777777" w:rsidR="008A3FAD" w:rsidRDefault="00000000">
      <w:pPr>
        <w:pStyle w:val="af5"/>
      </w:pPr>
      <w:r>
        <w:t>应能通过人为驱动控制系统重新启动燃料电池发电系统，</w:t>
      </w:r>
      <w:r>
        <w:rPr>
          <w:rFonts w:hint="eastAsia"/>
        </w:rPr>
        <w:t>且</w:t>
      </w:r>
      <w:r>
        <w:t>应确保该重新启动操作不具有危险性</w:t>
      </w:r>
      <w:r>
        <w:rPr>
          <w:rFonts w:hint="eastAsia"/>
        </w:rPr>
        <w:t>；</w:t>
      </w:r>
    </w:p>
    <w:p w14:paraId="771F68EB" w14:textId="77777777" w:rsidR="008A3FAD" w:rsidRDefault="00000000">
      <w:pPr>
        <w:pStyle w:val="af5"/>
      </w:pPr>
      <w:r>
        <w:t>系统应</w:t>
      </w:r>
      <w:r>
        <w:rPr>
          <w:rFonts w:hint="eastAsia"/>
        </w:rPr>
        <w:t>具备</w:t>
      </w:r>
      <w:r>
        <w:t>安全关闭和受控关闭功能</w:t>
      </w:r>
      <w:r>
        <w:rPr>
          <w:rFonts w:hint="eastAsia"/>
        </w:rPr>
        <w:t>。</w:t>
      </w:r>
    </w:p>
    <w:p w14:paraId="0B08ED5F" w14:textId="77777777" w:rsidR="008A3FAD" w:rsidRDefault="00000000">
      <w:pPr>
        <w:rPr>
          <w:rFonts w:ascii="宋体" w:hAnsi="宋体" w:cs="黑体" w:hint="eastAsia"/>
        </w:rPr>
      </w:pPr>
      <w:r>
        <w:rPr>
          <w:rFonts w:ascii="黑体" w:eastAsia="黑体" w:hAnsi="黑体" w:cs="黑体" w:hint="eastAsia"/>
        </w:rPr>
        <w:t>6</w:t>
      </w:r>
      <w:r>
        <w:rPr>
          <w:rFonts w:ascii="黑体" w:eastAsia="黑体" w:hAnsi="黑体" w:cs="黑体"/>
        </w:rPr>
        <w:t>.5.</w:t>
      </w:r>
      <w:r>
        <w:rPr>
          <w:rFonts w:ascii="黑体" w:eastAsia="黑体" w:hAnsi="黑体" w:cs="黑体" w:hint="eastAsia"/>
        </w:rPr>
        <w:t>8</w:t>
      </w:r>
      <w:r>
        <w:rPr>
          <w:rFonts w:ascii="黑体" w:eastAsia="黑体" w:hAnsi="黑体" w:cs="黑体"/>
        </w:rPr>
        <w:t xml:space="preserve">  </w:t>
      </w:r>
      <w:r>
        <w:rPr>
          <w:rFonts w:ascii="宋体" w:hAnsi="Times New Roman"/>
          <w:kern w:val="0"/>
          <w:szCs w:val="20"/>
        </w:rPr>
        <w:t>系统</w:t>
      </w:r>
      <w:r>
        <w:rPr>
          <w:rFonts w:ascii="宋体" w:hAnsi="Times New Roman" w:hint="eastAsia"/>
          <w:kern w:val="0"/>
          <w:szCs w:val="20"/>
        </w:rPr>
        <w:t>操作</w:t>
      </w:r>
      <w:r>
        <w:rPr>
          <w:rFonts w:ascii="宋体" w:hAnsi="Times New Roman"/>
          <w:kern w:val="0"/>
          <w:szCs w:val="20"/>
        </w:rPr>
        <w:t>安全应符合下列要求</w:t>
      </w:r>
      <w:r>
        <w:rPr>
          <w:rFonts w:ascii="宋体" w:hAnsi="宋体" w:cs="黑体"/>
        </w:rPr>
        <w:t>：</w:t>
      </w:r>
    </w:p>
    <w:p w14:paraId="7086FB7F" w14:textId="77777777" w:rsidR="008A3FAD" w:rsidRDefault="00000000">
      <w:pPr>
        <w:pStyle w:val="af5"/>
        <w:numPr>
          <w:ilvl w:val="0"/>
          <w:numId w:val="50"/>
        </w:numPr>
      </w:pPr>
      <w:r>
        <w:rPr>
          <w:rFonts w:hint="eastAsia"/>
        </w:rPr>
        <w:t>应具有两种基本操作模式：“接通”和“断开；</w:t>
      </w:r>
    </w:p>
    <w:p w14:paraId="056B3ADD" w14:textId="77777777" w:rsidR="008A3FAD" w:rsidRDefault="00000000">
      <w:pPr>
        <w:pStyle w:val="af5"/>
      </w:pPr>
      <w:r>
        <w:rPr>
          <w:rFonts w:hint="eastAsia"/>
        </w:rPr>
        <w:t>应具有两种主要过渡形式：“启动”和“关闭；</w:t>
      </w:r>
    </w:p>
    <w:p w14:paraId="7DBDF058" w14:textId="77777777" w:rsidR="008A3FAD" w:rsidRDefault="00000000">
      <w:pPr>
        <w:pStyle w:val="af5"/>
      </w:pPr>
      <w:r>
        <w:rPr>
          <w:rFonts w:hint="eastAsia"/>
        </w:rPr>
        <w:t xml:space="preserve"> “启动”应是接受外部信号后开始从“断开”模式过渡到“接通”模式。“关闭”应自动从“接通”模式过渡到“断开”模式。“关闭”应由外部信号启动，或由燃料电池发电系统控制器根据超限情况发送的内部信号启动；</w:t>
      </w:r>
    </w:p>
    <w:p w14:paraId="7ABA6BC8" w14:textId="77777777" w:rsidR="008A3FAD" w:rsidRDefault="00000000">
      <w:pPr>
        <w:pStyle w:val="af5"/>
      </w:pPr>
      <w:r>
        <w:rPr>
          <w:rFonts w:hAnsi="宋体" w:cs="宋体" w:hint="eastAsia"/>
          <w:szCs w:val="21"/>
        </w:rPr>
        <w:t>所选择的操作模式应优先于其他控制系统运行，但不能超越安全关闭命令。</w:t>
      </w:r>
    </w:p>
    <w:p w14:paraId="5CC5D5C2" w14:textId="77777777" w:rsidR="008A3FAD" w:rsidRDefault="00000000">
      <w:pPr>
        <w:pStyle w:val="affd"/>
        <w:spacing w:before="120" w:after="120"/>
      </w:pPr>
      <w:r>
        <w:t>功率分配</w:t>
      </w:r>
      <w:r>
        <w:rPr>
          <w:rFonts w:hint="eastAsia"/>
        </w:rPr>
        <w:t>及控制</w:t>
      </w:r>
      <w:r>
        <w:t>模块</w:t>
      </w:r>
    </w:p>
    <w:p w14:paraId="2CA6684B" w14:textId="77777777" w:rsidR="008A3FAD" w:rsidRDefault="00000000">
      <w:pPr>
        <w:pStyle w:val="afffffffff1"/>
      </w:pPr>
      <w:r>
        <w:t>功率分配模块</w:t>
      </w:r>
      <w:r>
        <w:rPr>
          <w:rFonts w:hint="eastAsia"/>
        </w:rPr>
        <w:t>应</w:t>
      </w:r>
      <w:r>
        <w:t>包含输入端口、输出端口、功率分配网络、控制电路、维护电路等</w:t>
      </w:r>
      <w:r>
        <w:rPr>
          <w:rFonts w:hint="eastAsia"/>
        </w:rPr>
        <w:t>部分</w:t>
      </w:r>
      <w:r>
        <w:t>。</w:t>
      </w:r>
    </w:p>
    <w:p w14:paraId="06FBBF8B" w14:textId="77777777" w:rsidR="008A3FAD" w:rsidRDefault="00000000">
      <w:pPr>
        <w:pStyle w:val="afffffffff1"/>
        <w:rPr>
          <w:rFonts w:ascii="黑体" w:eastAsia="黑体" w:hAnsi="黑体" w:hint="eastAsia"/>
        </w:rPr>
      </w:pPr>
      <w:r>
        <w:rPr>
          <w:rFonts w:hint="eastAsia"/>
        </w:rPr>
        <w:t>输入端口应具备接收功率信号的功能，符合国标GB/T 17215.321要求：</w:t>
      </w:r>
    </w:p>
    <w:p w14:paraId="02EFF71D" w14:textId="77777777" w:rsidR="008A3FAD" w:rsidRDefault="00000000">
      <w:pPr>
        <w:pStyle w:val="af5"/>
        <w:numPr>
          <w:ilvl w:val="0"/>
          <w:numId w:val="51"/>
        </w:numPr>
      </w:pPr>
      <w:r>
        <w:rPr>
          <w:rFonts w:hint="eastAsia"/>
        </w:rPr>
        <w:t>输入端口在不同负载下应具有良好的稳定性和响应速度，且能够适应不同的负荷特性；</w:t>
      </w:r>
    </w:p>
    <w:p w14:paraId="4AE7CF2E" w14:textId="77777777" w:rsidR="008A3FAD" w:rsidRDefault="00000000">
      <w:pPr>
        <w:pStyle w:val="af5"/>
      </w:pPr>
      <w:r>
        <w:rPr>
          <w:rFonts w:hint="eastAsia"/>
        </w:rPr>
        <w:t>输入端口应满足国家标准规定的防护等级要求；</w:t>
      </w:r>
    </w:p>
    <w:p w14:paraId="3A03E1AB" w14:textId="77777777" w:rsidR="008A3FAD" w:rsidRDefault="00000000">
      <w:pPr>
        <w:pStyle w:val="af5"/>
      </w:pPr>
      <w:r>
        <w:rPr>
          <w:rFonts w:hint="eastAsia"/>
        </w:rPr>
        <w:t>输入端口应具有良好的可靠性和安全性，应适应不同的工作环境和使用条件；</w:t>
      </w:r>
    </w:p>
    <w:p w14:paraId="41F53251" w14:textId="77777777" w:rsidR="008A3FAD" w:rsidRDefault="00000000">
      <w:pPr>
        <w:pStyle w:val="af5"/>
      </w:pPr>
      <w:r>
        <w:rPr>
          <w:rFonts w:hint="eastAsia"/>
        </w:rPr>
        <w:t>输入端口应提供符合国家标准规定的接口和通信功能，应与其他装置进行数据交换和通信。</w:t>
      </w:r>
    </w:p>
    <w:p w14:paraId="7698150E" w14:textId="77777777" w:rsidR="008A3FAD" w:rsidRDefault="00000000">
      <w:pPr>
        <w:pStyle w:val="afffffffff1"/>
      </w:pPr>
      <w:r>
        <w:rPr>
          <w:rFonts w:hint="eastAsia"/>
        </w:rPr>
        <w:t>输出端口应具备输出功率信号的功能，符合国标GB/T 17215.322要求。</w:t>
      </w:r>
    </w:p>
    <w:p w14:paraId="436CACCD" w14:textId="77777777" w:rsidR="008A3FAD" w:rsidRDefault="00000000">
      <w:pPr>
        <w:pStyle w:val="af5"/>
        <w:numPr>
          <w:ilvl w:val="0"/>
          <w:numId w:val="52"/>
        </w:numPr>
      </w:pPr>
      <w:r>
        <w:rPr>
          <w:rFonts w:hint="eastAsia"/>
        </w:rPr>
        <w:t>输出端口额定电压和额定频率应符合国家标准规定的电力系统电压等级和频率；</w:t>
      </w:r>
    </w:p>
    <w:p w14:paraId="3B2E11E9" w14:textId="77777777" w:rsidR="008A3FAD" w:rsidRDefault="00000000">
      <w:pPr>
        <w:pStyle w:val="af5"/>
      </w:pPr>
      <w:r>
        <w:rPr>
          <w:rFonts w:hint="eastAsia"/>
        </w:rPr>
        <w:t>输出端口应具有一定的输出功率范围和适应不同负载特性的能力；</w:t>
      </w:r>
    </w:p>
    <w:p w14:paraId="7171DE86" w14:textId="77777777" w:rsidR="008A3FAD" w:rsidRDefault="00000000">
      <w:pPr>
        <w:pStyle w:val="af5"/>
      </w:pPr>
      <w:r>
        <w:rPr>
          <w:rFonts w:hint="eastAsia"/>
        </w:rPr>
        <w:t>输出端口应满足国家标准规定的基本误差限和准确度等级要求；</w:t>
      </w:r>
    </w:p>
    <w:p w14:paraId="3872B470" w14:textId="77777777" w:rsidR="008A3FAD" w:rsidRDefault="00000000">
      <w:pPr>
        <w:pStyle w:val="af5"/>
      </w:pPr>
      <w:r>
        <w:rPr>
          <w:rFonts w:hint="eastAsia"/>
        </w:rPr>
        <w:t>输出端口在不同负载下的相位差应满足国家标准规定的限制。</w:t>
      </w:r>
    </w:p>
    <w:p w14:paraId="23810CF9" w14:textId="77777777" w:rsidR="008A3FAD" w:rsidRDefault="00000000">
      <w:pPr>
        <w:pStyle w:val="afffffffff1"/>
      </w:pPr>
      <w:r>
        <w:t>功率分配网络应具备将各输入的功率信号分配到输出端口</w:t>
      </w:r>
      <w:r>
        <w:rPr>
          <w:rFonts w:hint="eastAsia"/>
        </w:rPr>
        <w:t>的功能，</w:t>
      </w:r>
      <w:r>
        <w:t>宜通过使用功分器、混频器、耦合器等组件来实现。</w:t>
      </w:r>
    </w:p>
    <w:p w14:paraId="28DB6F98" w14:textId="77777777" w:rsidR="008A3FAD" w:rsidRDefault="00000000">
      <w:pPr>
        <w:pStyle w:val="afffffffff1"/>
      </w:pPr>
      <w:r>
        <w:t>控制电路应具备将控制功率分配网络的功能</w:t>
      </w:r>
      <w:r>
        <w:rPr>
          <w:rFonts w:hint="eastAsia"/>
        </w:rPr>
        <w:t>，</w:t>
      </w:r>
      <w:r>
        <w:t>宜通过使用开关、变压器、可变电容器等组件来实现。</w:t>
      </w:r>
      <w:r>
        <w:rPr>
          <w:rFonts w:hint="eastAsia"/>
        </w:rPr>
        <w:t xml:space="preserve"> </w:t>
      </w:r>
    </w:p>
    <w:p w14:paraId="0554EA79" w14:textId="77777777" w:rsidR="008A3FAD" w:rsidRDefault="00000000">
      <w:pPr>
        <w:pStyle w:val="afffffffff1"/>
      </w:pPr>
      <w:r>
        <w:t>维护电路应具备监测功率分配模块的状态并提供故障保护功能</w:t>
      </w:r>
      <w:r>
        <w:rPr>
          <w:rFonts w:hint="eastAsia"/>
        </w:rPr>
        <w:t>，</w:t>
      </w:r>
      <w:r>
        <w:t>宜通过使用传感器、熔断器等组件来实现。</w:t>
      </w:r>
    </w:p>
    <w:p w14:paraId="25B3C5AD" w14:textId="77777777" w:rsidR="008A3FAD" w:rsidRDefault="008A3FAD">
      <w:pPr>
        <w:pStyle w:val="affc"/>
        <w:numPr>
          <w:ilvl w:val="0"/>
          <w:numId w:val="0"/>
        </w:numPr>
        <w:spacing w:before="240" w:after="240"/>
      </w:pPr>
    </w:p>
    <w:p w14:paraId="7CB34DA5" w14:textId="77777777" w:rsidR="008A3FAD" w:rsidRDefault="008A3FAD">
      <w:pPr>
        <w:pStyle w:val="afffff5"/>
        <w:ind w:firstLine="420"/>
        <w:sectPr w:rsidR="008A3FAD">
          <w:pgSz w:w="11906" w:h="16838"/>
          <w:pgMar w:top="1928" w:right="1134" w:bottom="1134" w:left="1134" w:header="1418" w:footer="1134" w:gutter="284"/>
          <w:pgNumType w:start="1"/>
          <w:cols w:space="425"/>
          <w:formProt w:val="0"/>
          <w:docGrid w:linePitch="312"/>
        </w:sectPr>
      </w:pPr>
    </w:p>
    <w:p w14:paraId="05B69DF1" w14:textId="77777777" w:rsidR="008A3FAD" w:rsidRDefault="008A3FAD">
      <w:pPr>
        <w:pStyle w:val="af8"/>
        <w:rPr>
          <w:rFonts w:hint="eastAsia"/>
        </w:rPr>
      </w:pPr>
      <w:bookmarkStart w:id="52" w:name="BookMark5"/>
      <w:bookmarkEnd w:id="24"/>
    </w:p>
    <w:p w14:paraId="49D5E8B6" w14:textId="77777777" w:rsidR="008A3FAD" w:rsidRDefault="008A3FAD">
      <w:pPr>
        <w:pStyle w:val="afe"/>
      </w:pPr>
    </w:p>
    <w:p w14:paraId="2E4D76DE" w14:textId="77777777" w:rsidR="008A3FAD" w:rsidRDefault="00000000">
      <w:pPr>
        <w:pStyle w:val="aff3"/>
        <w:spacing w:after="120"/>
      </w:pPr>
      <w:r>
        <w:br/>
      </w:r>
      <w:bookmarkStart w:id="53" w:name="_Toc192512635"/>
      <w:r>
        <w:rPr>
          <w:rFonts w:hint="eastAsia"/>
        </w:rPr>
        <w:t>（资料性）</w:t>
      </w:r>
      <w:r>
        <w:br/>
      </w:r>
      <w:r>
        <w:rPr>
          <w:rFonts w:hint="eastAsia"/>
        </w:rPr>
        <w:t>检修维护</w:t>
      </w:r>
      <w:bookmarkEnd w:id="53"/>
    </w:p>
    <w:p w14:paraId="6CD5F9F0" w14:textId="77777777" w:rsidR="008A3FAD" w:rsidRDefault="00000000">
      <w:pPr>
        <w:pStyle w:val="affffffffff8"/>
      </w:pPr>
      <w:r>
        <w:t>系统的调节、润滑与维护点应位于可造成工作人员人身伤害或健康受损的区域外</w:t>
      </w:r>
      <w:r>
        <w:rPr>
          <w:rFonts w:hint="eastAsia"/>
        </w:rPr>
        <w:t>；</w:t>
      </w:r>
    </w:p>
    <w:p w14:paraId="67E25D7A" w14:textId="77777777" w:rsidR="008A3FAD" w:rsidRDefault="00000000">
      <w:pPr>
        <w:pStyle w:val="affffffffff8"/>
      </w:pPr>
      <w:r>
        <w:t>产品维护手册中</w:t>
      </w:r>
      <w:r>
        <w:rPr>
          <w:rFonts w:hint="eastAsia"/>
        </w:rPr>
        <w:t>应</w:t>
      </w:r>
      <w:r>
        <w:t>提供必要的避免危及人身安全或健康的维护说明</w:t>
      </w:r>
      <w:r>
        <w:rPr>
          <w:rFonts w:hint="eastAsia"/>
        </w:rPr>
        <w:t>；</w:t>
      </w:r>
    </w:p>
    <w:p w14:paraId="722903BC" w14:textId="77777777" w:rsidR="008A3FAD" w:rsidRDefault="00000000">
      <w:pPr>
        <w:pStyle w:val="affffffffff8"/>
      </w:pPr>
      <w:r>
        <w:t>当燃料电池发电系统处于停止状态时，应能够对其进行调节、维护、修理、清理和维修作业。如果在燃料电池发电系统运行过程中需要进行调节、维护、修理、清理和维修作业，燃料电池发电系统在设计时应保证进行上述作业时不会发生人身伤害</w:t>
      </w:r>
      <w:r>
        <w:rPr>
          <w:rFonts w:hint="eastAsia"/>
        </w:rPr>
        <w:t>；</w:t>
      </w:r>
    </w:p>
    <w:p w14:paraId="2A812B26" w14:textId="77777777" w:rsidR="008A3FAD" w:rsidRDefault="00000000">
      <w:pPr>
        <w:pStyle w:val="affffffffff8"/>
      </w:pPr>
      <w:r>
        <w:t>需经常进行更换的自动化燃料电池发电系统部件应能够进行拆卸和更换而不会造成人身伤害</w:t>
      </w:r>
      <w:r>
        <w:rPr>
          <w:rFonts w:hint="eastAsia"/>
        </w:rPr>
        <w:t>；</w:t>
      </w:r>
    </w:p>
    <w:p w14:paraId="3861215A" w14:textId="77777777" w:rsidR="008A3FAD" w:rsidRDefault="00000000">
      <w:pPr>
        <w:pStyle w:val="affffffffff8"/>
      </w:pPr>
      <w:r>
        <w:t>产品技术说明书应说明操作人员使用必要的技术工具（例如专用工具、测定仪表等）能够进行上述各种作业</w:t>
      </w:r>
      <w:r>
        <w:rPr>
          <w:rFonts w:hint="eastAsia"/>
        </w:rPr>
        <w:t>；</w:t>
      </w:r>
    </w:p>
    <w:p w14:paraId="01495DA7" w14:textId="77777777" w:rsidR="008A3FAD" w:rsidRDefault="00000000">
      <w:pPr>
        <w:pStyle w:val="affffffffff8"/>
      </w:pPr>
      <w:r>
        <w:t>当燃料电池发电系统出于保护人身健康的目的，提供安全指示或图示时，应采用能够抵御使用环境影响的永久性措施进行显示。</w:t>
      </w:r>
    </w:p>
    <w:p w14:paraId="769A8EFB" w14:textId="77777777" w:rsidR="008A3FAD" w:rsidRDefault="008A3FAD">
      <w:pPr>
        <w:pStyle w:val="afffff5"/>
        <w:ind w:firstLine="420"/>
      </w:pPr>
    </w:p>
    <w:p w14:paraId="226C1FAF" w14:textId="77777777" w:rsidR="008A3FAD" w:rsidRDefault="008A3FAD">
      <w:pPr>
        <w:pStyle w:val="afffff5"/>
        <w:ind w:firstLine="420"/>
      </w:pPr>
    </w:p>
    <w:p w14:paraId="29083C31" w14:textId="77777777" w:rsidR="008A3FAD" w:rsidRDefault="008A3FAD">
      <w:pPr>
        <w:pStyle w:val="afffff5"/>
        <w:ind w:firstLine="420"/>
      </w:pPr>
    </w:p>
    <w:p w14:paraId="3BF9DF72" w14:textId="77777777" w:rsidR="008A3FAD" w:rsidRDefault="008A3FAD">
      <w:pPr>
        <w:pStyle w:val="afffff5"/>
        <w:ind w:firstLine="420"/>
      </w:pPr>
    </w:p>
    <w:p w14:paraId="7BFDE25D" w14:textId="77777777" w:rsidR="008A3FAD" w:rsidRDefault="008A3FAD">
      <w:pPr>
        <w:pStyle w:val="afffff5"/>
        <w:ind w:firstLine="420"/>
      </w:pPr>
    </w:p>
    <w:p w14:paraId="55E214B4" w14:textId="77777777" w:rsidR="008A3FAD" w:rsidRDefault="008A3FAD">
      <w:pPr>
        <w:pStyle w:val="afffff5"/>
        <w:ind w:firstLine="420"/>
      </w:pPr>
    </w:p>
    <w:p w14:paraId="5D410E3D" w14:textId="77777777" w:rsidR="008A3FAD" w:rsidRDefault="00000000">
      <w:pPr>
        <w:pStyle w:val="afffff5"/>
        <w:ind w:firstLineChars="0" w:firstLine="0"/>
        <w:jc w:val="center"/>
      </w:pPr>
      <w:bookmarkStart w:id="54" w:name="BookMark8"/>
      <w:bookmarkEnd w:id="52"/>
      <w:r>
        <w:rPr>
          <w:rFonts w:hint="eastAsia"/>
          <w:noProof/>
        </w:rPr>
        <w:drawing>
          <wp:inline distT="0" distB="0" distL="0" distR="0" wp14:anchorId="4C992BB2" wp14:editId="2B2E310B">
            <wp:extent cx="1485900" cy="317500"/>
            <wp:effectExtent l="0" t="0" r="0" b="6350"/>
            <wp:docPr id="1288584125" name="图片 1"/>
            <wp:cNvGraphicFramePr/>
            <a:graphic xmlns:a="http://schemas.openxmlformats.org/drawingml/2006/main">
              <a:graphicData uri="http://schemas.openxmlformats.org/drawingml/2006/picture">
                <pic:pic xmlns:pic="http://schemas.openxmlformats.org/drawingml/2006/picture">
                  <pic:nvPicPr>
                    <pic:cNvPr id="1288584125"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4"/>
    </w:p>
    <w:sectPr w:rsidR="008A3FAD">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984DA" w14:textId="77777777" w:rsidR="00562A9F" w:rsidRDefault="00562A9F">
      <w:pPr>
        <w:spacing w:line="240" w:lineRule="auto"/>
      </w:pPr>
      <w:r>
        <w:separator/>
      </w:r>
    </w:p>
  </w:endnote>
  <w:endnote w:type="continuationSeparator" w:id="0">
    <w:p w14:paraId="5D81A9B6" w14:textId="77777777" w:rsidR="00562A9F" w:rsidRDefault="00562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2">
    <w:altName w:val="宋体"/>
    <w:charset w:val="86"/>
    <w:family w:val="auto"/>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DA715" w14:textId="77777777" w:rsidR="008A3FAD"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1A6BD" w14:textId="77777777" w:rsidR="008A3FAD" w:rsidRDefault="008A3FAD">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5748" w14:textId="77777777" w:rsidR="008A3FAD"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0CF95" w14:textId="77777777" w:rsidR="00562A9F" w:rsidRDefault="00562A9F">
      <w:pPr>
        <w:spacing w:line="240" w:lineRule="auto"/>
      </w:pPr>
      <w:r>
        <w:separator/>
      </w:r>
    </w:p>
  </w:footnote>
  <w:footnote w:type="continuationSeparator" w:id="0">
    <w:p w14:paraId="5092D792" w14:textId="77777777" w:rsidR="00562A9F" w:rsidRDefault="00562A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F9E67" w14:textId="77777777" w:rsidR="008A3FAD"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D7EE0" w14:textId="77777777" w:rsidR="008A3FAD" w:rsidRDefault="008A3FAD">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2B9EF" w14:textId="77777777" w:rsidR="008A3FAD"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T/CPHA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2F01D" w14:textId="49A45DC1" w:rsidR="008A3FAD" w:rsidRDefault="00000000">
    <w:pPr>
      <w:pStyle w:val="afffffa"/>
      <w:rPr>
        <w:rFonts w:hint="eastAsia"/>
      </w:rPr>
    </w:pPr>
    <w:r>
      <w:fldChar w:fldCharType="begin"/>
    </w:r>
    <w:r>
      <w:instrText xml:space="preserve"> STYLEREF  标准文件_文件编号  \* MERGEFORMAT </w:instrText>
    </w:r>
    <w:r>
      <w:fldChar w:fldCharType="separate"/>
    </w:r>
    <w:r w:rsidR="004045C5">
      <w:rPr>
        <w:rFonts w:hint="eastAsia"/>
        <w:noProof/>
      </w:rPr>
      <w:t>T/CPHA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336422751">
    <w:abstractNumId w:val="0"/>
  </w:num>
  <w:num w:numId="2" w16cid:durableId="1666200924">
    <w:abstractNumId w:val="27"/>
  </w:num>
  <w:num w:numId="3" w16cid:durableId="1776098692">
    <w:abstractNumId w:val="5"/>
  </w:num>
  <w:num w:numId="4" w16cid:durableId="1379471579">
    <w:abstractNumId w:val="23"/>
  </w:num>
  <w:num w:numId="5" w16cid:durableId="1575240015">
    <w:abstractNumId w:val="18"/>
  </w:num>
  <w:num w:numId="6" w16cid:durableId="1104374942">
    <w:abstractNumId w:val="13"/>
  </w:num>
  <w:num w:numId="7" w16cid:durableId="1256936485">
    <w:abstractNumId w:val="8"/>
  </w:num>
  <w:num w:numId="8" w16cid:durableId="1931044065">
    <w:abstractNumId w:val="3"/>
  </w:num>
  <w:num w:numId="9" w16cid:durableId="1495995425">
    <w:abstractNumId w:val="9"/>
  </w:num>
  <w:num w:numId="10" w16cid:durableId="1917781913">
    <w:abstractNumId w:val="16"/>
  </w:num>
  <w:num w:numId="11" w16cid:durableId="1666130016">
    <w:abstractNumId w:val="25"/>
  </w:num>
  <w:num w:numId="12" w16cid:durableId="2051883058">
    <w:abstractNumId w:val="11"/>
  </w:num>
  <w:num w:numId="13" w16cid:durableId="117916237">
    <w:abstractNumId w:val="12"/>
  </w:num>
  <w:num w:numId="14" w16cid:durableId="1397782630">
    <w:abstractNumId w:val="7"/>
  </w:num>
  <w:num w:numId="15" w16cid:durableId="830830781">
    <w:abstractNumId w:val="19"/>
  </w:num>
  <w:num w:numId="16" w16cid:durableId="2064449559">
    <w:abstractNumId w:val="21"/>
  </w:num>
  <w:num w:numId="17" w16cid:durableId="228998695">
    <w:abstractNumId w:val="17"/>
  </w:num>
  <w:num w:numId="18" w16cid:durableId="1416626942">
    <w:abstractNumId w:val="29"/>
  </w:num>
  <w:num w:numId="19" w16cid:durableId="524249788">
    <w:abstractNumId w:val="15"/>
  </w:num>
  <w:num w:numId="20" w16cid:durableId="859078626">
    <w:abstractNumId w:val="1"/>
  </w:num>
  <w:num w:numId="21" w16cid:durableId="881676499">
    <w:abstractNumId w:val="10"/>
  </w:num>
  <w:num w:numId="22" w16cid:durableId="51124261">
    <w:abstractNumId w:val="30"/>
  </w:num>
  <w:num w:numId="23" w16cid:durableId="858199422">
    <w:abstractNumId w:val="20"/>
  </w:num>
  <w:num w:numId="24" w16cid:durableId="743912109">
    <w:abstractNumId w:val="6"/>
  </w:num>
  <w:num w:numId="25" w16cid:durableId="1674985964">
    <w:abstractNumId w:val="26"/>
  </w:num>
  <w:num w:numId="26" w16cid:durableId="936718422">
    <w:abstractNumId w:val="28"/>
  </w:num>
  <w:num w:numId="27" w16cid:durableId="1966497949">
    <w:abstractNumId w:val="2"/>
  </w:num>
  <w:num w:numId="28" w16cid:durableId="688289749">
    <w:abstractNumId w:val="4"/>
  </w:num>
  <w:num w:numId="29" w16cid:durableId="1043290267">
    <w:abstractNumId w:val="14"/>
  </w:num>
  <w:num w:numId="30" w16cid:durableId="907807043">
    <w:abstractNumId w:val="24"/>
  </w:num>
  <w:num w:numId="31" w16cid:durableId="1236629560">
    <w:abstractNumId w:val="22"/>
  </w:num>
  <w:num w:numId="32" w16cid:durableId="5424516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9365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504565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163025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237591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53097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904810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20727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036512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304374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796573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75507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270612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784996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71494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854701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527987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55507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568576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236630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481217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41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3673"/>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5AF1"/>
    <w:rsid w:val="00376713"/>
    <w:rsid w:val="00381815"/>
    <w:rsid w:val="003819AF"/>
    <w:rsid w:val="003820E9"/>
    <w:rsid w:val="00382DE7"/>
    <w:rsid w:val="00384FFC"/>
    <w:rsid w:val="003866C9"/>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5C5"/>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2A9F"/>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FAD"/>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242"/>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1413"/>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770"/>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0299"/>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26B"/>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FC91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EDB345A"/>
  <w15:docId w15:val="{AEFC582A-7234-4C9E-A528-4531705B7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99"/>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uiPriority w:val="99"/>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段"/>
    <w:link w:val="Char0"/>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character" w:customStyle="1" w:styleId="Char0">
    <w:name w:val="段 Char"/>
    <w:link w:val="afffffffffffa"/>
    <w:qFormat/>
    <w:rPr>
      <w:rFonts w:ascii="宋体" w:eastAsiaTheme="minorEastAsia" w:hAnsiTheme="minorHAnsi" w:cstheme="minorBidi"/>
      <w:kern w:val="2"/>
      <w:sz w:val="21"/>
      <w:szCs w:val="22"/>
    </w:rPr>
  </w:style>
  <w:style w:type="paragraph" w:customStyle="1" w:styleId="afffffffffffb">
    <w:name w:val="一级条标题"/>
    <w:next w:val="afffffffffffa"/>
    <w:qFormat/>
    <w:pPr>
      <w:spacing w:beforeLines="50" w:afterLines="50"/>
      <w:outlineLvl w:val="2"/>
    </w:pPr>
    <w:rPr>
      <w:rFonts w:ascii="黑体" w:eastAsia="黑体" w:hAnsi="Times New Roman"/>
      <w:kern w:val="2"/>
      <w:sz w:val="21"/>
      <w:szCs w:val="21"/>
    </w:rPr>
  </w:style>
  <w:style w:type="paragraph" w:customStyle="1" w:styleId="paragraph">
    <w:name w:val="paragraph"/>
    <w:basedOn w:val="afff5"/>
    <w:semiHidden/>
    <w:qFormat/>
    <w:pPr>
      <w:widowControl/>
      <w:adjustRightInd/>
      <w:spacing w:before="100" w:beforeAutospacing="1" w:after="100" w:afterAutospacing="1" w:line="240" w:lineRule="auto"/>
      <w:jc w:val="left"/>
    </w:pPr>
    <w:rPr>
      <w:rFonts w:ascii="等线" w:eastAsia="等线" w:hAnsi="等线"/>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FF5BFC5E40412888D2BC8CC5C7A310"/>
        <w:category>
          <w:name w:val="常规"/>
          <w:gallery w:val="placeholder"/>
        </w:category>
        <w:types>
          <w:type w:val="bbPlcHdr"/>
        </w:types>
        <w:behaviors>
          <w:behavior w:val="content"/>
        </w:behaviors>
        <w:guid w:val="{9346EFEB-EC67-4052-B828-C8D34B395BF1}"/>
      </w:docPartPr>
      <w:docPartBody>
        <w:p w:rsidR="00C97BE9" w:rsidRDefault="00000000">
          <w:pPr>
            <w:pStyle w:val="A1FF5BFC5E40412888D2BC8CC5C7A310"/>
            <w:rPr>
              <w:rFonts w:hint="eastAsia"/>
            </w:rPr>
          </w:pPr>
          <w:r>
            <w:rPr>
              <w:rStyle w:val="a3"/>
              <w:rFonts w:hint="eastAsia"/>
            </w:rPr>
            <w:t>单击或点击此处输入文字。</w:t>
          </w:r>
        </w:p>
      </w:docPartBody>
    </w:docPart>
    <w:docPart>
      <w:docPartPr>
        <w:name w:val="05696BBBF5354D9795C6B4E0BC07FCA6"/>
        <w:category>
          <w:name w:val="常规"/>
          <w:gallery w:val="placeholder"/>
        </w:category>
        <w:types>
          <w:type w:val="bbPlcHdr"/>
        </w:types>
        <w:behaviors>
          <w:behavior w:val="content"/>
        </w:behaviors>
        <w:guid w:val="{7EB8FF16-1C35-4DE7-A23A-139B11912150}"/>
      </w:docPartPr>
      <w:docPartBody>
        <w:p w:rsidR="00C97BE9" w:rsidRDefault="00000000">
          <w:pPr>
            <w:pStyle w:val="05696BBBF5354D9795C6B4E0BC07FCA6"/>
            <w:rPr>
              <w:rFonts w:hint="eastAsia"/>
            </w:rPr>
          </w:pPr>
          <w:r>
            <w:rPr>
              <w:rStyle w:val="a3"/>
              <w:rFonts w:hint="eastAsia"/>
            </w:rPr>
            <w:t>选择一项。</w:t>
          </w:r>
        </w:p>
      </w:docPartBody>
    </w:docPart>
    <w:docPart>
      <w:docPartPr>
        <w:name w:val="8D63BE8AF3814F3DB70671DCD6A201D4"/>
        <w:category>
          <w:name w:val="常规"/>
          <w:gallery w:val="placeholder"/>
        </w:category>
        <w:types>
          <w:type w:val="bbPlcHdr"/>
        </w:types>
        <w:behaviors>
          <w:behavior w:val="content"/>
        </w:behaviors>
        <w:guid w:val="{FDC1CB74-A4AC-4C94-B234-C86AA2ACBE0D}"/>
      </w:docPartPr>
      <w:docPartBody>
        <w:p w:rsidR="00C97BE9" w:rsidRDefault="00000000">
          <w:pPr>
            <w:pStyle w:val="8D63BE8AF3814F3DB70671DCD6A201D4"/>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205D3" w:rsidRDefault="00E205D3">
      <w:pPr>
        <w:spacing w:line="240" w:lineRule="auto"/>
        <w:rPr>
          <w:rFonts w:hint="eastAsia"/>
        </w:rPr>
      </w:pPr>
      <w:r>
        <w:separator/>
      </w:r>
    </w:p>
  </w:endnote>
  <w:endnote w:type="continuationSeparator" w:id="0">
    <w:p w:rsidR="00E205D3" w:rsidRDefault="00E205D3">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2">
    <w:altName w:val="宋体"/>
    <w:charset w:val="86"/>
    <w:family w:val="auto"/>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205D3" w:rsidRDefault="00E205D3">
      <w:pPr>
        <w:spacing w:after="0"/>
        <w:rPr>
          <w:rFonts w:hint="eastAsia"/>
        </w:rPr>
      </w:pPr>
      <w:r>
        <w:separator/>
      </w:r>
    </w:p>
  </w:footnote>
  <w:footnote w:type="continuationSeparator" w:id="0">
    <w:p w:rsidR="00E205D3" w:rsidRDefault="00E205D3">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378"/>
    <w:rsid w:val="000F74A3"/>
    <w:rsid w:val="00333673"/>
    <w:rsid w:val="004C4378"/>
    <w:rsid w:val="00C97BE9"/>
    <w:rsid w:val="00CF3770"/>
    <w:rsid w:val="00E20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1FF5BFC5E40412888D2BC8CC5C7A310">
    <w:name w:val="A1FF5BFC5E40412888D2BC8CC5C7A310"/>
    <w:pPr>
      <w:widowControl w:val="0"/>
      <w:spacing w:after="160" w:line="278" w:lineRule="auto"/>
    </w:pPr>
    <w:rPr>
      <w:kern w:val="2"/>
      <w:sz w:val="22"/>
      <w:szCs w:val="24"/>
      <w14:ligatures w14:val="standardContextual"/>
    </w:rPr>
  </w:style>
  <w:style w:type="paragraph" w:customStyle="1" w:styleId="05696BBBF5354D9795C6B4E0BC07FCA6">
    <w:name w:val="05696BBBF5354D9795C6B4E0BC07FCA6"/>
    <w:pPr>
      <w:widowControl w:val="0"/>
      <w:spacing w:after="160" w:line="278" w:lineRule="auto"/>
    </w:pPr>
    <w:rPr>
      <w:kern w:val="2"/>
      <w:sz w:val="22"/>
      <w:szCs w:val="24"/>
      <w14:ligatures w14:val="standardContextual"/>
    </w:rPr>
  </w:style>
  <w:style w:type="paragraph" w:customStyle="1" w:styleId="8D63BE8AF3814F3DB70671DCD6A201D4">
    <w:name w:val="8D63BE8AF3814F3DB70671DCD6A201D4"/>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TotalTime>
  <Pages>11</Pages>
  <Words>1317</Words>
  <Characters>7508</Characters>
  <Application>Microsoft Office Word</Application>
  <DocSecurity>0</DocSecurity>
  <Lines>62</Lines>
  <Paragraphs>17</Paragraphs>
  <ScaleCrop>false</ScaleCrop>
  <Company>PCMI</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闻君</dc:creator>
  <dc:description>&lt;config cover="true" show_menu="true" version="1.0.0" doctype="SDKXY"&gt;_x000d_
&lt;/config&gt;</dc:description>
  <cp:lastModifiedBy>Jun Wen</cp:lastModifiedBy>
  <cp:revision>2</cp:revision>
  <cp:lastPrinted>2021-02-02T08:22:00Z</cp:lastPrinted>
  <dcterms:created xsi:type="dcterms:W3CDTF">2025-03-10T06:44:00Z</dcterms:created>
  <dcterms:modified xsi:type="dcterms:W3CDTF">2025-04-07T06:03:00Z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eyJoZGlkIjoiMWQ3ZDY5YTJjMmExYWQ5ODE5NjYyODZhMzNhMDJmYzYiLCJ1c2VySWQiOiI1NTk0NTg0MzkifQ==</vt:lpwstr>
  </property>
  <property fmtid="{D5CDD505-2E9C-101B-9397-08002B2CF9AE}" pid="15" name="KSOProductBuildVer">
    <vt:lpwstr>2052-12.1.0.20305</vt:lpwstr>
  </property>
  <property fmtid="{D5CDD505-2E9C-101B-9397-08002B2CF9AE}" pid="16" name="ICV">
    <vt:lpwstr>2CC53775DBEA4D45933F59EB52150CAF_12</vt:lpwstr>
  </property>
</Properties>
</file>