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0CCF9" w14:textId="77777777" w:rsidR="00906414" w:rsidRDefault="00906414"/>
    <w:p w14:paraId="06142FD3" w14:textId="77777777" w:rsidR="00906414" w:rsidRDefault="00906414">
      <w:pPr>
        <w:widowControl/>
        <w:rPr>
          <w:sz w:val="28"/>
          <w:szCs w:val="28"/>
        </w:rPr>
      </w:pPr>
    </w:p>
    <w:p w14:paraId="4F7B6115" w14:textId="77777777" w:rsidR="00906414" w:rsidRDefault="00906414">
      <w:pPr>
        <w:widowControl/>
        <w:rPr>
          <w:sz w:val="28"/>
          <w:szCs w:val="28"/>
        </w:rPr>
      </w:pPr>
    </w:p>
    <w:p w14:paraId="4B483BA5" w14:textId="77777777" w:rsidR="00906414" w:rsidRDefault="00000000">
      <w:pPr>
        <w:widowControl/>
        <w:jc w:val="center"/>
        <w:rPr>
          <w:rFonts w:ascii="黑体" w:eastAsia="黑体" w:hAnsi="黑体"/>
          <w:b/>
          <w:sz w:val="44"/>
          <w:szCs w:val="44"/>
        </w:rPr>
      </w:pPr>
      <w:r>
        <w:rPr>
          <w:rFonts w:ascii="黑体" w:eastAsia="黑体" w:hAnsi="黑体" w:hint="eastAsia"/>
          <w:b/>
          <w:sz w:val="44"/>
          <w:szCs w:val="44"/>
        </w:rPr>
        <w:t>中国港口协会团体</w:t>
      </w:r>
      <w:r>
        <w:rPr>
          <w:rFonts w:ascii="黑体" w:eastAsia="黑体" w:hAnsi="黑体"/>
          <w:b/>
          <w:sz w:val="44"/>
          <w:szCs w:val="44"/>
        </w:rPr>
        <w:t>标准</w:t>
      </w:r>
    </w:p>
    <w:p w14:paraId="2D24FAB1" w14:textId="77777777" w:rsidR="00906414" w:rsidRDefault="00906414">
      <w:pPr>
        <w:widowControl/>
        <w:jc w:val="center"/>
        <w:rPr>
          <w:rFonts w:ascii="黑体" w:eastAsia="黑体" w:hAnsi="黑体"/>
          <w:b/>
          <w:sz w:val="44"/>
          <w:szCs w:val="44"/>
        </w:rPr>
      </w:pPr>
    </w:p>
    <w:p w14:paraId="7EB2124B" w14:textId="77777777" w:rsidR="00906414" w:rsidRDefault="00906414">
      <w:pPr>
        <w:spacing w:line="360" w:lineRule="auto"/>
        <w:jc w:val="center"/>
        <w:rPr>
          <w:rFonts w:ascii="黑体" w:eastAsia="黑体" w:hAnsi="黑体"/>
          <w:b/>
          <w:sz w:val="44"/>
          <w:szCs w:val="44"/>
        </w:rPr>
      </w:pPr>
    </w:p>
    <w:p w14:paraId="1074B7B7" w14:textId="4DF39596" w:rsidR="00906414" w:rsidRDefault="003554FB">
      <w:pPr>
        <w:spacing w:line="360" w:lineRule="auto"/>
        <w:jc w:val="center"/>
        <w:rPr>
          <w:rFonts w:ascii="黑体" w:eastAsia="黑体" w:hAnsi="黑体"/>
          <w:b/>
          <w:sz w:val="44"/>
          <w:szCs w:val="44"/>
        </w:rPr>
      </w:pPr>
      <w:r w:rsidRPr="003554FB">
        <w:rPr>
          <w:rFonts w:ascii="黑体" w:eastAsia="黑体" w:hAnsi="黑体" w:hint="eastAsia"/>
          <w:b/>
          <w:sz w:val="44"/>
          <w:szCs w:val="44"/>
        </w:rPr>
        <w:t>内贸集装箱码头业务单证技术要</w:t>
      </w:r>
      <w:r w:rsidR="00000000">
        <w:rPr>
          <w:rFonts w:ascii="黑体" w:eastAsia="黑体" w:hAnsi="黑体" w:hint="eastAsia"/>
          <w:b/>
          <w:sz w:val="44"/>
          <w:szCs w:val="44"/>
        </w:rPr>
        <w:t>求</w:t>
      </w:r>
    </w:p>
    <w:p w14:paraId="68B8B3AE" w14:textId="77777777" w:rsidR="00906414" w:rsidRDefault="00000000">
      <w:pPr>
        <w:spacing w:line="360" w:lineRule="auto"/>
        <w:jc w:val="center"/>
        <w:rPr>
          <w:rFonts w:ascii="黑体" w:eastAsia="黑体" w:hAnsi="黑体"/>
          <w:b/>
          <w:sz w:val="44"/>
          <w:szCs w:val="44"/>
        </w:rPr>
      </w:pPr>
      <w:r>
        <w:t xml:space="preserve"> </w:t>
      </w:r>
    </w:p>
    <w:p w14:paraId="10D21000" w14:textId="77777777" w:rsidR="00906414" w:rsidRDefault="00906414">
      <w:pPr>
        <w:widowControl/>
        <w:rPr>
          <w:rFonts w:ascii="黑体" w:eastAsia="黑体" w:hAnsi="黑体"/>
          <w:b/>
          <w:sz w:val="44"/>
          <w:szCs w:val="44"/>
        </w:rPr>
      </w:pPr>
    </w:p>
    <w:p w14:paraId="65BC9827" w14:textId="77777777" w:rsidR="00906414" w:rsidRDefault="00906414">
      <w:pPr>
        <w:widowControl/>
        <w:rPr>
          <w:rFonts w:ascii="黑体" w:eastAsia="黑体" w:hAnsi="黑体"/>
          <w:b/>
          <w:sz w:val="44"/>
          <w:szCs w:val="44"/>
        </w:rPr>
      </w:pPr>
    </w:p>
    <w:p w14:paraId="0F260D4D" w14:textId="77777777" w:rsidR="00906414" w:rsidRDefault="00906414">
      <w:pPr>
        <w:widowControl/>
        <w:rPr>
          <w:rFonts w:ascii="黑体" w:eastAsia="黑体" w:hAnsi="黑体"/>
          <w:b/>
          <w:sz w:val="44"/>
          <w:szCs w:val="44"/>
        </w:rPr>
      </w:pPr>
    </w:p>
    <w:p w14:paraId="41D9037C" w14:textId="77777777" w:rsidR="00906414" w:rsidRDefault="00000000">
      <w:pPr>
        <w:spacing w:line="360" w:lineRule="auto"/>
        <w:jc w:val="center"/>
        <w:rPr>
          <w:rFonts w:ascii="黑体" w:eastAsia="黑体" w:hAnsi="黑体"/>
          <w:b/>
          <w:sz w:val="44"/>
          <w:szCs w:val="44"/>
        </w:rPr>
      </w:pPr>
      <w:r>
        <w:rPr>
          <w:rFonts w:ascii="黑体" w:eastAsia="黑体" w:hAnsi="黑体" w:hint="eastAsia"/>
          <w:b/>
          <w:sz w:val="44"/>
          <w:szCs w:val="44"/>
        </w:rPr>
        <w:t>（征求意见稿）</w:t>
      </w:r>
    </w:p>
    <w:p w14:paraId="3D6794F2" w14:textId="77777777" w:rsidR="00906414" w:rsidRDefault="00000000">
      <w:pPr>
        <w:widowControl/>
        <w:jc w:val="center"/>
        <w:rPr>
          <w:rFonts w:ascii="黑体" w:eastAsia="黑体" w:hAnsi="黑体"/>
          <w:b/>
          <w:sz w:val="44"/>
          <w:szCs w:val="44"/>
        </w:rPr>
      </w:pPr>
      <w:r>
        <w:rPr>
          <w:rFonts w:ascii="黑体" w:eastAsia="黑体" w:hAnsi="黑体"/>
          <w:b/>
          <w:sz w:val="44"/>
          <w:szCs w:val="44"/>
        </w:rPr>
        <w:t>编</w:t>
      </w:r>
      <w:r>
        <w:rPr>
          <w:rFonts w:ascii="黑体" w:eastAsia="黑体" w:hAnsi="黑体" w:hint="eastAsia"/>
          <w:b/>
          <w:sz w:val="44"/>
          <w:szCs w:val="44"/>
        </w:rPr>
        <w:t xml:space="preserve"> </w:t>
      </w:r>
      <w:r>
        <w:rPr>
          <w:rFonts w:ascii="黑体" w:eastAsia="黑体" w:hAnsi="黑体"/>
          <w:b/>
          <w:sz w:val="44"/>
          <w:szCs w:val="44"/>
        </w:rPr>
        <w:t>制</w:t>
      </w:r>
      <w:r>
        <w:rPr>
          <w:rFonts w:ascii="黑体" w:eastAsia="黑体" w:hAnsi="黑体" w:hint="eastAsia"/>
          <w:b/>
          <w:sz w:val="44"/>
          <w:szCs w:val="44"/>
        </w:rPr>
        <w:t xml:space="preserve"> </w:t>
      </w:r>
      <w:r>
        <w:rPr>
          <w:rFonts w:ascii="黑体" w:eastAsia="黑体" w:hAnsi="黑体"/>
          <w:b/>
          <w:sz w:val="44"/>
          <w:szCs w:val="44"/>
        </w:rPr>
        <w:t>说</w:t>
      </w:r>
      <w:r>
        <w:rPr>
          <w:rFonts w:ascii="黑体" w:eastAsia="黑体" w:hAnsi="黑体" w:hint="eastAsia"/>
          <w:b/>
          <w:sz w:val="44"/>
          <w:szCs w:val="44"/>
        </w:rPr>
        <w:t xml:space="preserve"> </w:t>
      </w:r>
      <w:r>
        <w:rPr>
          <w:rFonts w:ascii="黑体" w:eastAsia="黑体" w:hAnsi="黑体"/>
          <w:b/>
          <w:sz w:val="44"/>
          <w:szCs w:val="44"/>
        </w:rPr>
        <w:t>明</w:t>
      </w:r>
    </w:p>
    <w:p w14:paraId="49C9ED24" w14:textId="77777777" w:rsidR="00906414" w:rsidRDefault="00906414">
      <w:pPr>
        <w:widowControl/>
        <w:rPr>
          <w:szCs w:val="21"/>
        </w:rPr>
      </w:pPr>
    </w:p>
    <w:p w14:paraId="629B6720" w14:textId="77777777" w:rsidR="00906414" w:rsidRDefault="00906414">
      <w:pPr>
        <w:widowControl/>
        <w:rPr>
          <w:szCs w:val="21"/>
        </w:rPr>
      </w:pPr>
    </w:p>
    <w:p w14:paraId="7ED029C9" w14:textId="77777777" w:rsidR="00906414" w:rsidRDefault="00906414">
      <w:pPr>
        <w:widowControl/>
        <w:rPr>
          <w:szCs w:val="21"/>
        </w:rPr>
      </w:pPr>
    </w:p>
    <w:p w14:paraId="12E00B31" w14:textId="77777777" w:rsidR="00906414" w:rsidRDefault="00906414">
      <w:pPr>
        <w:widowControl/>
        <w:rPr>
          <w:szCs w:val="21"/>
        </w:rPr>
      </w:pPr>
    </w:p>
    <w:p w14:paraId="381A245A" w14:textId="77777777" w:rsidR="00906414" w:rsidRDefault="00906414">
      <w:pPr>
        <w:widowControl/>
        <w:rPr>
          <w:szCs w:val="21"/>
        </w:rPr>
      </w:pPr>
    </w:p>
    <w:p w14:paraId="5DF16A75" w14:textId="77777777" w:rsidR="00906414" w:rsidRDefault="00906414">
      <w:pPr>
        <w:widowControl/>
        <w:rPr>
          <w:szCs w:val="21"/>
        </w:rPr>
      </w:pPr>
    </w:p>
    <w:p w14:paraId="118DFB93" w14:textId="77777777" w:rsidR="00906414" w:rsidRDefault="00906414">
      <w:pPr>
        <w:widowControl/>
        <w:rPr>
          <w:szCs w:val="21"/>
        </w:rPr>
      </w:pPr>
    </w:p>
    <w:p w14:paraId="0EF8ED8E" w14:textId="77777777" w:rsidR="00906414" w:rsidRDefault="00906414">
      <w:pPr>
        <w:widowControl/>
        <w:rPr>
          <w:szCs w:val="21"/>
        </w:rPr>
      </w:pPr>
    </w:p>
    <w:p w14:paraId="7EBE0812" w14:textId="77777777" w:rsidR="00906414" w:rsidRDefault="00906414">
      <w:pPr>
        <w:widowControl/>
        <w:rPr>
          <w:szCs w:val="21"/>
        </w:rPr>
      </w:pPr>
    </w:p>
    <w:p w14:paraId="5B48902D" w14:textId="77777777" w:rsidR="00906414" w:rsidRDefault="00906414">
      <w:pPr>
        <w:widowControl/>
        <w:rPr>
          <w:szCs w:val="21"/>
        </w:rPr>
      </w:pPr>
    </w:p>
    <w:p w14:paraId="09CFEEEF" w14:textId="77777777" w:rsidR="00906414" w:rsidRDefault="00906414">
      <w:pPr>
        <w:widowControl/>
        <w:rPr>
          <w:szCs w:val="21"/>
        </w:rPr>
      </w:pPr>
    </w:p>
    <w:p w14:paraId="090DFF79" w14:textId="77777777" w:rsidR="00906414" w:rsidRDefault="00000000">
      <w:pPr>
        <w:widowControl/>
        <w:jc w:val="center"/>
        <w:rPr>
          <w:rFonts w:ascii="黑体" w:eastAsia="黑体" w:hAnsi="黑体"/>
          <w:b/>
          <w:sz w:val="32"/>
          <w:szCs w:val="32"/>
        </w:rPr>
      </w:pPr>
      <w:r>
        <w:rPr>
          <w:rFonts w:ascii="黑体" w:eastAsia="黑体" w:hAnsi="黑体"/>
          <w:b/>
          <w:sz w:val="32"/>
          <w:szCs w:val="32"/>
        </w:rPr>
        <w:t>标准起草组</w:t>
      </w:r>
    </w:p>
    <w:p w14:paraId="790E84B8" w14:textId="5E9C7B0C" w:rsidR="00906414" w:rsidRDefault="00000000">
      <w:pPr>
        <w:widowControl/>
        <w:jc w:val="center"/>
        <w:rPr>
          <w:rFonts w:ascii="黑体" w:eastAsia="黑体" w:hAnsi="黑体" w:cs="Arial"/>
          <w:b/>
          <w:color w:val="000000" w:themeColor="text1"/>
          <w:sz w:val="32"/>
          <w:szCs w:val="32"/>
        </w:rPr>
      </w:pPr>
      <w:r>
        <w:rPr>
          <w:rFonts w:ascii="黑体" w:eastAsia="黑体" w:hAnsi="黑体" w:cs="Arial"/>
          <w:b/>
          <w:color w:val="000000" w:themeColor="text1"/>
          <w:sz w:val="32"/>
          <w:szCs w:val="32"/>
        </w:rPr>
        <w:t>2023年</w:t>
      </w:r>
      <w:r w:rsidR="003554FB">
        <w:rPr>
          <w:rFonts w:ascii="黑体" w:eastAsia="黑体" w:hAnsi="黑体" w:cs="Arial"/>
          <w:b/>
          <w:color w:val="000000" w:themeColor="text1"/>
          <w:sz w:val="32"/>
          <w:szCs w:val="32"/>
        </w:rPr>
        <w:t xml:space="preserve">  </w:t>
      </w:r>
      <w:r>
        <w:rPr>
          <w:rFonts w:ascii="黑体" w:eastAsia="黑体" w:hAnsi="黑体" w:cs="Arial" w:hint="eastAsia"/>
          <w:b/>
          <w:color w:val="000000" w:themeColor="text1"/>
          <w:sz w:val="32"/>
          <w:szCs w:val="32"/>
        </w:rPr>
        <w:t xml:space="preserve"> </w:t>
      </w:r>
      <w:r>
        <w:rPr>
          <w:rFonts w:ascii="黑体" w:eastAsia="黑体" w:hAnsi="黑体" w:cs="Arial"/>
          <w:b/>
          <w:color w:val="000000" w:themeColor="text1"/>
          <w:sz w:val="32"/>
          <w:szCs w:val="32"/>
        </w:rPr>
        <w:t>月</w:t>
      </w:r>
      <w:r>
        <w:rPr>
          <w:rFonts w:ascii="黑体" w:eastAsia="黑体" w:hAnsi="黑体" w:cs="Arial" w:hint="eastAsia"/>
          <w:b/>
          <w:color w:val="000000" w:themeColor="text1"/>
          <w:sz w:val="32"/>
          <w:szCs w:val="32"/>
        </w:rPr>
        <w:t xml:space="preserve"> </w:t>
      </w:r>
      <w:r w:rsidR="003554FB">
        <w:rPr>
          <w:rFonts w:ascii="黑体" w:eastAsia="黑体" w:hAnsi="黑体" w:cs="Arial"/>
          <w:b/>
          <w:color w:val="000000" w:themeColor="text1"/>
          <w:sz w:val="32"/>
          <w:szCs w:val="32"/>
        </w:rPr>
        <w:t xml:space="preserve">  </w:t>
      </w:r>
      <w:r>
        <w:rPr>
          <w:rFonts w:ascii="黑体" w:eastAsia="黑体" w:hAnsi="黑体" w:cs="Arial"/>
          <w:b/>
          <w:color w:val="000000" w:themeColor="text1"/>
          <w:sz w:val="32"/>
          <w:szCs w:val="32"/>
        </w:rPr>
        <w:t>日</w:t>
      </w:r>
    </w:p>
    <w:p w14:paraId="3D0676CA" w14:textId="77777777" w:rsidR="00906414" w:rsidRDefault="00906414"/>
    <w:p w14:paraId="3C07E518" w14:textId="77777777" w:rsidR="00906414" w:rsidRDefault="00906414">
      <w:pPr>
        <w:sectPr w:rsidR="00906414">
          <w:footerReference w:type="default" r:id="rId8"/>
          <w:pgSz w:w="11906" w:h="16838"/>
          <w:pgMar w:top="1588" w:right="1814" w:bottom="1588" w:left="1814" w:header="851" w:footer="992" w:gutter="0"/>
          <w:cols w:space="425"/>
          <w:titlePg/>
          <w:docGrid w:type="lines" w:linePitch="312"/>
        </w:sectPr>
      </w:pPr>
    </w:p>
    <w:sdt>
      <w:sdtPr>
        <w:rPr>
          <w:rFonts w:ascii="Times New Roman" w:eastAsia="宋体" w:hAnsi="Times New Roman" w:cs="Times New Roman"/>
          <w:b w:val="0"/>
          <w:bCs w:val="0"/>
          <w:color w:val="auto"/>
          <w:kern w:val="2"/>
          <w:sz w:val="21"/>
          <w:szCs w:val="20"/>
          <w:lang w:val="zh-CN"/>
        </w:rPr>
        <w:id w:val="262339798"/>
        <w:docPartObj>
          <w:docPartGallery w:val="Table of Contents"/>
          <w:docPartUnique/>
        </w:docPartObj>
      </w:sdtPr>
      <w:sdtEndPr>
        <w:rPr>
          <w:rFonts w:ascii="宋体" w:hAnsi="宋体"/>
          <w:sz w:val="24"/>
          <w:szCs w:val="24"/>
          <w:lang w:val="en-US"/>
        </w:rPr>
      </w:sdtEndPr>
      <w:sdtContent>
        <w:p w14:paraId="15ECAF06" w14:textId="77777777" w:rsidR="00906414" w:rsidRDefault="00000000">
          <w:pPr>
            <w:pStyle w:val="TOC10"/>
            <w:jc w:val="center"/>
            <w:rPr>
              <w:color w:val="auto"/>
            </w:rPr>
          </w:pPr>
          <w:r>
            <w:rPr>
              <w:color w:val="auto"/>
              <w:lang w:val="zh-CN"/>
            </w:rPr>
            <w:t>目</w:t>
          </w:r>
          <w:r>
            <w:rPr>
              <w:rFonts w:hint="eastAsia"/>
              <w:color w:val="auto"/>
              <w:lang w:val="zh-CN"/>
            </w:rPr>
            <w:t xml:space="preserve"> </w:t>
          </w:r>
          <w:r>
            <w:rPr>
              <w:color w:val="auto"/>
              <w:lang w:val="zh-CN"/>
            </w:rPr>
            <w:t xml:space="preserve">  </w:t>
          </w:r>
          <w:r>
            <w:rPr>
              <w:color w:val="auto"/>
              <w:lang w:val="zh-CN"/>
            </w:rPr>
            <w:t>录</w:t>
          </w:r>
        </w:p>
        <w:p w14:paraId="340342D6" w14:textId="2F67217F" w:rsidR="00906414" w:rsidRDefault="00000000">
          <w:pPr>
            <w:pStyle w:val="TOC1"/>
            <w:tabs>
              <w:tab w:val="right" w:leader="dot" w:pos="8268"/>
            </w:tabs>
            <w:spacing w:line="360" w:lineRule="auto"/>
            <w:rPr>
              <w:rFonts w:ascii="宋体" w:hAnsi="宋体" w:cstheme="minorBidi"/>
              <w:b w:val="0"/>
              <w:bCs w:val="0"/>
              <w:caps w:val="0"/>
              <w:noProof/>
              <w:sz w:val="24"/>
              <w:szCs w:val="24"/>
            </w:rPr>
          </w:pPr>
          <w:r>
            <w:rPr>
              <w:rFonts w:ascii="宋体" w:hAnsi="宋体"/>
              <w:b w:val="0"/>
              <w:bCs w:val="0"/>
              <w:sz w:val="24"/>
              <w:szCs w:val="24"/>
            </w:rPr>
            <w:fldChar w:fldCharType="begin"/>
          </w:r>
          <w:r>
            <w:rPr>
              <w:rFonts w:ascii="宋体" w:hAnsi="宋体"/>
              <w:b w:val="0"/>
              <w:bCs w:val="0"/>
              <w:sz w:val="24"/>
              <w:szCs w:val="24"/>
            </w:rPr>
            <w:instrText>TOC \o "1-3" \h \z \u</w:instrText>
          </w:r>
          <w:r>
            <w:rPr>
              <w:rFonts w:ascii="宋体" w:hAnsi="宋体"/>
              <w:b w:val="0"/>
              <w:bCs w:val="0"/>
              <w:sz w:val="24"/>
              <w:szCs w:val="24"/>
            </w:rPr>
            <w:fldChar w:fldCharType="separate"/>
          </w:r>
          <w:hyperlink w:anchor="_Toc46098150" w:history="1">
            <w:r>
              <w:rPr>
                <w:rStyle w:val="af3"/>
                <w:rFonts w:ascii="宋体" w:hAnsi="宋体"/>
                <w:b w:val="0"/>
                <w:bCs w:val="0"/>
                <w:noProof/>
                <w:color w:val="auto"/>
                <w:sz w:val="24"/>
                <w:szCs w:val="24"/>
              </w:rPr>
              <w:t>一、工</w:t>
            </w:r>
            <w:r>
              <w:rPr>
                <w:rStyle w:val="af3"/>
                <w:rFonts w:ascii="宋体" w:hAnsi="宋体" w:cs="Arial"/>
                <w:b w:val="0"/>
                <w:bCs w:val="0"/>
                <w:noProof/>
                <w:color w:val="auto"/>
                <w:sz w:val="24"/>
                <w:szCs w:val="24"/>
              </w:rPr>
              <w:t>作简况</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_Toc46098150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1</w:t>
            </w:r>
            <w:r>
              <w:rPr>
                <w:rFonts w:ascii="宋体" w:hAnsi="宋体"/>
                <w:b w:val="0"/>
                <w:bCs w:val="0"/>
                <w:noProof/>
                <w:sz w:val="24"/>
                <w:szCs w:val="24"/>
              </w:rPr>
              <w:fldChar w:fldCharType="end"/>
            </w:r>
          </w:hyperlink>
        </w:p>
        <w:p w14:paraId="7C27D46B" w14:textId="2A00F84A"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1" w:history="1">
            <w:r>
              <w:rPr>
                <w:rStyle w:val="af3"/>
                <w:rFonts w:ascii="宋体" w:hAnsi="宋体"/>
                <w:b w:val="0"/>
                <w:bCs w:val="0"/>
                <w:noProof/>
                <w:color w:val="auto"/>
                <w:sz w:val="24"/>
                <w:szCs w:val="24"/>
              </w:rPr>
              <w:t>二、标准编制原则和确定标准主要内容的依据</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_Toc46098151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3</w:t>
            </w:r>
            <w:r>
              <w:rPr>
                <w:rFonts w:ascii="宋体" w:hAnsi="宋体"/>
                <w:b w:val="0"/>
                <w:bCs w:val="0"/>
                <w:noProof/>
                <w:sz w:val="24"/>
                <w:szCs w:val="24"/>
              </w:rPr>
              <w:fldChar w:fldCharType="end"/>
            </w:r>
          </w:hyperlink>
        </w:p>
        <w:p w14:paraId="1F0D146B" w14:textId="37B46C4D"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2" w:history="1">
            <w:r>
              <w:rPr>
                <w:rStyle w:val="af3"/>
                <w:rFonts w:ascii="宋体" w:hAnsi="宋体"/>
                <w:b w:val="0"/>
                <w:bCs w:val="0"/>
                <w:noProof/>
                <w:color w:val="auto"/>
                <w:sz w:val="24"/>
                <w:szCs w:val="24"/>
              </w:rPr>
              <w:t>三、主要试验（或验证）的分析、综述报告，技术经济论证，预期的经济效果</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_Toc46098152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6</w:t>
            </w:r>
            <w:r>
              <w:rPr>
                <w:rFonts w:ascii="宋体" w:hAnsi="宋体"/>
                <w:b w:val="0"/>
                <w:bCs w:val="0"/>
                <w:noProof/>
                <w:sz w:val="24"/>
                <w:szCs w:val="24"/>
              </w:rPr>
              <w:fldChar w:fldCharType="end"/>
            </w:r>
          </w:hyperlink>
        </w:p>
        <w:p w14:paraId="53D516F9" w14:textId="2644858F"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3" w:history="1">
            <w:r>
              <w:rPr>
                <w:rStyle w:val="af3"/>
                <w:rFonts w:ascii="宋体" w:hAnsi="宋体"/>
                <w:b w:val="0"/>
                <w:bCs w:val="0"/>
                <w:noProof/>
                <w:color w:val="auto"/>
                <w:sz w:val="24"/>
                <w:szCs w:val="24"/>
              </w:rPr>
              <w:t>四、采用国际标准和国外先进标准的程度，以及与国际、国外同类标准水平的对比情况，或与测试的国外样品、样机的有关数据对比情况</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_Toc46098153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9</w:t>
            </w:r>
            <w:r>
              <w:rPr>
                <w:rFonts w:ascii="宋体" w:hAnsi="宋体"/>
                <w:b w:val="0"/>
                <w:bCs w:val="0"/>
                <w:noProof/>
                <w:sz w:val="24"/>
                <w:szCs w:val="24"/>
              </w:rPr>
              <w:fldChar w:fldCharType="end"/>
            </w:r>
          </w:hyperlink>
        </w:p>
        <w:p w14:paraId="30DF40F3" w14:textId="7920DC8A"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4" w:history="1">
            <w:r>
              <w:rPr>
                <w:rStyle w:val="af3"/>
                <w:rFonts w:ascii="宋体" w:hAnsi="宋体"/>
                <w:b w:val="0"/>
                <w:bCs w:val="0"/>
                <w:noProof/>
                <w:color w:val="auto"/>
                <w:sz w:val="24"/>
                <w:szCs w:val="24"/>
              </w:rPr>
              <w:t>五、与有关的现行法律、法规和强制性标准的关系</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_Toc46098154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9</w:t>
            </w:r>
            <w:r>
              <w:rPr>
                <w:rFonts w:ascii="宋体" w:hAnsi="宋体"/>
                <w:b w:val="0"/>
                <w:bCs w:val="0"/>
                <w:noProof/>
                <w:sz w:val="24"/>
                <w:szCs w:val="24"/>
              </w:rPr>
              <w:fldChar w:fldCharType="end"/>
            </w:r>
          </w:hyperlink>
        </w:p>
        <w:p w14:paraId="7FCB72BB" w14:textId="08C40E77"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5" w:history="1">
            <w:r>
              <w:rPr>
                <w:rStyle w:val="af3"/>
                <w:rFonts w:ascii="宋体" w:hAnsi="宋体"/>
                <w:b w:val="0"/>
                <w:bCs w:val="0"/>
                <w:noProof/>
                <w:color w:val="auto"/>
                <w:sz w:val="24"/>
                <w:szCs w:val="24"/>
              </w:rPr>
              <w:t>六、重大分歧意见的处理经过和依据</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_Toc46098155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9</w:t>
            </w:r>
            <w:r>
              <w:rPr>
                <w:rFonts w:ascii="宋体" w:hAnsi="宋体"/>
                <w:b w:val="0"/>
                <w:bCs w:val="0"/>
                <w:noProof/>
                <w:sz w:val="24"/>
                <w:szCs w:val="24"/>
              </w:rPr>
              <w:fldChar w:fldCharType="end"/>
            </w:r>
          </w:hyperlink>
        </w:p>
        <w:p w14:paraId="3AFD6293" w14:textId="6CC9C948"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6" w:history="1">
            <w:r>
              <w:rPr>
                <w:rStyle w:val="af3"/>
                <w:rFonts w:ascii="宋体" w:hAnsi="宋体"/>
                <w:b w:val="0"/>
                <w:bCs w:val="0"/>
                <w:noProof/>
                <w:color w:val="auto"/>
                <w:sz w:val="24"/>
                <w:szCs w:val="24"/>
              </w:rPr>
              <w:t>七、贯彻标准的要求和措施建议（包括组织措施、技术措施、过渡办法等内容）</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_Toc46098156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9</w:t>
            </w:r>
            <w:r>
              <w:rPr>
                <w:rFonts w:ascii="宋体" w:hAnsi="宋体"/>
                <w:b w:val="0"/>
                <w:bCs w:val="0"/>
                <w:noProof/>
                <w:sz w:val="24"/>
                <w:szCs w:val="24"/>
              </w:rPr>
              <w:fldChar w:fldCharType="end"/>
            </w:r>
          </w:hyperlink>
        </w:p>
        <w:p w14:paraId="25BB77CC" w14:textId="121437B8"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7" w:history="1">
            <w:r>
              <w:rPr>
                <w:rStyle w:val="af3"/>
                <w:rFonts w:ascii="宋体" w:hAnsi="宋体"/>
                <w:b w:val="0"/>
                <w:bCs w:val="0"/>
                <w:noProof/>
                <w:color w:val="auto"/>
                <w:sz w:val="24"/>
                <w:szCs w:val="24"/>
              </w:rPr>
              <w:t>八、废止现行有关标准的建议</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_Toc46098157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9</w:t>
            </w:r>
            <w:r>
              <w:rPr>
                <w:rFonts w:ascii="宋体" w:hAnsi="宋体"/>
                <w:b w:val="0"/>
                <w:bCs w:val="0"/>
                <w:noProof/>
                <w:sz w:val="24"/>
                <w:szCs w:val="24"/>
              </w:rPr>
              <w:fldChar w:fldCharType="end"/>
            </w:r>
          </w:hyperlink>
        </w:p>
        <w:p w14:paraId="23EF9125" w14:textId="5C9969AF" w:rsidR="00906414" w:rsidRDefault="00000000">
          <w:pPr>
            <w:pStyle w:val="TOC1"/>
            <w:tabs>
              <w:tab w:val="right" w:leader="dot" w:pos="8268"/>
            </w:tabs>
            <w:spacing w:line="360" w:lineRule="auto"/>
            <w:rPr>
              <w:rFonts w:ascii="宋体" w:hAnsi="宋体" w:cstheme="minorBidi"/>
              <w:b w:val="0"/>
              <w:bCs w:val="0"/>
              <w:caps w:val="0"/>
              <w:noProof/>
              <w:sz w:val="24"/>
              <w:szCs w:val="24"/>
            </w:rPr>
          </w:pPr>
          <w:hyperlink w:anchor="_Toc46098158" w:history="1">
            <w:r>
              <w:rPr>
                <w:rStyle w:val="af3"/>
                <w:rFonts w:ascii="宋体" w:hAnsi="宋体"/>
                <w:b w:val="0"/>
                <w:bCs w:val="0"/>
                <w:noProof/>
                <w:color w:val="auto"/>
                <w:sz w:val="24"/>
                <w:szCs w:val="24"/>
              </w:rPr>
              <w:t>九、其他应予说明的事项</w:t>
            </w:r>
            <w:r>
              <w:rPr>
                <w:rFonts w:ascii="宋体" w:hAnsi="宋体"/>
                <w:b w:val="0"/>
                <w:bCs w:val="0"/>
                <w:noProof/>
                <w:sz w:val="24"/>
                <w:szCs w:val="24"/>
              </w:rPr>
              <w:tab/>
            </w:r>
            <w:r>
              <w:rPr>
                <w:rFonts w:ascii="宋体" w:hAnsi="宋体"/>
                <w:b w:val="0"/>
                <w:bCs w:val="0"/>
                <w:noProof/>
                <w:sz w:val="24"/>
                <w:szCs w:val="24"/>
              </w:rPr>
              <w:fldChar w:fldCharType="begin"/>
            </w:r>
            <w:r>
              <w:rPr>
                <w:rFonts w:ascii="宋体" w:hAnsi="宋体"/>
                <w:b w:val="0"/>
                <w:bCs w:val="0"/>
                <w:noProof/>
                <w:sz w:val="24"/>
                <w:szCs w:val="24"/>
              </w:rPr>
              <w:instrText xml:space="preserve"> PAGEREF _Toc46098158 \h </w:instrText>
            </w:r>
            <w:r>
              <w:rPr>
                <w:rFonts w:ascii="宋体" w:hAnsi="宋体"/>
                <w:b w:val="0"/>
                <w:bCs w:val="0"/>
                <w:noProof/>
                <w:sz w:val="24"/>
                <w:szCs w:val="24"/>
              </w:rPr>
            </w:r>
            <w:r>
              <w:rPr>
                <w:rFonts w:ascii="宋体" w:hAnsi="宋体"/>
                <w:b w:val="0"/>
                <w:bCs w:val="0"/>
                <w:noProof/>
                <w:sz w:val="24"/>
                <w:szCs w:val="24"/>
              </w:rPr>
              <w:fldChar w:fldCharType="separate"/>
            </w:r>
            <w:r w:rsidR="001C4752">
              <w:rPr>
                <w:rFonts w:ascii="宋体" w:hAnsi="宋体"/>
                <w:b w:val="0"/>
                <w:bCs w:val="0"/>
                <w:noProof/>
                <w:sz w:val="24"/>
                <w:szCs w:val="24"/>
              </w:rPr>
              <w:t>9</w:t>
            </w:r>
            <w:r>
              <w:rPr>
                <w:rFonts w:ascii="宋体" w:hAnsi="宋体"/>
                <w:b w:val="0"/>
                <w:bCs w:val="0"/>
                <w:noProof/>
                <w:sz w:val="24"/>
                <w:szCs w:val="24"/>
              </w:rPr>
              <w:fldChar w:fldCharType="end"/>
            </w:r>
          </w:hyperlink>
        </w:p>
        <w:p w14:paraId="38A00F95" w14:textId="77777777" w:rsidR="00906414" w:rsidRDefault="00000000">
          <w:pPr>
            <w:spacing w:line="360" w:lineRule="auto"/>
            <w:rPr>
              <w:rFonts w:ascii="宋体" w:hAnsi="宋体"/>
              <w:sz w:val="24"/>
              <w:szCs w:val="24"/>
            </w:rPr>
          </w:pPr>
          <w:r>
            <w:rPr>
              <w:rFonts w:ascii="宋体" w:hAnsi="宋体"/>
              <w:sz w:val="24"/>
              <w:szCs w:val="24"/>
            </w:rPr>
            <w:fldChar w:fldCharType="end"/>
          </w:r>
        </w:p>
      </w:sdtContent>
    </w:sdt>
    <w:p w14:paraId="6F82AA7B" w14:textId="77777777" w:rsidR="00906414" w:rsidRDefault="00906414">
      <w:pPr>
        <w:spacing w:line="360" w:lineRule="auto"/>
        <w:rPr>
          <w:rFonts w:ascii="黑体" w:eastAsia="黑体" w:hAnsi="黑体"/>
          <w:szCs w:val="21"/>
        </w:rPr>
        <w:sectPr w:rsidR="00906414">
          <w:footerReference w:type="default" r:id="rId9"/>
          <w:pgSz w:w="11906" w:h="16838"/>
          <w:pgMar w:top="1588" w:right="1814" w:bottom="1588" w:left="1814" w:header="851" w:footer="992" w:gutter="0"/>
          <w:cols w:space="425"/>
          <w:titlePg/>
          <w:docGrid w:type="lines" w:linePitch="312"/>
        </w:sectPr>
      </w:pPr>
    </w:p>
    <w:p w14:paraId="02D32B58"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0" w:name="_Toc46098150"/>
      <w:bookmarkStart w:id="1" w:name="_Toc483660122"/>
      <w:bookmarkStart w:id="2" w:name="_Toc89252253"/>
      <w:r>
        <w:rPr>
          <w:rFonts w:asciiTheme="minorEastAsia" w:eastAsiaTheme="minorEastAsia" w:hAnsiTheme="minorEastAsia" w:hint="eastAsia"/>
          <w:b/>
          <w:sz w:val="24"/>
          <w:szCs w:val="24"/>
        </w:rPr>
        <w:lastRenderedPageBreak/>
        <w:t>一、工</w:t>
      </w:r>
      <w:r>
        <w:rPr>
          <w:rFonts w:asciiTheme="minorEastAsia" w:eastAsiaTheme="minorEastAsia" w:hAnsiTheme="minorEastAsia" w:cs="Arial"/>
          <w:b/>
          <w:sz w:val="24"/>
          <w:szCs w:val="24"/>
        </w:rPr>
        <w:t>作简况</w:t>
      </w:r>
      <w:bookmarkEnd w:id="0"/>
      <w:bookmarkEnd w:id="1"/>
    </w:p>
    <w:p w14:paraId="7A328FC7" w14:textId="77777777" w:rsidR="00906414" w:rsidRDefault="00000000">
      <w:pPr>
        <w:spacing w:beforeLines="50" w:before="156" w:line="360" w:lineRule="auto"/>
        <w:outlineLvl w:val="1"/>
        <w:rPr>
          <w:rFonts w:asciiTheme="minorEastAsia" w:eastAsiaTheme="minorEastAsia" w:hAnsiTheme="minorEastAsia"/>
          <w:b/>
          <w:sz w:val="24"/>
          <w:szCs w:val="24"/>
        </w:rPr>
      </w:pPr>
      <w:bookmarkStart w:id="3" w:name="_Toc26972780"/>
      <w:bookmarkStart w:id="4" w:name="_Toc483660123"/>
      <w:r>
        <w:rPr>
          <w:rFonts w:asciiTheme="minorEastAsia" w:eastAsiaTheme="minorEastAsia" w:hAnsiTheme="minorEastAsia" w:hint="eastAsia"/>
          <w:b/>
          <w:sz w:val="24"/>
          <w:szCs w:val="24"/>
        </w:rPr>
        <w:t>（一）任务来源</w:t>
      </w:r>
      <w:bookmarkEnd w:id="2"/>
      <w:bookmarkEnd w:id="3"/>
      <w:bookmarkEnd w:id="4"/>
    </w:p>
    <w:p w14:paraId="00C2CA13" w14:textId="7B908C17" w:rsidR="00906414" w:rsidRDefault="00000000">
      <w:pPr>
        <w:spacing w:beforeLines="50" w:before="156" w:line="360" w:lineRule="auto"/>
        <w:ind w:firstLine="435"/>
        <w:jc w:val="left"/>
        <w:rPr>
          <w:rFonts w:asciiTheme="minorEastAsia" w:eastAsiaTheme="minorEastAsia" w:hAnsiTheme="minorEastAsia"/>
          <w:sz w:val="24"/>
          <w:szCs w:val="24"/>
        </w:rPr>
      </w:pPr>
      <w:r>
        <w:rPr>
          <w:rFonts w:asciiTheme="minorEastAsia" w:eastAsiaTheme="minorEastAsia" w:hAnsiTheme="minorEastAsia" w:hint="eastAsia"/>
          <w:sz w:val="24"/>
          <w:szCs w:val="24"/>
        </w:rPr>
        <w:t>团体标准《</w:t>
      </w:r>
      <w:r w:rsidR="00F75D4F" w:rsidRPr="00F75D4F">
        <w:rPr>
          <w:rFonts w:asciiTheme="minorEastAsia" w:eastAsiaTheme="minorEastAsia" w:hAnsiTheme="minorEastAsia" w:hint="eastAsia"/>
          <w:bCs/>
          <w:sz w:val="24"/>
          <w:szCs w:val="24"/>
        </w:rPr>
        <w:t>内贸集装箱码头业务单证技术要求</w:t>
      </w:r>
      <w:r>
        <w:rPr>
          <w:rFonts w:asciiTheme="minorEastAsia" w:eastAsiaTheme="minorEastAsia" w:hAnsiTheme="minorEastAsia" w:hint="eastAsia"/>
          <w:sz w:val="24"/>
          <w:szCs w:val="24"/>
        </w:rPr>
        <w:t>》是根据</w:t>
      </w:r>
      <w:r>
        <w:rPr>
          <w:rFonts w:asciiTheme="minorEastAsia" w:eastAsiaTheme="minorEastAsia" w:hAnsiTheme="minorEastAsia"/>
          <w:sz w:val="24"/>
          <w:szCs w:val="24"/>
        </w:rPr>
        <w:t>2022</w:t>
      </w:r>
      <w:r>
        <w:rPr>
          <w:rFonts w:asciiTheme="minorEastAsia" w:eastAsiaTheme="minorEastAsia" w:hAnsiTheme="minorEastAsia" w:hint="eastAsia"/>
          <w:sz w:val="24"/>
          <w:szCs w:val="24"/>
        </w:rPr>
        <w:t>年中国港口协会团体标准工作计划安排，由上海国际港务（集团）股份有限公司牵头起草。</w:t>
      </w:r>
    </w:p>
    <w:p w14:paraId="4BCED9D9" w14:textId="77777777" w:rsidR="00906414" w:rsidRDefault="00000000">
      <w:pPr>
        <w:spacing w:beforeLines="50" w:before="156" w:line="360" w:lineRule="auto"/>
        <w:outlineLvl w:val="1"/>
        <w:rPr>
          <w:rFonts w:asciiTheme="minorEastAsia" w:eastAsiaTheme="minorEastAsia" w:hAnsiTheme="minorEastAsia"/>
          <w:b/>
          <w:sz w:val="24"/>
          <w:szCs w:val="24"/>
        </w:rPr>
      </w:pPr>
      <w:bookmarkStart w:id="5" w:name="_Toc26972781"/>
      <w:r>
        <w:rPr>
          <w:rFonts w:asciiTheme="minorEastAsia" w:eastAsiaTheme="minorEastAsia" w:hAnsiTheme="minorEastAsia" w:hint="eastAsia"/>
          <w:b/>
          <w:sz w:val="24"/>
          <w:szCs w:val="24"/>
        </w:rPr>
        <w:t>（二）起草单位</w:t>
      </w:r>
      <w:bookmarkEnd w:id="5"/>
    </w:p>
    <w:p w14:paraId="59883458" w14:textId="3844DC7B" w:rsidR="00906414" w:rsidRDefault="00000000">
      <w:pPr>
        <w:spacing w:beforeLines="50" w:before="156" w:line="360" w:lineRule="auto"/>
        <w:ind w:firstLine="435"/>
        <w:jc w:val="left"/>
        <w:rPr>
          <w:rFonts w:ascii="黑体" w:eastAsia="黑体" w:hAnsi="黑体"/>
          <w:sz w:val="24"/>
          <w:szCs w:val="24"/>
        </w:rPr>
      </w:pPr>
      <w:r>
        <w:rPr>
          <w:rFonts w:ascii="宋体" w:hint="eastAsia"/>
          <w:sz w:val="24"/>
          <w:szCs w:val="24"/>
        </w:rPr>
        <w:t>标准编写主要由上海国际港务（集团）股份有限公司负责、协作单位主要为</w:t>
      </w:r>
      <w:r w:rsidR="001C3678" w:rsidRPr="001C3678">
        <w:rPr>
          <w:rFonts w:asciiTheme="minorEastAsia" w:eastAsiaTheme="minorEastAsia" w:hAnsiTheme="minorEastAsia" w:hint="eastAsia"/>
          <w:sz w:val="24"/>
          <w:szCs w:val="24"/>
        </w:rPr>
        <w:t>厦门集装箱码头集团有限公司、宁波舟山港股份有限公司、港联航人工智能科技（上海）有限公司、上海海事大学、中国港口协会</w:t>
      </w:r>
      <w:r>
        <w:rPr>
          <w:rFonts w:ascii="宋体" w:hint="eastAsia"/>
          <w:sz w:val="24"/>
          <w:szCs w:val="24"/>
        </w:rPr>
        <w:t>。</w:t>
      </w:r>
    </w:p>
    <w:p w14:paraId="594D0975" w14:textId="77777777" w:rsidR="00906414" w:rsidRDefault="00000000">
      <w:pPr>
        <w:spacing w:beforeLines="50" w:before="156" w:line="360" w:lineRule="auto"/>
        <w:outlineLvl w:val="1"/>
        <w:rPr>
          <w:rFonts w:asciiTheme="minorEastAsia" w:eastAsiaTheme="minorEastAsia" w:hAnsiTheme="minorEastAsia"/>
          <w:b/>
          <w:sz w:val="24"/>
          <w:szCs w:val="24"/>
        </w:rPr>
      </w:pPr>
      <w:bookmarkStart w:id="6" w:name="_Toc26972782"/>
      <w:r>
        <w:rPr>
          <w:rFonts w:asciiTheme="minorEastAsia" w:eastAsiaTheme="minorEastAsia" w:hAnsiTheme="minorEastAsia" w:hint="eastAsia"/>
          <w:b/>
          <w:sz w:val="24"/>
          <w:szCs w:val="24"/>
        </w:rPr>
        <w:t>（三）主要起草人及其所做的工作</w:t>
      </w:r>
      <w:bookmarkEnd w:id="6"/>
    </w:p>
    <w:p w14:paraId="7B70A026" w14:textId="77777777" w:rsidR="00906414" w:rsidRDefault="00000000">
      <w:pPr>
        <w:spacing w:beforeLines="50" w:before="156" w:line="360" w:lineRule="auto"/>
        <w:ind w:firstLine="435"/>
        <w:jc w:val="left"/>
        <w:rPr>
          <w:rFonts w:ascii="宋体"/>
          <w:sz w:val="24"/>
          <w:szCs w:val="24"/>
        </w:rPr>
      </w:pPr>
      <w:r>
        <w:rPr>
          <w:rFonts w:ascii="宋体" w:hint="eastAsia"/>
          <w:sz w:val="24"/>
          <w:szCs w:val="24"/>
        </w:rPr>
        <w:t>标准主要起草人有严俊、韩青原、周勇、戚晓凌、刘煜明、朱季超、乐东新、张鑫、赵宁、沈一帆。</w:t>
      </w:r>
    </w:p>
    <w:p w14:paraId="2ABCB90F" w14:textId="77777777" w:rsidR="00906414" w:rsidRDefault="00000000">
      <w:pPr>
        <w:spacing w:beforeLines="50" w:before="156" w:line="360" w:lineRule="auto"/>
        <w:ind w:firstLine="435"/>
        <w:jc w:val="left"/>
        <w:rPr>
          <w:rFonts w:ascii="宋体"/>
          <w:sz w:val="24"/>
          <w:szCs w:val="24"/>
        </w:rPr>
      </w:pPr>
      <w:r>
        <w:rPr>
          <w:rFonts w:ascii="宋体" w:hint="eastAsia"/>
          <w:sz w:val="24"/>
          <w:szCs w:val="24"/>
        </w:rPr>
        <w:t>起草人任务分工见表1。</w:t>
      </w:r>
    </w:p>
    <w:p w14:paraId="25143377" w14:textId="77777777" w:rsidR="00906414" w:rsidRDefault="00000000">
      <w:pPr>
        <w:spacing w:beforeLines="50" w:before="156" w:line="360" w:lineRule="auto"/>
        <w:jc w:val="center"/>
        <w:rPr>
          <w:rFonts w:ascii="黑体" w:eastAsia="黑体" w:hAnsi="黑体"/>
          <w:sz w:val="24"/>
          <w:szCs w:val="24"/>
        </w:rPr>
      </w:pPr>
      <w:r>
        <w:rPr>
          <w:rFonts w:ascii="黑体" w:eastAsia="黑体" w:hAnsi="黑体" w:hint="eastAsia"/>
          <w:sz w:val="24"/>
          <w:szCs w:val="24"/>
        </w:rPr>
        <w:t>表1 标准主要起草人任务分工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128"/>
        <w:gridCol w:w="1559"/>
        <w:gridCol w:w="1115"/>
        <w:gridCol w:w="2480"/>
      </w:tblGrid>
      <w:tr w:rsidR="00906414" w14:paraId="4FD8162D" w14:textId="77777777" w:rsidTr="001C3678">
        <w:tc>
          <w:tcPr>
            <w:tcW w:w="596" w:type="pct"/>
          </w:tcPr>
          <w:p w14:paraId="13072CDB" w14:textId="77777777" w:rsidR="00906414" w:rsidRDefault="00000000"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姓名</w:t>
            </w:r>
          </w:p>
        </w:tc>
        <w:tc>
          <w:tcPr>
            <w:tcW w:w="1287" w:type="pct"/>
          </w:tcPr>
          <w:p w14:paraId="1550921F" w14:textId="77777777" w:rsidR="00906414" w:rsidRDefault="00000000"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单  位</w:t>
            </w:r>
          </w:p>
        </w:tc>
        <w:tc>
          <w:tcPr>
            <w:tcW w:w="943" w:type="pct"/>
          </w:tcPr>
          <w:p w14:paraId="4F026A74" w14:textId="77777777" w:rsidR="00906414" w:rsidRDefault="00000000"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职务、职称</w:t>
            </w:r>
          </w:p>
        </w:tc>
        <w:tc>
          <w:tcPr>
            <w:tcW w:w="674" w:type="pct"/>
          </w:tcPr>
          <w:p w14:paraId="2ABAD103" w14:textId="77777777" w:rsidR="00906414" w:rsidRDefault="00000000"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项目职务</w:t>
            </w:r>
          </w:p>
        </w:tc>
        <w:tc>
          <w:tcPr>
            <w:tcW w:w="1500" w:type="pct"/>
          </w:tcPr>
          <w:p w14:paraId="5BF13701" w14:textId="77777777" w:rsidR="00906414" w:rsidRDefault="00000000">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分    工</w:t>
            </w:r>
          </w:p>
        </w:tc>
      </w:tr>
      <w:tr w:rsidR="00906414" w14:paraId="7B3707ED" w14:textId="77777777" w:rsidTr="001C3678">
        <w:trPr>
          <w:trHeight w:val="1457"/>
        </w:trPr>
        <w:tc>
          <w:tcPr>
            <w:tcW w:w="596" w:type="pct"/>
            <w:vAlign w:val="center"/>
          </w:tcPr>
          <w:p w14:paraId="2FD79D02" w14:textId="77777777" w:rsidR="00906414" w:rsidRDefault="00000000">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严俊</w:t>
            </w:r>
          </w:p>
        </w:tc>
        <w:tc>
          <w:tcPr>
            <w:tcW w:w="1287" w:type="pct"/>
            <w:vAlign w:val="center"/>
          </w:tcPr>
          <w:p w14:paraId="7DAF1556" w14:textId="77777777" w:rsidR="00906414" w:rsidRDefault="00000000">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上海国际港务（集团）股份有限公司</w:t>
            </w:r>
          </w:p>
        </w:tc>
        <w:tc>
          <w:tcPr>
            <w:tcW w:w="943" w:type="pct"/>
            <w:vAlign w:val="center"/>
          </w:tcPr>
          <w:p w14:paraId="40D28C9D" w14:textId="77777777" w:rsidR="00906414" w:rsidRDefault="00000000">
            <w:pPr>
              <w:spacing w:beforeLines="50" w:before="156" w:line="360" w:lineRule="auto"/>
              <w:ind w:firstLine="34"/>
              <w:jc w:val="center"/>
              <w:rPr>
                <w:rFonts w:asciiTheme="minorEastAsia" w:eastAsiaTheme="minorEastAsia" w:hAnsiTheme="minorEastAsia"/>
                <w:szCs w:val="21"/>
              </w:rPr>
            </w:pPr>
            <w:r>
              <w:rPr>
                <w:rFonts w:asciiTheme="minorEastAsia" w:eastAsiaTheme="minorEastAsia" w:hAnsiTheme="minorEastAsia" w:hint="eastAsia"/>
                <w:szCs w:val="21"/>
              </w:rPr>
              <w:t>总裁，高级工程师</w:t>
            </w:r>
          </w:p>
        </w:tc>
        <w:tc>
          <w:tcPr>
            <w:tcW w:w="674" w:type="pct"/>
            <w:vAlign w:val="center"/>
          </w:tcPr>
          <w:p w14:paraId="68692CFD" w14:textId="77777777" w:rsidR="00906414" w:rsidRDefault="00000000">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组长</w:t>
            </w:r>
          </w:p>
        </w:tc>
        <w:tc>
          <w:tcPr>
            <w:tcW w:w="1500" w:type="pct"/>
            <w:vAlign w:val="center"/>
          </w:tcPr>
          <w:p w14:paraId="25EFCA77" w14:textId="77777777" w:rsidR="00906414" w:rsidRDefault="00000000">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标准编制总负责，第</w:t>
            </w:r>
            <w:r>
              <w:rPr>
                <w:rFonts w:asciiTheme="minorEastAsia" w:eastAsiaTheme="minorEastAsia" w:hAnsiTheme="minorEastAsia"/>
                <w:szCs w:val="21"/>
              </w:rPr>
              <w:t>1</w:t>
            </w:r>
            <w:r>
              <w:rPr>
                <w:rFonts w:asciiTheme="minorEastAsia" w:eastAsiaTheme="minorEastAsia" w:hAnsiTheme="minorEastAsia" w:hint="eastAsia"/>
                <w:szCs w:val="21"/>
              </w:rPr>
              <w:t>～</w:t>
            </w:r>
            <w:r>
              <w:rPr>
                <w:rFonts w:asciiTheme="minorEastAsia" w:eastAsiaTheme="minorEastAsia" w:hAnsiTheme="minorEastAsia"/>
                <w:szCs w:val="21"/>
              </w:rPr>
              <w:t>3</w:t>
            </w:r>
            <w:r>
              <w:rPr>
                <w:rFonts w:asciiTheme="minorEastAsia" w:eastAsiaTheme="minorEastAsia" w:hAnsiTheme="minorEastAsia" w:hint="eastAsia"/>
                <w:szCs w:val="21"/>
              </w:rPr>
              <w:t>章节的编写，审核相关技术。</w:t>
            </w:r>
          </w:p>
        </w:tc>
      </w:tr>
      <w:tr w:rsidR="001C3678" w14:paraId="0088C02A" w14:textId="77777777" w:rsidTr="001C3678">
        <w:tc>
          <w:tcPr>
            <w:tcW w:w="596" w:type="pct"/>
            <w:vAlign w:val="center"/>
          </w:tcPr>
          <w:p w14:paraId="093800FE" w14:textId="729FC7D4"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韩青原</w:t>
            </w:r>
          </w:p>
        </w:tc>
        <w:tc>
          <w:tcPr>
            <w:tcW w:w="1287" w:type="pct"/>
            <w:vAlign w:val="center"/>
          </w:tcPr>
          <w:p w14:paraId="448AC759" w14:textId="6A3102DB"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上海国际港务（集团）股份有限公司</w:t>
            </w:r>
          </w:p>
        </w:tc>
        <w:tc>
          <w:tcPr>
            <w:tcW w:w="943" w:type="pct"/>
            <w:vAlign w:val="center"/>
          </w:tcPr>
          <w:p w14:paraId="1B0E6837" w14:textId="508DDA44" w:rsidR="001C3678" w:rsidRP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科技信息部副总经理</w:t>
            </w:r>
          </w:p>
        </w:tc>
        <w:tc>
          <w:tcPr>
            <w:tcW w:w="674" w:type="pct"/>
            <w:vAlign w:val="center"/>
          </w:tcPr>
          <w:p w14:paraId="12C0D961"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0B601816"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标准全文修辞与英文审核。</w:t>
            </w:r>
          </w:p>
        </w:tc>
      </w:tr>
      <w:tr w:rsidR="001C3678" w14:paraId="7665B0E5" w14:textId="77777777" w:rsidTr="001C3678">
        <w:tc>
          <w:tcPr>
            <w:tcW w:w="596" w:type="pct"/>
            <w:vAlign w:val="center"/>
          </w:tcPr>
          <w:p w14:paraId="1940B944" w14:textId="001D11D7"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杨焱滨</w:t>
            </w:r>
          </w:p>
        </w:tc>
        <w:tc>
          <w:tcPr>
            <w:tcW w:w="1287" w:type="pct"/>
            <w:vAlign w:val="center"/>
          </w:tcPr>
          <w:p w14:paraId="63102D69" w14:textId="61795502"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上海国际港务（集团）股份有限公司</w:t>
            </w:r>
          </w:p>
        </w:tc>
        <w:tc>
          <w:tcPr>
            <w:tcW w:w="943" w:type="pct"/>
            <w:vAlign w:val="center"/>
          </w:tcPr>
          <w:p w14:paraId="7EAAF3F6" w14:textId="69E85377" w:rsidR="001C3678" w:rsidRP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生产业务部副总经理</w:t>
            </w:r>
          </w:p>
        </w:tc>
        <w:tc>
          <w:tcPr>
            <w:tcW w:w="674" w:type="pct"/>
            <w:vAlign w:val="center"/>
          </w:tcPr>
          <w:p w14:paraId="7F5E32A7"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5BCA2E79"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整理材料，撰写文稿。</w:t>
            </w:r>
          </w:p>
        </w:tc>
      </w:tr>
      <w:tr w:rsidR="001C3678" w14:paraId="063A2351" w14:textId="77777777" w:rsidTr="001C3678">
        <w:tc>
          <w:tcPr>
            <w:tcW w:w="596" w:type="pct"/>
            <w:vAlign w:val="center"/>
          </w:tcPr>
          <w:p w14:paraId="36403256" w14:textId="21460F84"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王晨曦</w:t>
            </w:r>
          </w:p>
        </w:tc>
        <w:tc>
          <w:tcPr>
            <w:tcW w:w="1287" w:type="pct"/>
            <w:vAlign w:val="center"/>
          </w:tcPr>
          <w:p w14:paraId="57D7CB5B" w14:textId="574E496F"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上海国际港务（集团）股份有限公司</w:t>
            </w:r>
          </w:p>
        </w:tc>
        <w:tc>
          <w:tcPr>
            <w:tcW w:w="943" w:type="pct"/>
            <w:vAlign w:val="center"/>
          </w:tcPr>
          <w:p w14:paraId="0CA15228" w14:textId="2847CEFF" w:rsidR="001C3678" w:rsidRP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主管</w:t>
            </w:r>
          </w:p>
        </w:tc>
        <w:tc>
          <w:tcPr>
            <w:tcW w:w="674" w:type="pct"/>
            <w:vAlign w:val="center"/>
          </w:tcPr>
          <w:p w14:paraId="23D971D2"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67F03BFC" w14:textId="3A4A65C5"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文献资料检索、编写与调研</w:t>
            </w:r>
          </w:p>
        </w:tc>
      </w:tr>
      <w:tr w:rsidR="001C3678" w14:paraId="6717AD61" w14:textId="77777777" w:rsidTr="001C3678">
        <w:tc>
          <w:tcPr>
            <w:tcW w:w="596" w:type="pct"/>
            <w:vAlign w:val="center"/>
          </w:tcPr>
          <w:p w14:paraId="7F699C0F" w14:textId="62A014BD"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刘煜明</w:t>
            </w:r>
          </w:p>
        </w:tc>
        <w:tc>
          <w:tcPr>
            <w:tcW w:w="1287" w:type="pct"/>
            <w:vAlign w:val="center"/>
          </w:tcPr>
          <w:p w14:paraId="1194F026" w14:textId="20F6A5D4"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上海国际港务（集</w:t>
            </w:r>
            <w:r w:rsidRPr="001C3678">
              <w:rPr>
                <w:rFonts w:asciiTheme="minorEastAsia" w:eastAsiaTheme="minorEastAsia" w:hAnsiTheme="minorEastAsia" w:hint="eastAsia"/>
                <w:szCs w:val="21"/>
              </w:rPr>
              <w:lastRenderedPageBreak/>
              <w:t>团）股份有限公司</w:t>
            </w:r>
          </w:p>
        </w:tc>
        <w:tc>
          <w:tcPr>
            <w:tcW w:w="943" w:type="pct"/>
            <w:vAlign w:val="center"/>
          </w:tcPr>
          <w:p w14:paraId="19CDAFA8" w14:textId="2AD47E53"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lastRenderedPageBreak/>
              <w:t>工程师/主管</w:t>
            </w:r>
          </w:p>
        </w:tc>
        <w:tc>
          <w:tcPr>
            <w:tcW w:w="674" w:type="pct"/>
            <w:vAlign w:val="center"/>
          </w:tcPr>
          <w:p w14:paraId="02D88F4F"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48FE83EB" w14:textId="5A9D97FD"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调研与总体框架设计，</w:t>
            </w:r>
            <w:r w:rsidR="006047BA">
              <w:rPr>
                <w:rFonts w:asciiTheme="minorEastAsia" w:eastAsiaTheme="minorEastAsia" w:hAnsiTheme="minorEastAsia" w:hint="eastAsia"/>
                <w:szCs w:val="21"/>
              </w:rPr>
              <w:lastRenderedPageBreak/>
              <w:t>协调各单位会议等事宜</w:t>
            </w:r>
          </w:p>
        </w:tc>
      </w:tr>
      <w:tr w:rsidR="001C3678" w14:paraId="61165C74" w14:textId="77777777" w:rsidTr="001C3678">
        <w:tc>
          <w:tcPr>
            <w:tcW w:w="596" w:type="pct"/>
            <w:vAlign w:val="center"/>
          </w:tcPr>
          <w:p w14:paraId="12635F5F" w14:textId="33FF0405"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lastRenderedPageBreak/>
              <w:t>郭丹军</w:t>
            </w:r>
          </w:p>
        </w:tc>
        <w:tc>
          <w:tcPr>
            <w:tcW w:w="1287" w:type="pct"/>
            <w:vAlign w:val="center"/>
          </w:tcPr>
          <w:p w14:paraId="094E8007" w14:textId="097EF1C2"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上海国际港务（集团）股份有限公司宜东集装箱码头分公司</w:t>
            </w:r>
          </w:p>
        </w:tc>
        <w:tc>
          <w:tcPr>
            <w:tcW w:w="943" w:type="pct"/>
            <w:vAlign w:val="center"/>
          </w:tcPr>
          <w:p w14:paraId="23924F15" w14:textId="28792936" w:rsidR="001C3678" w:rsidRP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营运操作部副经理</w:t>
            </w:r>
          </w:p>
        </w:tc>
        <w:tc>
          <w:tcPr>
            <w:tcW w:w="674" w:type="pct"/>
            <w:vAlign w:val="center"/>
          </w:tcPr>
          <w:p w14:paraId="3EF0977E"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2EF0A5D3" w14:textId="34037A1E" w:rsidR="001C3678" w:rsidRDefault="006047BA"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负责</w:t>
            </w:r>
            <w:r>
              <w:rPr>
                <w:rFonts w:asciiTheme="minorEastAsia" w:eastAsiaTheme="minorEastAsia" w:hAnsiTheme="minorEastAsia" w:hint="eastAsia"/>
                <w:szCs w:val="21"/>
              </w:rPr>
              <w:t>第</w:t>
            </w:r>
            <w:r>
              <w:rPr>
                <w:rFonts w:asciiTheme="minorEastAsia" w:eastAsiaTheme="minorEastAsia" w:hAnsiTheme="minorEastAsia"/>
                <w:szCs w:val="21"/>
              </w:rPr>
              <w:t>4</w:t>
            </w:r>
            <w:r>
              <w:rPr>
                <w:rFonts w:asciiTheme="minorEastAsia" w:eastAsiaTheme="minorEastAsia" w:hAnsiTheme="minorEastAsia"/>
                <w:szCs w:val="21"/>
              </w:rPr>
              <w:t>-5</w:t>
            </w:r>
            <w:r>
              <w:rPr>
                <w:rFonts w:asciiTheme="minorEastAsia" w:eastAsiaTheme="minorEastAsia" w:hAnsiTheme="minorEastAsia" w:hint="eastAsia"/>
                <w:szCs w:val="21"/>
              </w:rPr>
              <w:t>章节的编写及相关技术论证。</w:t>
            </w:r>
          </w:p>
        </w:tc>
      </w:tr>
      <w:tr w:rsidR="001C3678" w14:paraId="6B151AAC" w14:textId="77777777" w:rsidTr="001C3678">
        <w:tc>
          <w:tcPr>
            <w:tcW w:w="596" w:type="pct"/>
            <w:vAlign w:val="center"/>
          </w:tcPr>
          <w:p w14:paraId="31E5AEF3" w14:textId="5B81FF3B"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杨宗杰</w:t>
            </w:r>
          </w:p>
        </w:tc>
        <w:tc>
          <w:tcPr>
            <w:tcW w:w="1287" w:type="pct"/>
            <w:vAlign w:val="center"/>
          </w:tcPr>
          <w:p w14:paraId="53756DD4" w14:textId="400B36A6" w:rsid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上海国际港务（集团）股份有限公司宜东集装箱码头分公司</w:t>
            </w:r>
          </w:p>
        </w:tc>
        <w:tc>
          <w:tcPr>
            <w:tcW w:w="943" w:type="pct"/>
            <w:vAlign w:val="center"/>
          </w:tcPr>
          <w:p w14:paraId="5B0337C7" w14:textId="6D197D93" w:rsidR="001C3678" w:rsidRPr="001C3678" w:rsidRDefault="001C3678" w:rsidP="001C3678">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总经理办公室副主任</w:t>
            </w:r>
          </w:p>
        </w:tc>
        <w:tc>
          <w:tcPr>
            <w:tcW w:w="674" w:type="pct"/>
            <w:vAlign w:val="center"/>
          </w:tcPr>
          <w:p w14:paraId="257FBE5D" w14:textId="77777777" w:rsidR="001C3678" w:rsidRDefault="001C3678"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30B6ACEF" w14:textId="6EE32265" w:rsidR="001C3678" w:rsidRDefault="006047BA" w:rsidP="001C3678">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参与</w:t>
            </w:r>
            <w:r>
              <w:rPr>
                <w:rFonts w:asciiTheme="minorEastAsia" w:eastAsiaTheme="minorEastAsia" w:hAnsiTheme="minorEastAsia" w:hint="eastAsia"/>
                <w:szCs w:val="21"/>
              </w:rPr>
              <w:t>第</w:t>
            </w:r>
            <w:r>
              <w:rPr>
                <w:rFonts w:asciiTheme="minorEastAsia" w:eastAsiaTheme="minorEastAsia" w:hAnsiTheme="minorEastAsia"/>
                <w:szCs w:val="21"/>
              </w:rPr>
              <w:t>4</w:t>
            </w:r>
            <w:r>
              <w:rPr>
                <w:rFonts w:asciiTheme="minorEastAsia" w:eastAsiaTheme="minorEastAsia" w:hAnsiTheme="minorEastAsia"/>
                <w:szCs w:val="21"/>
              </w:rPr>
              <w:t>-5</w:t>
            </w:r>
            <w:r>
              <w:rPr>
                <w:rFonts w:asciiTheme="minorEastAsia" w:eastAsiaTheme="minorEastAsia" w:hAnsiTheme="minorEastAsia" w:hint="eastAsia"/>
                <w:szCs w:val="21"/>
              </w:rPr>
              <w:t>章节的编写及相关技术论证。</w:t>
            </w:r>
          </w:p>
        </w:tc>
      </w:tr>
      <w:tr w:rsidR="006047BA" w14:paraId="27632C14" w14:textId="77777777" w:rsidTr="001C3678">
        <w:tc>
          <w:tcPr>
            <w:tcW w:w="596" w:type="pct"/>
            <w:vAlign w:val="center"/>
          </w:tcPr>
          <w:p w14:paraId="54DEDAE6" w14:textId="229EC645" w:rsidR="006047BA" w:rsidRPr="001C3678" w:rsidRDefault="006047BA" w:rsidP="006047BA">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吕建平</w:t>
            </w:r>
          </w:p>
        </w:tc>
        <w:tc>
          <w:tcPr>
            <w:tcW w:w="1287" w:type="pct"/>
            <w:vAlign w:val="center"/>
          </w:tcPr>
          <w:p w14:paraId="04807B02" w14:textId="40291816" w:rsidR="006047BA" w:rsidRPr="001C3678" w:rsidRDefault="006047BA" w:rsidP="006047BA">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厦门集装箱码头集团</w:t>
            </w:r>
          </w:p>
        </w:tc>
        <w:tc>
          <w:tcPr>
            <w:tcW w:w="943" w:type="pct"/>
            <w:vAlign w:val="center"/>
          </w:tcPr>
          <w:p w14:paraId="4FFBB0DA" w14:textId="038DE7BA" w:rsidR="006047BA" w:rsidRPr="001C3678" w:rsidRDefault="006047BA" w:rsidP="006047BA">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高级经济师/副总经理</w:t>
            </w:r>
          </w:p>
        </w:tc>
        <w:tc>
          <w:tcPr>
            <w:tcW w:w="674" w:type="pct"/>
            <w:vAlign w:val="center"/>
          </w:tcPr>
          <w:p w14:paraId="05BC6CB9" w14:textId="7A05E8EC" w:rsidR="006047BA" w:rsidRDefault="006047BA" w:rsidP="006047BA">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28A39A4C" w14:textId="6B4B0478" w:rsidR="006047BA" w:rsidRDefault="006047BA" w:rsidP="006047BA">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负责第</w:t>
            </w:r>
            <w:r>
              <w:rPr>
                <w:rFonts w:asciiTheme="minorEastAsia" w:eastAsiaTheme="minorEastAsia" w:hAnsiTheme="minorEastAsia" w:hint="eastAsia"/>
                <w:szCs w:val="21"/>
              </w:rPr>
              <w:t>6</w:t>
            </w:r>
            <w:r>
              <w:rPr>
                <w:rFonts w:asciiTheme="minorEastAsia" w:eastAsiaTheme="minorEastAsia" w:hAnsiTheme="minorEastAsia" w:hint="eastAsia"/>
                <w:szCs w:val="21"/>
              </w:rPr>
              <w:t>章节的编写及相关技术论证。</w:t>
            </w:r>
          </w:p>
        </w:tc>
      </w:tr>
      <w:tr w:rsidR="006047BA" w14:paraId="434B35D0" w14:textId="77777777" w:rsidTr="001C3678">
        <w:tc>
          <w:tcPr>
            <w:tcW w:w="596" w:type="pct"/>
            <w:vAlign w:val="center"/>
          </w:tcPr>
          <w:p w14:paraId="3E9326A3" w14:textId="375C4C3F" w:rsidR="006047BA" w:rsidRPr="001C3678" w:rsidRDefault="006047BA" w:rsidP="006047BA">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吕海</w:t>
            </w:r>
          </w:p>
        </w:tc>
        <w:tc>
          <w:tcPr>
            <w:tcW w:w="1287" w:type="pct"/>
            <w:vAlign w:val="center"/>
          </w:tcPr>
          <w:p w14:paraId="2E3E1C19" w14:textId="6AE5E500" w:rsidR="006047BA" w:rsidRPr="001C3678" w:rsidRDefault="006047BA" w:rsidP="006047BA">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厦门集装箱码头集团</w:t>
            </w:r>
          </w:p>
        </w:tc>
        <w:tc>
          <w:tcPr>
            <w:tcW w:w="943" w:type="pct"/>
            <w:vAlign w:val="center"/>
          </w:tcPr>
          <w:p w14:paraId="1FC8BF9A" w14:textId="108F2238" w:rsidR="006047BA" w:rsidRPr="001C3678" w:rsidRDefault="006047BA" w:rsidP="006047BA">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工程师/经理助理</w:t>
            </w:r>
          </w:p>
        </w:tc>
        <w:tc>
          <w:tcPr>
            <w:tcW w:w="674" w:type="pct"/>
            <w:vAlign w:val="center"/>
          </w:tcPr>
          <w:p w14:paraId="736B4C96" w14:textId="2F39F1C7" w:rsidR="006047BA" w:rsidRDefault="006047BA" w:rsidP="006047BA">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766607EE" w14:textId="291307AC" w:rsidR="006047BA" w:rsidRDefault="006047BA" w:rsidP="006047BA">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参与第</w:t>
            </w:r>
            <w:r>
              <w:rPr>
                <w:rFonts w:asciiTheme="minorEastAsia" w:eastAsiaTheme="minorEastAsia" w:hAnsiTheme="minorEastAsia"/>
                <w:szCs w:val="21"/>
              </w:rPr>
              <w:t>6</w:t>
            </w:r>
            <w:r>
              <w:rPr>
                <w:rFonts w:asciiTheme="minorEastAsia" w:eastAsiaTheme="minorEastAsia" w:hAnsiTheme="minorEastAsia" w:hint="eastAsia"/>
                <w:szCs w:val="21"/>
              </w:rPr>
              <w:t>章节的编写及相关技术论证。</w:t>
            </w:r>
          </w:p>
        </w:tc>
      </w:tr>
      <w:tr w:rsidR="001C3678" w14:paraId="1A025D6C" w14:textId="77777777" w:rsidTr="001C3678">
        <w:tc>
          <w:tcPr>
            <w:tcW w:w="596" w:type="pct"/>
            <w:vAlign w:val="center"/>
          </w:tcPr>
          <w:p w14:paraId="41FD3A57" w14:textId="67C6B3A7"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蔡峻</w:t>
            </w:r>
          </w:p>
        </w:tc>
        <w:tc>
          <w:tcPr>
            <w:tcW w:w="1287" w:type="pct"/>
            <w:vAlign w:val="center"/>
          </w:tcPr>
          <w:p w14:paraId="2AB3EA35" w14:textId="4CE6E914"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厦门海沧新海达码头有限公司</w:t>
            </w:r>
          </w:p>
        </w:tc>
        <w:tc>
          <w:tcPr>
            <w:tcW w:w="943" w:type="pct"/>
            <w:vAlign w:val="center"/>
          </w:tcPr>
          <w:p w14:paraId="532CBB7C" w14:textId="5188952F"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经济师/副经理</w:t>
            </w:r>
          </w:p>
        </w:tc>
        <w:tc>
          <w:tcPr>
            <w:tcW w:w="674" w:type="pct"/>
            <w:vAlign w:val="center"/>
          </w:tcPr>
          <w:p w14:paraId="762161C7" w14:textId="5CFD3A68" w:rsidR="001C3678" w:rsidRDefault="001C3678"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79B11869" w14:textId="21276330" w:rsidR="001C3678" w:rsidRDefault="006047BA"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参与第</w:t>
            </w:r>
            <w:r>
              <w:rPr>
                <w:rFonts w:asciiTheme="minorEastAsia" w:eastAsiaTheme="minorEastAsia" w:hAnsiTheme="minorEastAsia"/>
                <w:szCs w:val="21"/>
              </w:rPr>
              <w:t>6</w:t>
            </w:r>
            <w:r>
              <w:rPr>
                <w:rFonts w:asciiTheme="minorEastAsia" w:eastAsiaTheme="minorEastAsia" w:hAnsiTheme="minorEastAsia" w:hint="eastAsia"/>
                <w:szCs w:val="21"/>
              </w:rPr>
              <w:t>章节的编写及相关技术论证。</w:t>
            </w:r>
          </w:p>
        </w:tc>
      </w:tr>
      <w:tr w:rsidR="006047BA" w14:paraId="5F8B522F" w14:textId="77777777" w:rsidTr="004A6118">
        <w:tc>
          <w:tcPr>
            <w:tcW w:w="596" w:type="pct"/>
            <w:vAlign w:val="center"/>
          </w:tcPr>
          <w:p w14:paraId="545CB802"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孙志军</w:t>
            </w:r>
          </w:p>
        </w:tc>
        <w:tc>
          <w:tcPr>
            <w:tcW w:w="1287" w:type="pct"/>
            <w:vAlign w:val="center"/>
          </w:tcPr>
          <w:p w14:paraId="040C0CCE"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宁波港信息通信有限公司</w:t>
            </w:r>
          </w:p>
        </w:tc>
        <w:tc>
          <w:tcPr>
            <w:tcW w:w="943" w:type="pct"/>
            <w:vAlign w:val="center"/>
          </w:tcPr>
          <w:p w14:paraId="5D53F9C6"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副总经理</w:t>
            </w:r>
          </w:p>
        </w:tc>
        <w:tc>
          <w:tcPr>
            <w:tcW w:w="674" w:type="pct"/>
            <w:vAlign w:val="center"/>
          </w:tcPr>
          <w:p w14:paraId="79A210F2" w14:textId="77777777" w:rsidR="006047BA" w:rsidRDefault="006047BA" w:rsidP="006047BA">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597102F5" w14:textId="7C46B531" w:rsidR="006047BA" w:rsidRDefault="006047BA" w:rsidP="006047BA">
            <w:pPr>
              <w:spacing w:beforeLines="50" w:before="156"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负责第6章节的编写及相关技术论证。</w:t>
            </w:r>
          </w:p>
        </w:tc>
      </w:tr>
      <w:tr w:rsidR="006047BA" w14:paraId="3EF92092" w14:textId="77777777" w:rsidTr="004A6118">
        <w:tc>
          <w:tcPr>
            <w:tcW w:w="596" w:type="pct"/>
            <w:vAlign w:val="center"/>
          </w:tcPr>
          <w:p w14:paraId="7EDCC577"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华路</w:t>
            </w:r>
          </w:p>
        </w:tc>
        <w:tc>
          <w:tcPr>
            <w:tcW w:w="1287" w:type="pct"/>
            <w:vAlign w:val="center"/>
          </w:tcPr>
          <w:p w14:paraId="769051C0"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宁波港信息通信有限公司</w:t>
            </w:r>
          </w:p>
        </w:tc>
        <w:tc>
          <w:tcPr>
            <w:tcW w:w="943" w:type="pct"/>
            <w:vAlign w:val="center"/>
          </w:tcPr>
          <w:p w14:paraId="199D25C5"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高级工程师</w:t>
            </w:r>
          </w:p>
        </w:tc>
        <w:tc>
          <w:tcPr>
            <w:tcW w:w="674" w:type="pct"/>
            <w:vAlign w:val="center"/>
          </w:tcPr>
          <w:p w14:paraId="3CBEA326" w14:textId="77777777" w:rsidR="006047BA" w:rsidRDefault="006047BA" w:rsidP="006047BA">
            <w:pPr>
              <w:spacing w:line="30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7885C590" w14:textId="1608AC9E" w:rsidR="006047BA" w:rsidRDefault="006047BA" w:rsidP="006047BA">
            <w:pPr>
              <w:spacing w:line="300" w:lineRule="auto"/>
              <w:jc w:val="center"/>
              <w:rPr>
                <w:rFonts w:asciiTheme="minorEastAsia" w:eastAsiaTheme="minorEastAsia" w:hAnsiTheme="minorEastAsia"/>
                <w:szCs w:val="21"/>
              </w:rPr>
            </w:pPr>
            <w:r>
              <w:rPr>
                <w:rFonts w:asciiTheme="minorEastAsia" w:eastAsiaTheme="minorEastAsia" w:hAnsiTheme="minorEastAsia" w:hint="eastAsia"/>
                <w:szCs w:val="21"/>
              </w:rPr>
              <w:t>参与第</w:t>
            </w:r>
            <w:r>
              <w:rPr>
                <w:rFonts w:asciiTheme="minorEastAsia" w:eastAsiaTheme="minorEastAsia" w:hAnsiTheme="minorEastAsia"/>
                <w:szCs w:val="21"/>
              </w:rPr>
              <w:t>6</w:t>
            </w:r>
            <w:r>
              <w:rPr>
                <w:rFonts w:asciiTheme="minorEastAsia" w:eastAsiaTheme="minorEastAsia" w:hAnsiTheme="minorEastAsia" w:hint="eastAsia"/>
                <w:szCs w:val="21"/>
              </w:rPr>
              <w:t>章节的编写及相关技术论证。</w:t>
            </w:r>
          </w:p>
        </w:tc>
      </w:tr>
      <w:tr w:rsidR="006047BA" w14:paraId="7B43AAD8" w14:textId="77777777" w:rsidTr="004A6118">
        <w:tc>
          <w:tcPr>
            <w:tcW w:w="596" w:type="pct"/>
            <w:vAlign w:val="center"/>
          </w:tcPr>
          <w:p w14:paraId="7663533B"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万晓平</w:t>
            </w:r>
          </w:p>
        </w:tc>
        <w:tc>
          <w:tcPr>
            <w:tcW w:w="1287" w:type="pct"/>
            <w:vAlign w:val="center"/>
          </w:tcPr>
          <w:p w14:paraId="5B7D089A"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宁波舟山港集团有限公司科技中心</w:t>
            </w:r>
          </w:p>
        </w:tc>
        <w:tc>
          <w:tcPr>
            <w:tcW w:w="943" w:type="pct"/>
            <w:vAlign w:val="center"/>
          </w:tcPr>
          <w:p w14:paraId="66BFD3AF" w14:textId="77777777" w:rsidR="006047BA" w:rsidRDefault="006047BA" w:rsidP="006047BA">
            <w:pPr>
              <w:spacing w:beforeLines="50" w:before="156" w:line="360" w:lineRule="auto"/>
              <w:jc w:val="center"/>
              <w:rPr>
                <w:rFonts w:asciiTheme="minorEastAsia" w:eastAsiaTheme="minorEastAsia" w:hAnsiTheme="minorEastAsia"/>
                <w:szCs w:val="21"/>
              </w:rPr>
            </w:pPr>
            <w:r w:rsidRPr="001C3678">
              <w:rPr>
                <w:rFonts w:asciiTheme="minorEastAsia" w:eastAsiaTheme="minorEastAsia" w:hAnsiTheme="minorEastAsia" w:hint="eastAsia"/>
                <w:szCs w:val="21"/>
              </w:rPr>
              <w:t>高级工程师</w:t>
            </w:r>
          </w:p>
        </w:tc>
        <w:tc>
          <w:tcPr>
            <w:tcW w:w="674" w:type="pct"/>
            <w:vAlign w:val="center"/>
          </w:tcPr>
          <w:p w14:paraId="6828D54F" w14:textId="77777777" w:rsidR="006047BA" w:rsidRDefault="006047BA" w:rsidP="006047BA">
            <w:pPr>
              <w:spacing w:line="300" w:lineRule="auto"/>
              <w:jc w:val="center"/>
              <w:rPr>
                <w:rFonts w:asciiTheme="minorEastAsia" w:eastAsiaTheme="minorEastAsia" w:hAnsiTheme="minorEastAsia"/>
                <w:szCs w:val="21"/>
              </w:rPr>
            </w:pPr>
            <w:r>
              <w:rPr>
                <w:rFonts w:asciiTheme="minorEastAsia" w:eastAsiaTheme="minorEastAsia" w:hAnsiTheme="minorEastAsia" w:hint="eastAsia"/>
                <w:szCs w:val="21"/>
              </w:rPr>
              <w:t>组员</w:t>
            </w:r>
          </w:p>
        </w:tc>
        <w:tc>
          <w:tcPr>
            <w:tcW w:w="1500" w:type="pct"/>
            <w:vAlign w:val="center"/>
          </w:tcPr>
          <w:p w14:paraId="018C37C1" w14:textId="6439DD03" w:rsidR="006047BA" w:rsidRDefault="006047BA" w:rsidP="006047BA">
            <w:pPr>
              <w:spacing w:line="300" w:lineRule="auto"/>
              <w:jc w:val="center"/>
              <w:rPr>
                <w:rFonts w:asciiTheme="minorEastAsia" w:eastAsiaTheme="minorEastAsia" w:hAnsiTheme="minorEastAsia"/>
                <w:szCs w:val="21"/>
              </w:rPr>
            </w:pPr>
            <w:r>
              <w:rPr>
                <w:rFonts w:asciiTheme="minorEastAsia" w:eastAsiaTheme="minorEastAsia" w:hAnsiTheme="minorEastAsia" w:hint="eastAsia"/>
                <w:szCs w:val="21"/>
              </w:rPr>
              <w:t>参与第</w:t>
            </w:r>
            <w:r>
              <w:rPr>
                <w:rFonts w:asciiTheme="minorEastAsia" w:eastAsiaTheme="minorEastAsia" w:hAnsiTheme="minorEastAsia"/>
                <w:szCs w:val="21"/>
              </w:rPr>
              <w:t>6</w:t>
            </w:r>
            <w:r>
              <w:rPr>
                <w:rFonts w:asciiTheme="minorEastAsia" w:eastAsiaTheme="minorEastAsia" w:hAnsiTheme="minorEastAsia" w:hint="eastAsia"/>
                <w:szCs w:val="21"/>
              </w:rPr>
              <w:t>章节的编写及相关技术论证。</w:t>
            </w:r>
          </w:p>
        </w:tc>
      </w:tr>
      <w:tr w:rsidR="001C3678" w14:paraId="65675485" w14:textId="77777777" w:rsidTr="001C3678">
        <w:tc>
          <w:tcPr>
            <w:tcW w:w="596" w:type="pct"/>
            <w:vAlign w:val="center"/>
          </w:tcPr>
          <w:p w14:paraId="265D5371" w14:textId="3B9F88AA"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欧阳方云</w:t>
            </w:r>
          </w:p>
        </w:tc>
        <w:tc>
          <w:tcPr>
            <w:tcW w:w="1287" w:type="pct"/>
            <w:vAlign w:val="center"/>
          </w:tcPr>
          <w:p w14:paraId="6556DAE8" w14:textId="02120217"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港联航人工智能科技（上海）有限公司</w:t>
            </w:r>
          </w:p>
        </w:tc>
        <w:tc>
          <w:tcPr>
            <w:tcW w:w="943" w:type="pct"/>
            <w:vAlign w:val="center"/>
          </w:tcPr>
          <w:p w14:paraId="5018F3B6" w14:textId="07E6DCB0"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工程师/首席技术官</w:t>
            </w:r>
          </w:p>
        </w:tc>
        <w:tc>
          <w:tcPr>
            <w:tcW w:w="674" w:type="pct"/>
            <w:vAlign w:val="center"/>
          </w:tcPr>
          <w:p w14:paraId="684A6980" w14:textId="79B67CD2" w:rsidR="001C3678" w:rsidRDefault="001C3678"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09BE5248" w14:textId="0C195B23" w:rsidR="001C3678" w:rsidRDefault="006047BA"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参与</w:t>
            </w:r>
            <w:r>
              <w:rPr>
                <w:rFonts w:asciiTheme="minorEastAsia" w:eastAsiaTheme="minorEastAsia" w:hAnsiTheme="minorEastAsia" w:hint="eastAsia"/>
                <w:szCs w:val="21"/>
              </w:rPr>
              <w:t>相关技术论证</w:t>
            </w:r>
          </w:p>
        </w:tc>
      </w:tr>
      <w:tr w:rsidR="001C3678" w14:paraId="75DD67D2" w14:textId="77777777" w:rsidTr="001C3678">
        <w:tc>
          <w:tcPr>
            <w:tcW w:w="596" w:type="pct"/>
            <w:vAlign w:val="center"/>
          </w:tcPr>
          <w:p w14:paraId="7C4EFAEA" w14:textId="49E4EBCF"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徐慧君</w:t>
            </w:r>
          </w:p>
        </w:tc>
        <w:tc>
          <w:tcPr>
            <w:tcW w:w="1287" w:type="pct"/>
            <w:vAlign w:val="center"/>
          </w:tcPr>
          <w:p w14:paraId="7CFCE920" w14:textId="6E373C16"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港联航人工智能科技（上海）有限公司</w:t>
            </w:r>
          </w:p>
        </w:tc>
        <w:tc>
          <w:tcPr>
            <w:tcW w:w="943" w:type="pct"/>
            <w:vAlign w:val="center"/>
          </w:tcPr>
          <w:p w14:paraId="0D887613" w14:textId="58091AAA"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高级工程师/首席运营官</w:t>
            </w:r>
          </w:p>
        </w:tc>
        <w:tc>
          <w:tcPr>
            <w:tcW w:w="674" w:type="pct"/>
            <w:vAlign w:val="center"/>
          </w:tcPr>
          <w:p w14:paraId="47267DB6" w14:textId="68DF8AB5" w:rsidR="001C3678" w:rsidRDefault="001C3678"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2AB17B8C" w14:textId="253421EC" w:rsidR="001C3678" w:rsidRDefault="006047BA"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参与相关技术论证</w:t>
            </w:r>
          </w:p>
        </w:tc>
      </w:tr>
      <w:tr w:rsidR="001C3678" w14:paraId="0EB3F441" w14:textId="77777777" w:rsidTr="001C3678">
        <w:tc>
          <w:tcPr>
            <w:tcW w:w="596" w:type="pct"/>
            <w:vAlign w:val="center"/>
          </w:tcPr>
          <w:p w14:paraId="7005CA39" w14:textId="28AE2ABF"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赵宁</w:t>
            </w:r>
          </w:p>
        </w:tc>
        <w:tc>
          <w:tcPr>
            <w:tcW w:w="1287" w:type="pct"/>
            <w:vAlign w:val="center"/>
          </w:tcPr>
          <w:p w14:paraId="292BE1F9" w14:textId="3CAA9FA7"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上海海事大学</w:t>
            </w:r>
          </w:p>
        </w:tc>
        <w:tc>
          <w:tcPr>
            <w:tcW w:w="943" w:type="pct"/>
            <w:vAlign w:val="center"/>
          </w:tcPr>
          <w:p w14:paraId="1388CB47" w14:textId="78BBA155"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副教授</w:t>
            </w:r>
          </w:p>
        </w:tc>
        <w:tc>
          <w:tcPr>
            <w:tcW w:w="674" w:type="pct"/>
            <w:vAlign w:val="center"/>
          </w:tcPr>
          <w:p w14:paraId="01EB10A7" w14:textId="62D93CB6" w:rsidR="001C3678" w:rsidRDefault="001C3678"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31EA9070" w14:textId="66DD9D99" w:rsidR="001C3678" w:rsidRDefault="006047BA"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负责撰写和梳理文稿</w:t>
            </w:r>
          </w:p>
        </w:tc>
      </w:tr>
      <w:tr w:rsidR="001C3678" w14:paraId="40AA516A" w14:textId="77777777" w:rsidTr="001C3678">
        <w:tc>
          <w:tcPr>
            <w:tcW w:w="596" w:type="pct"/>
            <w:vAlign w:val="center"/>
          </w:tcPr>
          <w:p w14:paraId="0AD0B2D6" w14:textId="61022C58"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lastRenderedPageBreak/>
              <w:t>沈一帆</w:t>
            </w:r>
          </w:p>
        </w:tc>
        <w:tc>
          <w:tcPr>
            <w:tcW w:w="1287" w:type="pct"/>
            <w:vAlign w:val="center"/>
          </w:tcPr>
          <w:p w14:paraId="03696136" w14:textId="2B6C07D5"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上海海事大学</w:t>
            </w:r>
          </w:p>
        </w:tc>
        <w:tc>
          <w:tcPr>
            <w:tcW w:w="943" w:type="pct"/>
            <w:vAlign w:val="center"/>
          </w:tcPr>
          <w:p w14:paraId="7CC30132" w14:textId="6A754461" w:rsidR="001C3678" w:rsidRPr="001C3678" w:rsidRDefault="001C3678" w:rsidP="001C3678">
            <w:pPr>
              <w:spacing w:beforeLines="50" w:before="156" w:line="360" w:lineRule="auto"/>
              <w:jc w:val="center"/>
              <w:rPr>
                <w:rFonts w:asciiTheme="minorEastAsia" w:eastAsiaTheme="minorEastAsia" w:hAnsiTheme="minorEastAsia" w:hint="eastAsia"/>
                <w:szCs w:val="21"/>
              </w:rPr>
            </w:pPr>
            <w:r w:rsidRPr="001C3678">
              <w:rPr>
                <w:rFonts w:asciiTheme="minorEastAsia" w:eastAsiaTheme="minorEastAsia" w:hAnsiTheme="minorEastAsia" w:hint="eastAsia"/>
                <w:szCs w:val="21"/>
              </w:rPr>
              <w:t>讲师</w:t>
            </w:r>
          </w:p>
        </w:tc>
        <w:tc>
          <w:tcPr>
            <w:tcW w:w="674" w:type="pct"/>
            <w:vAlign w:val="center"/>
          </w:tcPr>
          <w:p w14:paraId="6011DE49" w14:textId="30AB5E31" w:rsidR="001C3678" w:rsidRDefault="001C3678"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组员</w:t>
            </w:r>
          </w:p>
        </w:tc>
        <w:tc>
          <w:tcPr>
            <w:tcW w:w="1500" w:type="pct"/>
            <w:vAlign w:val="center"/>
          </w:tcPr>
          <w:p w14:paraId="288991C7" w14:textId="746ACD92" w:rsidR="001C3678" w:rsidRDefault="006047BA" w:rsidP="001C3678">
            <w:pPr>
              <w:spacing w:line="300" w:lineRule="auto"/>
              <w:jc w:val="center"/>
              <w:rPr>
                <w:rFonts w:asciiTheme="minorEastAsia" w:eastAsiaTheme="minorEastAsia" w:hAnsiTheme="minorEastAsia" w:hint="eastAsia"/>
                <w:szCs w:val="21"/>
              </w:rPr>
            </w:pPr>
            <w:r>
              <w:rPr>
                <w:rFonts w:asciiTheme="minorEastAsia" w:eastAsiaTheme="minorEastAsia" w:hAnsiTheme="minorEastAsia" w:hint="eastAsia"/>
                <w:szCs w:val="21"/>
              </w:rPr>
              <w:t>参与调研、技术咨询以及相关技术论证</w:t>
            </w:r>
          </w:p>
        </w:tc>
      </w:tr>
    </w:tbl>
    <w:p w14:paraId="1C64144B" w14:textId="77777777" w:rsidR="00906414" w:rsidRDefault="00000000">
      <w:pPr>
        <w:spacing w:beforeLines="50" w:before="156" w:line="360" w:lineRule="auto"/>
        <w:outlineLvl w:val="1"/>
        <w:rPr>
          <w:rFonts w:asciiTheme="minorEastAsia" w:eastAsiaTheme="minorEastAsia" w:hAnsiTheme="minorEastAsia"/>
          <w:b/>
          <w:sz w:val="24"/>
          <w:szCs w:val="24"/>
        </w:rPr>
      </w:pPr>
      <w:bookmarkStart w:id="7" w:name="_Toc26972783"/>
      <w:bookmarkStart w:id="8" w:name="_Toc483660124"/>
      <w:r>
        <w:rPr>
          <w:rFonts w:asciiTheme="minorEastAsia" w:eastAsiaTheme="minorEastAsia" w:hAnsiTheme="minorEastAsia" w:hint="eastAsia"/>
          <w:b/>
          <w:sz w:val="24"/>
          <w:szCs w:val="24"/>
        </w:rPr>
        <w:t>（四）主要工作</w:t>
      </w:r>
      <w:r>
        <w:rPr>
          <w:rFonts w:asciiTheme="minorEastAsia" w:eastAsiaTheme="minorEastAsia" w:hAnsiTheme="minorEastAsia"/>
          <w:b/>
          <w:sz w:val="24"/>
          <w:szCs w:val="24"/>
        </w:rPr>
        <w:t>过</w:t>
      </w:r>
      <w:r>
        <w:rPr>
          <w:rFonts w:asciiTheme="minorEastAsia" w:eastAsiaTheme="minorEastAsia" w:hAnsiTheme="minorEastAsia" w:hint="eastAsia"/>
          <w:b/>
          <w:sz w:val="24"/>
          <w:szCs w:val="24"/>
        </w:rPr>
        <w:t>程</w:t>
      </w:r>
      <w:bookmarkEnd w:id="7"/>
      <w:bookmarkEnd w:id="8"/>
    </w:p>
    <w:p w14:paraId="466B4641" w14:textId="45A38F9A"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cs="宋体" w:hint="eastAsia"/>
          <w:sz w:val="24"/>
          <w:szCs w:val="24"/>
          <w:lang w:val="zh-CN"/>
        </w:rPr>
        <w:t>20</w:t>
      </w:r>
      <w:r>
        <w:rPr>
          <w:rFonts w:asciiTheme="minorEastAsia" w:eastAsiaTheme="minorEastAsia" w:hAnsiTheme="minorEastAsia" w:cs="宋体"/>
          <w:sz w:val="24"/>
          <w:szCs w:val="24"/>
          <w:lang w:val="zh-CN"/>
        </w:rPr>
        <w:t>22</w:t>
      </w:r>
      <w:r>
        <w:rPr>
          <w:rFonts w:asciiTheme="minorEastAsia" w:eastAsiaTheme="minorEastAsia" w:hAnsiTheme="minorEastAsia" w:cs="宋体" w:hint="eastAsia"/>
          <w:sz w:val="24"/>
          <w:szCs w:val="24"/>
          <w:lang w:val="zh-CN"/>
        </w:rPr>
        <w:t>年根据《关于召开</w:t>
      </w:r>
      <w:bookmarkStart w:id="9" w:name="OLE_LINK4"/>
      <w:bookmarkStart w:id="10" w:name="OLE_LINK3"/>
      <w:r>
        <w:rPr>
          <w:rFonts w:asciiTheme="minorEastAsia" w:eastAsiaTheme="minorEastAsia" w:hAnsiTheme="minorEastAsia" w:cs="宋体" w:hint="eastAsia"/>
          <w:sz w:val="24"/>
          <w:szCs w:val="24"/>
          <w:lang w:val="zh-CN"/>
        </w:rPr>
        <w:t>中国港口协会</w:t>
      </w:r>
      <w:bookmarkEnd w:id="9"/>
      <w:bookmarkEnd w:id="10"/>
      <w:r>
        <w:rPr>
          <w:rFonts w:asciiTheme="minorEastAsia" w:eastAsiaTheme="minorEastAsia" w:hAnsiTheme="minorEastAsia" w:cs="宋体" w:hint="eastAsia"/>
          <w:sz w:val="24"/>
          <w:szCs w:val="24"/>
          <w:lang w:val="zh-CN"/>
        </w:rPr>
        <w:t>团体标准“</w:t>
      </w:r>
      <w:r w:rsidR="000C58EC" w:rsidRPr="000C58EC">
        <w:rPr>
          <w:rFonts w:asciiTheme="minorEastAsia" w:eastAsiaTheme="minorEastAsia" w:hAnsiTheme="minorEastAsia" w:cs="宋体" w:hint="eastAsia"/>
          <w:sz w:val="24"/>
          <w:szCs w:val="24"/>
          <w:lang w:val="zh-CN"/>
        </w:rPr>
        <w:t>内贸集装箱码头业务单证技术要求</w:t>
      </w:r>
      <w:r>
        <w:rPr>
          <w:rFonts w:asciiTheme="minorEastAsia" w:eastAsiaTheme="minorEastAsia" w:hAnsiTheme="minorEastAsia" w:cs="宋体" w:hint="eastAsia"/>
          <w:sz w:val="24"/>
          <w:szCs w:val="24"/>
          <w:lang w:val="zh-CN"/>
        </w:rPr>
        <w:t>”编写大纲评审工作的通知》</w:t>
      </w:r>
      <w:r>
        <w:rPr>
          <w:rFonts w:asciiTheme="minorEastAsia" w:eastAsiaTheme="minorEastAsia" w:hAnsiTheme="minorEastAsia" w:hint="eastAsia"/>
          <w:sz w:val="24"/>
          <w:szCs w:val="24"/>
        </w:rPr>
        <w:t>，项目承担单位根据计划要求，成立编制组，明确了标准编写任务分工和时间进度安排，组织开展标准制定工作：</w:t>
      </w:r>
    </w:p>
    <w:p w14:paraId="1C73109E" w14:textId="023D960F" w:rsidR="00906414" w:rsidRDefault="00000000">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1、20</w:t>
      </w:r>
      <w:r>
        <w:rPr>
          <w:rFonts w:asciiTheme="minorEastAsia" w:eastAsiaTheme="minorEastAsia" w:hAnsiTheme="minorEastAsia"/>
          <w:sz w:val="24"/>
          <w:szCs w:val="24"/>
        </w:rPr>
        <w:t>22</w:t>
      </w:r>
      <w:r>
        <w:rPr>
          <w:rFonts w:asciiTheme="minorEastAsia" w:eastAsiaTheme="minorEastAsia" w:hAnsiTheme="minorEastAsia" w:hint="eastAsia"/>
          <w:sz w:val="24"/>
          <w:szCs w:val="24"/>
        </w:rPr>
        <w:t>年</w:t>
      </w:r>
      <w:r w:rsidR="00247794">
        <w:rPr>
          <w:rFonts w:asciiTheme="minorEastAsia" w:eastAsiaTheme="minorEastAsia" w:hAnsiTheme="minorEastAsia"/>
          <w:sz w:val="24"/>
          <w:szCs w:val="24"/>
        </w:rPr>
        <w:t>12</w:t>
      </w:r>
      <w:r>
        <w:rPr>
          <w:rFonts w:asciiTheme="minorEastAsia" w:eastAsiaTheme="minorEastAsia" w:hAnsiTheme="minorEastAsia" w:hint="eastAsia"/>
          <w:sz w:val="24"/>
          <w:szCs w:val="24"/>
        </w:rPr>
        <w:t>月，课题组调研了</w:t>
      </w:r>
      <w:r>
        <w:rPr>
          <w:rFonts w:hint="eastAsia"/>
          <w:sz w:val="24"/>
        </w:rPr>
        <w:t>上海国际港务（集团）股份有限公司</w:t>
      </w:r>
      <w:r>
        <w:rPr>
          <w:rFonts w:asciiTheme="minorEastAsia" w:eastAsiaTheme="minorEastAsia" w:hAnsiTheme="minorEastAsia" w:hint="eastAsia"/>
          <w:sz w:val="24"/>
          <w:szCs w:val="24"/>
        </w:rPr>
        <w:t>生产业务部</w:t>
      </w:r>
      <w:r w:rsidR="00362C61">
        <w:rPr>
          <w:rFonts w:asciiTheme="minorEastAsia" w:eastAsiaTheme="minorEastAsia" w:hAnsiTheme="minorEastAsia" w:hint="eastAsia"/>
          <w:sz w:val="24"/>
          <w:szCs w:val="24"/>
        </w:rPr>
        <w:t>、</w:t>
      </w:r>
      <w:r w:rsidR="00362C61" w:rsidRPr="001C3678">
        <w:rPr>
          <w:rFonts w:asciiTheme="minorEastAsia" w:eastAsiaTheme="minorEastAsia" w:hAnsiTheme="minorEastAsia" w:hint="eastAsia"/>
          <w:sz w:val="24"/>
          <w:szCs w:val="24"/>
        </w:rPr>
        <w:t>厦门集装箱码头集团有限公司</w:t>
      </w:r>
      <w:r w:rsidR="00362C61">
        <w:rPr>
          <w:rFonts w:asciiTheme="minorEastAsia" w:eastAsiaTheme="minorEastAsia" w:hAnsiTheme="minorEastAsia" w:hint="eastAsia"/>
          <w:sz w:val="24"/>
          <w:szCs w:val="24"/>
        </w:rPr>
        <w:t>、</w:t>
      </w:r>
      <w:r w:rsidR="00362C61" w:rsidRPr="00362C61">
        <w:rPr>
          <w:rFonts w:asciiTheme="minorEastAsia" w:eastAsiaTheme="minorEastAsia" w:hAnsiTheme="minorEastAsia" w:hint="eastAsia"/>
          <w:sz w:val="24"/>
          <w:szCs w:val="24"/>
        </w:rPr>
        <w:t>宁波舟山港股份有限公司</w:t>
      </w:r>
      <w:r w:rsidR="00362C61">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了解</w:t>
      </w:r>
      <w:r w:rsidR="00362C61">
        <w:rPr>
          <w:rFonts w:asciiTheme="minorEastAsia" w:eastAsiaTheme="minorEastAsia" w:hAnsiTheme="minorEastAsia" w:hint="eastAsia"/>
          <w:sz w:val="24"/>
          <w:szCs w:val="24"/>
        </w:rPr>
        <w:t>内贸集装箱码头业务单证</w:t>
      </w:r>
      <w:r w:rsidR="00362C61">
        <w:rPr>
          <w:rFonts w:asciiTheme="minorEastAsia" w:eastAsiaTheme="minorEastAsia" w:hAnsiTheme="minorEastAsia" w:hint="eastAsia"/>
          <w:sz w:val="24"/>
          <w:szCs w:val="24"/>
        </w:rPr>
        <w:t>的发展现状</w:t>
      </w:r>
      <w:r>
        <w:rPr>
          <w:rFonts w:asciiTheme="minorEastAsia" w:eastAsiaTheme="minorEastAsia" w:hAnsiTheme="minorEastAsia" w:hint="eastAsia"/>
          <w:sz w:val="24"/>
          <w:szCs w:val="24"/>
        </w:rPr>
        <w:t>，调研了</w:t>
      </w:r>
      <w:r w:rsidR="00362C61">
        <w:rPr>
          <w:rFonts w:asciiTheme="minorEastAsia" w:eastAsiaTheme="minorEastAsia" w:hAnsiTheme="minorEastAsia" w:hint="eastAsia"/>
          <w:sz w:val="24"/>
          <w:szCs w:val="24"/>
        </w:rPr>
        <w:t>内贸集装箱码头业务流程以及业务单证的基本架构和功能情况</w:t>
      </w:r>
      <w:r>
        <w:rPr>
          <w:rFonts w:asciiTheme="minorEastAsia" w:eastAsiaTheme="minorEastAsia" w:hAnsiTheme="minorEastAsia" w:hint="eastAsia"/>
          <w:sz w:val="24"/>
          <w:szCs w:val="24"/>
        </w:rPr>
        <w:t>，</w:t>
      </w:r>
      <w:r w:rsidR="00362C61">
        <w:rPr>
          <w:rFonts w:asciiTheme="minorEastAsia" w:eastAsiaTheme="minorEastAsia" w:hAnsiTheme="minorEastAsia" w:hint="eastAsia"/>
          <w:sz w:val="24"/>
          <w:szCs w:val="24"/>
        </w:rPr>
        <w:t>分析了</w:t>
      </w:r>
      <w:r w:rsidR="00362C61">
        <w:rPr>
          <w:rFonts w:asciiTheme="minorEastAsia" w:eastAsiaTheme="minorEastAsia" w:hAnsiTheme="minorEastAsia" w:hint="eastAsia"/>
          <w:sz w:val="24"/>
          <w:szCs w:val="24"/>
        </w:rPr>
        <w:t>内贸集装箱码头</w:t>
      </w:r>
      <w:r w:rsidR="00362C61">
        <w:rPr>
          <w:rFonts w:asciiTheme="minorEastAsia" w:eastAsiaTheme="minorEastAsia" w:hAnsiTheme="minorEastAsia" w:hint="eastAsia"/>
          <w:sz w:val="24"/>
          <w:szCs w:val="24"/>
        </w:rPr>
        <w:t>业务单证的主要技术需求及共性</w:t>
      </w:r>
      <w:r>
        <w:rPr>
          <w:rFonts w:asciiTheme="minorEastAsia" w:eastAsiaTheme="minorEastAsia" w:hAnsiTheme="minorEastAsia" w:hint="eastAsia"/>
          <w:sz w:val="24"/>
          <w:szCs w:val="24"/>
        </w:rPr>
        <w:t>。课题组对相关调研问题进行总结归纳，编制标准制定研究大纲。</w:t>
      </w:r>
    </w:p>
    <w:p w14:paraId="0551518C" w14:textId="3CA1E8EF" w:rsidR="00906414" w:rsidRDefault="00000000">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2、20</w:t>
      </w:r>
      <w:r>
        <w:rPr>
          <w:rFonts w:asciiTheme="minorEastAsia" w:eastAsiaTheme="minorEastAsia" w:hAnsiTheme="minorEastAsia"/>
          <w:sz w:val="24"/>
          <w:szCs w:val="24"/>
        </w:rPr>
        <w:t>2</w:t>
      </w:r>
      <w:r w:rsidR="00021B10">
        <w:rPr>
          <w:rFonts w:asciiTheme="minorEastAsia" w:eastAsiaTheme="minorEastAsia" w:hAnsiTheme="minorEastAsia"/>
          <w:sz w:val="24"/>
          <w:szCs w:val="24"/>
        </w:rPr>
        <w:t>3</w:t>
      </w:r>
      <w:r>
        <w:rPr>
          <w:rFonts w:asciiTheme="minorEastAsia" w:eastAsiaTheme="minorEastAsia" w:hAnsiTheme="minorEastAsia" w:hint="eastAsia"/>
          <w:sz w:val="24"/>
          <w:szCs w:val="24"/>
        </w:rPr>
        <w:t>年</w:t>
      </w:r>
      <w:r w:rsidR="00021B10">
        <w:rPr>
          <w:rFonts w:asciiTheme="minorEastAsia" w:eastAsiaTheme="minorEastAsia" w:hAnsiTheme="minorEastAsia"/>
          <w:sz w:val="24"/>
          <w:szCs w:val="24"/>
        </w:rPr>
        <w:t>7</w:t>
      </w:r>
      <w:r>
        <w:rPr>
          <w:rFonts w:asciiTheme="minorEastAsia" w:eastAsiaTheme="minorEastAsia" w:hAnsiTheme="minorEastAsia" w:hint="eastAsia"/>
          <w:sz w:val="24"/>
          <w:szCs w:val="24"/>
        </w:rPr>
        <w:t>月，课题组根据GB/T</w:t>
      </w:r>
      <w:r>
        <w:rPr>
          <w:rFonts w:asciiTheme="minorEastAsia" w:eastAsiaTheme="minorEastAsia" w:hAnsiTheme="minorEastAsia"/>
          <w:sz w:val="24"/>
          <w:szCs w:val="24"/>
        </w:rPr>
        <w:t xml:space="preserve"> 1.1</w:t>
      </w:r>
      <w:r>
        <w:rPr>
          <w:rFonts w:asciiTheme="minorEastAsia" w:eastAsiaTheme="minorEastAsia" w:hAnsiTheme="minorEastAsia" w:hint="eastAsia"/>
          <w:sz w:val="24"/>
          <w:szCs w:val="24"/>
        </w:rPr>
        <w:t>-</w:t>
      </w:r>
      <w:r>
        <w:rPr>
          <w:rFonts w:asciiTheme="minorEastAsia" w:eastAsiaTheme="minorEastAsia" w:hAnsiTheme="minorEastAsia"/>
          <w:sz w:val="24"/>
          <w:szCs w:val="24"/>
        </w:rPr>
        <w:t>2020</w:t>
      </w:r>
      <w:r>
        <w:rPr>
          <w:rFonts w:asciiTheme="minorEastAsia" w:eastAsiaTheme="minorEastAsia" w:hAnsiTheme="minorEastAsia" w:hint="eastAsia"/>
          <w:sz w:val="24"/>
          <w:szCs w:val="24"/>
        </w:rPr>
        <w:t>给出的规则，初步编写了《</w:t>
      </w:r>
      <w:r w:rsidR="00362C61" w:rsidRPr="000C58EC">
        <w:rPr>
          <w:rFonts w:asciiTheme="minorEastAsia" w:eastAsiaTheme="minorEastAsia" w:hAnsiTheme="minorEastAsia" w:cs="宋体" w:hint="eastAsia"/>
          <w:sz w:val="24"/>
          <w:szCs w:val="24"/>
          <w:lang w:val="zh-CN"/>
        </w:rPr>
        <w:t>内贸集装箱码头业务单证技术要求</w:t>
      </w:r>
      <w:r>
        <w:rPr>
          <w:rFonts w:asciiTheme="minorEastAsia" w:eastAsiaTheme="minorEastAsia" w:hAnsiTheme="minorEastAsia" w:hint="eastAsia"/>
          <w:sz w:val="24"/>
          <w:szCs w:val="24"/>
        </w:rPr>
        <w:t>》标准草案；中国港口协会召开该团体标准研究大纲评审会，课题组提交研究大纲和标准草案。课题组根据大纲评审意见对研究大纲进行修改。</w:t>
      </w:r>
    </w:p>
    <w:p w14:paraId="1BB21AAA" w14:textId="425EC22A" w:rsidR="00906414" w:rsidRDefault="00000000">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202</w:t>
      </w:r>
      <w:r w:rsidR="00021B10">
        <w:rPr>
          <w:rFonts w:asciiTheme="minorEastAsia" w:eastAsiaTheme="minorEastAsia" w:hAnsiTheme="minorEastAsia"/>
          <w:sz w:val="24"/>
          <w:szCs w:val="24"/>
        </w:rPr>
        <w:t>3</w:t>
      </w:r>
      <w:r>
        <w:rPr>
          <w:rFonts w:asciiTheme="minorEastAsia" w:eastAsiaTheme="minorEastAsia" w:hAnsiTheme="minorEastAsia" w:hint="eastAsia"/>
          <w:sz w:val="24"/>
          <w:szCs w:val="24"/>
        </w:rPr>
        <w:t>年</w:t>
      </w:r>
      <w:r w:rsidR="00021B10">
        <w:rPr>
          <w:rFonts w:asciiTheme="minorEastAsia" w:eastAsiaTheme="minorEastAsia" w:hAnsiTheme="minorEastAsia"/>
          <w:sz w:val="24"/>
          <w:szCs w:val="24"/>
        </w:rPr>
        <w:t>8</w:t>
      </w:r>
      <w:r>
        <w:rPr>
          <w:rFonts w:asciiTheme="minorEastAsia" w:eastAsiaTheme="minorEastAsia" w:hAnsiTheme="minorEastAsia" w:hint="eastAsia"/>
          <w:sz w:val="24"/>
          <w:szCs w:val="24"/>
        </w:rPr>
        <w:t>月，课题组开展相关港口企业、运输单位、平台系统设计单位等的调研和技术交流。</w:t>
      </w:r>
    </w:p>
    <w:p w14:paraId="1AB5A515" w14:textId="36C2667E" w:rsidR="00906414" w:rsidRDefault="00000000">
      <w:pPr>
        <w:spacing w:beforeLines="50" w:before="156" w:line="360" w:lineRule="auto"/>
        <w:ind w:firstLineChars="200" w:firstLine="480"/>
        <w:jc w:val="left"/>
        <w:rPr>
          <w:rFonts w:asciiTheme="minorEastAsia" w:eastAsiaTheme="minorEastAsia" w:hAnsiTheme="minorEastAsia"/>
          <w:sz w:val="24"/>
          <w:szCs w:val="24"/>
        </w:rPr>
      </w:pPr>
      <w:r>
        <w:rPr>
          <w:rFonts w:asciiTheme="minorEastAsia" w:eastAsiaTheme="minorEastAsia" w:hAnsiTheme="minorEastAsia" w:hint="eastAsia"/>
          <w:sz w:val="24"/>
          <w:szCs w:val="24"/>
        </w:rPr>
        <w:t>4、202</w:t>
      </w:r>
      <w:r>
        <w:rPr>
          <w:rFonts w:asciiTheme="minorEastAsia" w:eastAsiaTheme="minorEastAsia" w:hAnsiTheme="minorEastAsia"/>
          <w:sz w:val="24"/>
          <w:szCs w:val="24"/>
        </w:rPr>
        <w:t>3</w:t>
      </w:r>
      <w:r>
        <w:rPr>
          <w:rFonts w:asciiTheme="minorEastAsia" w:eastAsiaTheme="minorEastAsia" w:hAnsiTheme="minorEastAsia" w:hint="eastAsia"/>
          <w:sz w:val="24"/>
          <w:szCs w:val="24"/>
        </w:rPr>
        <w:t>年</w:t>
      </w:r>
      <w:r w:rsidR="00021B10">
        <w:rPr>
          <w:rFonts w:asciiTheme="minorEastAsia" w:eastAsiaTheme="minorEastAsia" w:hAnsiTheme="minorEastAsia"/>
          <w:sz w:val="24"/>
          <w:szCs w:val="24"/>
        </w:rPr>
        <w:t>9</w:t>
      </w:r>
      <w:r>
        <w:rPr>
          <w:rFonts w:asciiTheme="minorEastAsia" w:eastAsiaTheme="minorEastAsia" w:hAnsiTheme="minorEastAsia" w:hint="eastAsia"/>
          <w:sz w:val="24"/>
          <w:szCs w:val="24"/>
        </w:rPr>
        <w:t>月～</w:t>
      </w:r>
      <w:r w:rsidR="00021B10">
        <w:rPr>
          <w:rFonts w:asciiTheme="minorEastAsia" w:eastAsiaTheme="minorEastAsia" w:hAnsiTheme="minorEastAsia"/>
          <w:sz w:val="24"/>
          <w:szCs w:val="24"/>
        </w:rPr>
        <w:t>10</w:t>
      </w:r>
      <w:r>
        <w:rPr>
          <w:rFonts w:asciiTheme="minorEastAsia" w:eastAsiaTheme="minorEastAsia" w:hAnsiTheme="minorEastAsia" w:hint="eastAsia"/>
          <w:sz w:val="24"/>
          <w:szCs w:val="24"/>
        </w:rPr>
        <w:t>月，在标准草案的基础上，编写组反复讨论修改，完成了征求意见稿（初稿）。</w:t>
      </w:r>
    </w:p>
    <w:p w14:paraId="458AC862" w14:textId="77777777" w:rsidR="00906414" w:rsidRDefault="00000000">
      <w:pPr>
        <w:spacing w:beforeLines="50" w:before="156" w:line="360" w:lineRule="auto"/>
        <w:outlineLvl w:val="0"/>
        <w:rPr>
          <w:rFonts w:ascii="黑体" w:eastAsia="黑体" w:hAnsi="黑体"/>
          <w:szCs w:val="21"/>
        </w:rPr>
      </w:pPr>
      <w:bookmarkStart w:id="11" w:name="_Toc46098151"/>
      <w:r>
        <w:rPr>
          <w:rFonts w:asciiTheme="minorEastAsia" w:eastAsiaTheme="minorEastAsia" w:hAnsiTheme="minorEastAsia" w:hint="eastAsia"/>
          <w:b/>
          <w:sz w:val="24"/>
          <w:szCs w:val="24"/>
        </w:rPr>
        <w:t>二、</w:t>
      </w:r>
      <w:r>
        <w:rPr>
          <w:rFonts w:asciiTheme="minorEastAsia" w:eastAsiaTheme="minorEastAsia" w:hAnsiTheme="minorEastAsia"/>
          <w:b/>
          <w:sz w:val="24"/>
          <w:szCs w:val="24"/>
        </w:rPr>
        <w:t>标准编制原则和确定标准主要内容</w:t>
      </w:r>
      <w:r>
        <w:rPr>
          <w:rFonts w:asciiTheme="minorEastAsia" w:eastAsiaTheme="minorEastAsia" w:hAnsiTheme="minorEastAsia" w:hint="eastAsia"/>
          <w:b/>
          <w:sz w:val="24"/>
          <w:szCs w:val="24"/>
        </w:rPr>
        <w:t>的依据</w:t>
      </w:r>
      <w:bookmarkEnd w:id="11"/>
    </w:p>
    <w:p w14:paraId="78362274" w14:textId="77777777" w:rsidR="00906414" w:rsidRDefault="00000000">
      <w:pPr>
        <w:spacing w:beforeLines="50" w:before="156" w:line="360" w:lineRule="auto"/>
        <w:outlineLvl w:val="1"/>
        <w:rPr>
          <w:rFonts w:asciiTheme="minorEastAsia" w:eastAsiaTheme="minorEastAsia" w:hAnsiTheme="minorEastAsia"/>
          <w:b/>
          <w:sz w:val="24"/>
          <w:szCs w:val="24"/>
        </w:rPr>
      </w:pPr>
      <w:bookmarkStart w:id="12" w:name="_Toc26972785"/>
      <w:r>
        <w:rPr>
          <w:rFonts w:asciiTheme="minorEastAsia" w:eastAsiaTheme="minorEastAsia" w:hAnsiTheme="minorEastAsia" w:hint="eastAsia"/>
          <w:b/>
          <w:sz w:val="24"/>
          <w:szCs w:val="24"/>
        </w:rPr>
        <w:t>（一）</w:t>
      </w:r>
      <w:r>
        <w:rPr>
          <w:rFonts w:asciiTheme="minorEastAsia" w:eastAsiaTheme="minorEastAsia" w:hAnsiTheme="minorEastAsia"/>
          <w:b/>
          <w:sz w:val="24"/>
          <w:szCs w:val="24"/>
        </w:rPr>
        <w:t>标准编制原则</w:t>
      </w:r>
      <w:bookmarkEnd w:id="12"/>
    </w:p>
    <w:p w14:paraId="4FD4A796"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本标准按GB/T 1.1-</w:t>
      </w:r>
      <w:r>
        <w:rPr>
          <w:rFonts w:asciiTheme="minorEastAsia" w:eastAsiaTheme="minorEastAsia" w:hAnsiTheme="minorEastAsia"/>
          <w:sz w:val="24"/>
          <w:szCs w:val="24"/>
        </w:rPr>
        <w:t>2020</w:t>
      </w:r>
      <w:r>
        <w:rPr>
          <w:rFonts w:asciiTheme="minorEastAsia" w:eastAsiaTheme="minorEastAsia" w:hAnsiTheme="minorEastAsia" w:hint="eastAsia"/>
          <w:sz w:val="24"/>
          <w:szCs w:val="24"/>
        </w:rPr>
        <w:t>给出的规则起草。</w:t>
      </w:r>
    </w:p>
    <w:p w14:paraId="2C2E1177"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适用性原则：标准制定的相关内容应便于使用，一方面应适于直接使用，另一方面也应考虑便于被其它文件引用。</w:t>
      </w:r>
    </w:p>
    <w:p w14:paraId="7E60D240"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协调性原则：应考虑标准之间的整体协调，在制定标准时应注意和已经发布</w:t>
      </w:r>
      <w:r>
        <w:rPr>
          <w:rFonts w:asciiTheme="minorEastAsia" w:eastAsiaTheme="minorEastAsia" w:hAnsiTheme="minorEastAsia" w:hint="eastAsia"/>
          <w:sz w:val="24"/>
          <w:szCs w:val="24"/>
        </w:rPr>
        <w:lastRenderedPageBreak/>
        <w:t>的标准进行协调，遵守基础标准和采取引用的方式是保证标准协调的有效途径。</w:t>
      </w:r>
    </w:p>
    <w:p w14:paraId="636EE127"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规范性原则：起草标准时遵守与标准制定有关的基础标准和相关法律法规。</w:t>
      </w:r>
    </w:p>
    <w:p w14:paraId="2FC07168" w14:textId="62FB0911"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先进性原则</w:t>
      </w:r>
      <w:r>
        <w:rPr>
          <w:rFonts w:asciiTheme="minorEastAsia" w:eastAsiaTheme="minorEastAsia" w:hAnsiTheme="minorEastAsia" w:hint="eastAsia"/>
          <w:sz w:val="24"/>
          <w:szCs w:val="24"/>
        </w:rPr>
        <w:t>：起草标准时注重</w:t>
      </w:r>
      <w:r w:rsidR="00362C61">
        <w:rPr>
          <w:rFonts w:asciiTheme="minorEastAsia" w:eastAsiaTheme="minorEastAsia" w:hAnsiTheme="minorEastAsia" w:hint="eastAsia"/>
          <w:sz w:val="24"/>
          <w:szCs w:val="24"/>
        </w:rPr>
        <w:t>内贸</w:t>
      </w:r>
      <w:r>
        <w:rPr>
          <w:rFonts w:asciiTheme="minorEastAsia" w:eastAsiaTheme="minorEastAsia" w:hAnsiTheme="minorEastAsia" w:hint="eastAsia"/>
          <w:sz w:val="24"/>
          <w:szCs w:val="24"/>
        </w:rPr>
        <w:t>集装箱</w:t>
      </w:r>
      <w:r w:rsidR="00362C61">
        <w:rPr>
          <w:rFonts w:asciiTheme="minorEastAsia" w:eastAsiaTheme="minorEastAsia" w:hAnsiTheme="minorEastAsia" w:hint="eastAsia"/>
          <w:sz w:val="24"/>
          <w:szCs w:val="24"/>
        </w:rPr>
        <w:t>码头业务单证高效流转与交互</w:t>
      </w:r>
      <w:r w:rsidR="00543DEA">
        <w:rPr>
          <w:rFonts w:asciiTheme="minorEastAsia" w:eastAsiaTheme="minorEastAsia" w:hAnsiTheme="minorEastAsia" w:hint="eastAsia"/>
          <w:sz w:val="24"/>
          <w:szCs w:val="24"/>
        </w:rPr>
        <w:t>方面</w:t>
      </w:r>
      <w:r>
        <w:rPr>
          <w:rFonts w:asciiTheme="minorEastAsia" w:eastAsiaTheme="minorEastAsia" w:hAnsiTheme="minorEastAsia" w:hint="eastAsia"/>
          <w:sz w:val="24"/>
          <w:szCs w:val="24"/>
        </w:rPr>
        <w:t>的技术进步和技术创新。</w:t>
      </w:r>
    </w:p>
    <w:p w14:paraId="04CB6D44" w14:textId="77777777" w:rsidR="00906414" w:rsidRDefault="00000000">
      <w:pPr>
        <w:spacing w:beforeLines="50" w:before="156" w:line="360" w:lineRule="auto"/>
        <w:outlineLvl w:val="1"/>
        <w:rPr>
          <w:rFonts w:asciiTheme="minorEastAsia" w:eastAsiaTheme="minorEastAsia" w:hAnsiTheme="minorEastAsia"/>
          <w:b/>
          <w:sz w:val="24"/>
          <w:szCs w:val="24"/>
        </w:rPr>
      </w:pPr>
      <w:bookmarkStart w:id="13" w:name="_Toc26972786"/>
      <w:r>
        <w:rPr>
          <w:rFonts w:asciiTheme="minorEastAsia" w:eastAsiaTheme="minorEastAsia" w:hAnsiTheme="minorEastAsia" w:hint="eastAsia"/>
          <w:b/>
          <w:sz w:val="24"/>
          <w:szCs w:val="24"/>
        </w:rPr>
        <w:t>（二）</w:t>
      </w:r>
      <w:r>
        <w:rPr>
          <w:rFonts w:asciiTheme="minorEastAsia" w:eastAsiaTheme="minorEastAsia" w:hAnsiTheme="minorEastAsia"/>
          <w:b/>
          <w:sz w:val="24"/>
          <w:szCs w:val="24"/>
        </w:rPr>
        <w:t>确定标准主要内容</w:t>
      </w:r>
      <w:r>
        <w:rPr>
          <w:rFonts w:asciiTheme="minorEastAsia" w:eastAsiaTheme="minorEastAsia" w:hAnsiTheme="minorEastAsia" w:hint="eastAsia"/>
          <w:b/>
          <w:sz w:val="24"/>
          <w:szCs w:val="24"/>
        </w:rPr>
        <w:t>的依据</w:t>
      </w:r>
      <w:bookmarkEnd w:id="13"/>
    </w:p>
    <w:p w14:paraId="0B2B6BF3" w14:textId="7C7116C3"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本标准</w:t>
      </w:r>
      <w:r w:rsidR="005F32FA" w:rsidRPr="005F32FA">
        <w:rPr>
          <w:rFonts w:asciiTheme="minorEastAsia" w:eastAsiaTheme="minorEastAsia" w:hAnsiTheme="minorEastAsia" w:hint="eastAsia"/>
          <w:sz w:val="24"/>
          <w:szCs w:val="24"/>
        </w:rPr>
        <w:t>规定了内贸集装箱码头业务流程节点上对应的交互单证、各单证数据内容和格式要求</w:t>
      </w:r>
      <w:r>
        <w:rPr>
          <w:rFonts w:asciiTheme="minorEastAsia" w:eastAsiaTheme="minorEastAsia" w:hAnsiTheme="minorEastAsia" w:hint="eastAsia"/>
          <w:sz w:val="24"/>
          <w:szCs w:val="24"/>
        </w:rPr>
        <w:t>。</w:t>
      </w:r>
    </w:p>
    <w:p w14:paraId="1BD8FD21" w14:textId="0746A2A8"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本标准适用于</w:t>
      </w:r>
      <w:r w:rsidR="005F32FA" w:rsidRPr="005F32FA">
        <w:rPr>
          <w:rFonts w:asciiTheme="minorEastAsia" w:eastAsiaTheme="minorEastAsia" w:hAnsiTheme="minorEastAsia" w:hint="eastAsia"/>
          <w:sz w:val="24"/>
          <w:szCs w:val="24"/>
        </w:rPr>
        <w:t>国内以运单形式进行的港口内贸集装箱货物运输</w:t>
      </w:r>
      <w:r>
        <w:rPr>
          <w:rFonts w:asciiTheme="minorEastAsia" w:eastAsiaTheme="minorEastAsia" w:hAnsiTheme="minorEastAsia" w:hint="eastAsia"/>
          <w:sz w:val="24"/>
          <w:szCs w:val="24"/>
        </w:rPr>
        <w:t>。</w:t>
      </w:r>
    </w:p>
    <w:p w14:paraId="6E73A923" w14:textId="73E74A3B" w:rsidR="00906414" w:rsidRDefault="00000000">
      <w:pPr>
        <w:spacing w:beforeLines="50" w:before="156" w:line="360" w:lineRule="auto"/>
        <w:ind w:firstLineChars="200" w:firstLine="48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本标准主要内容：第一章</w:t>
      </w:r>
      <w:r>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范围；第二章 规范性引用文件；第三章 术语和定义；第四章</w:t>
      </w:r>
      <w:r w:rsidR="005F32FA">
        <w:rPr>
          <w:rFonts w:asciiTheme="minorEastAsia" w:eastAsiaTheme="minorEastAsia" w:hAnsiTheme="minorEastAsia" w:hint="eastAsia"/>
          <w:sz w:val="24"/>
          <w:szCs w:val="24"/>
        </w:rPr>
        <w:t xml:space="preserve"> 单证构成</w:t>
      </w:r>
      <w:r>
        <w:rPr>
          <w:rFonts w:asciiTheme="minorEastAsia" w:eastAsiaTheme="minorEastAsia" w:hAnsiTheme="minorEastAsia" w:hint="eastAsia"/>
          <w:sz w:val="24"/>
          <w:szCs w:val="24"/>
        </w:rPr>
        <w:t xml:space="preserve">；第五章 </w:t>
      </w:r>
      <w:r w:rsidR="005F32FA">
        <w:rPr>
          <w:rFonts w:asciiTheme="minorEastAsia" w:eastAsiaTheme="minorEastAsia" w:hAnsiTheme="minorEastAsia" w:hint="eastAsia"/>
          <w:sz w:val="24"/>
          <w:szCs w:val="24"/>
        </w:rPr>
        <w:t>一般要求；第六章 进口单证内容与格式；第</w:t>
      </w:r>
      <w:r w:rsidR="005F32FA">
        <w:rPr>
          <w:rFonts w:asciiTheme="minorEastAsia" w:eastAsiaTheme="minorEastAsia" w:hAnsiTheme="minorEastAsia" w:hint="eastAsia"/>
          <w:sz w:val="24"/>
          <w:szCs w:val="24"/>
        </w:rPr>
        <w:t>七</w:t>
      </w:r>
      <w:r w:rsidR="005F32FA">
        <w:rPr>
          <w:rFonts w:asciiTheme="minorEastAsia" w:eastAsiaTheme="minorEastAsia" w:hAnsiTheme="minorEastAsia" w:hint="eastAsia"/>
          <w:sz w:val="24"/>
          <w:szCs w:val="24"/>
        </w:rPr>
        <w:t xml:space="preserve">章 </w:t>
      </w:r>
      <w:r w:rsidR="005F32FA">
        <w:rPr>
          <w:rFonts w:asciiTheme="minorEastAsia" w:eastAsiaTheme="minorEastAsia" w:hAnsiTheme="minorEastAsia" w:hint="eastAsia"/>
          <w:sz w:val="24"/>
          <w:szCs w:val="24"/>
        </w:rPr>
        <w:t>出</w:t>
      </w:r>
      <w:r w:rsidR="005F32FA">
        <w:rPr>
          <w:rFonts w:asciiTheme="minorEastAsia" w:eastAsiaTheme="minorEastAsia" w:hAnsiTheme="minorEastAsia" w:hint="eastAsia"/>
          <w:sz w:val="24"/>
          <w:szCs w:val="24"/>
        </w:rPr>
        <w:t>口单证内容与格式</w:t>
      </w:r>
      <w:r>
        <w:rPr>
          <w:rFonts w:asciiTheme="minorEastAsia" w:eastAsiaTheme="minorEastAsia" w:hAnsiTheme="minorEastAsia" w:hint="eastAsia"/>
          <w:sz w:val="24"/>
          <w:szCs w:val="24"/>
        </w:rPr>
        <w:t>。</w:t>
      </w:r>
    </w:p>
    <w:p w14:paraId="662C8EDC"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本标准编制的内容包括如下：</w:t>
      </w:r>
    </w:p>
    <w:p w14:paraId="56718462" w14:textId="77777777" w:rsidR="00906414" w:rsidRDefault="00000000">
      <w:pPr>
        <w:spacing w:beforeLines="50" w:before="156"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1</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第一章  范围</w:t>
      </w:r>
    </w:p>
    <w:p w14:paraId="5BF0841C" w14:textId="1B784BFC"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本文件规定了</w:t>
      </w:r>
      <w:r w:rsidR="00E51851" w:rsidRPr="005F32FA">
        <w:rPr>
          <w:rFonts w:asciiTheme="minorEastAsia" w:eastAsiaTheme="minorEastAsia" w:hAnsiTheme="minorEastAsia" w:hint="eastAsia"/>
          <w:sz w:val="24"/>
          <w:szCs w:val="24"/>
        </w:rPr>
        <w:t>内贸集装箱码头业务流程节点上对应的交互单证、各单证数据内容和格式要求</w:t>
      </w:r>
      <w:r>
        <w:rPr>
          <w:rFonts w:asciiTheme="minorEastAsia" w:eastAsiaTheme="minorEastAsia" w:hAnsiTheme="minorEastAsia" w:hint="eastAsia"/>
          <w:sz w:val="24"/>
          <w:szCs w:val="24"/>
        </w:rPr>
        <w:t>。本文件适用于</w:t>
      </w:r>
      <w:r w:rsidR="00E51851" w:rsidRPr="005F32FA">
        <w:rPr>
          <w:rFonts w:asciiTheme="minorEastAsia" w:eastAsiaTheme="minorEastAsia" w:hAnsiTheme="minorEastAsia" w:hint="eastAsia"/>
          <w:sz w:val="24"/>
          <w:szCs w:val="24"/>
        </w:rPr>
        <w:t>国内以运单形式进行的港口内贸集装箱货物运输</w:t>
      </w:r>
      <w:r>
        <w:rPr>
          <w:rFonts w:asciiTheme="minorEastAsia" w:eastAsiaTheme="minorEastAsia" w:hAnsiTheme="minorEastAsia" w:hint="eastAsia"/>
          <w:sz w:val="24"/>
          <w:szCs w:val="24"/>
        </w:rPr>
        <w:t>。</w:t>
      </w:r>
    </w:p>
    <w:p w14:paraId="3508FE37"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依据：本标准的范围基于标准编写的主要目的进行界定。</w:t>
      </w:r>
    </w:p>
    <w:p w14:paraId="350D47DE" w14:textId="77777777" w:rsidR="00906414" w:rsidRDefault="00000000">
      <w:pPr>
        <w:spacing w:beforeLines="50" w:before="156" w:line="360" w:lineRule="auto"/>
        <w:rPr>
          <w:rFonts w:asciiTheme="minorEastAsia" w:eastAsiaTheme="minorEastAsia" w:hAnsiTheme="minorEastAsia"/>
          <w:b/>
          <w:sz w:val="24"/>
          <w:szCs w:val="24"/>
        </w:rPr>
      </w:pPr>
      <w:r>
        <w:rPr>
          <w:rFonts w:asciiTheme="minorEastAsia" w:eastAsiaTheme="minorEastAsia" w:hAnsiTheme="minorEastAsia" w:hint="eastAsia"/>
          <w:b/>
          <w:sz w:val="24"/>
          <w:szCs w:val="24"/>
        </w:rPr>
        <w:t>2</w:t>
      </w:r>
      <w:r>
        <w:rPr>
          <w:rFonts w:asciiTheme="minorEastAsia" w:eastAsiaTheme="minorEastAsia" w:hAnsiTheme="minorEastAsia"/>
          <w:b/>
          <w:sz w:val="24"/>
          <w:szCs w:val="24"/>
        </w:rPr>
        <w:t>.</w:t>
      </w:r>
      <w:r>
        <w:rPr>
          <w:rFonts w:asciiTheme="minorEastAsia" w:eastAsiaTheme="minorEastAsia" w:hAnsiTheme="minorEastAsia" w:hint="eastAsia"/>
          <w:b/>
          <w:sz w:val="24"/>
          <w:szCs w:val="24"/>
        </w:rPr>
        <w:t xml:space="preserve">第二章 </w:t>
      </w:r>
      <w:r>
        <w:rPr>
          <w:rFonts w:asciiTheme="minorEastAsia" w:eastAsiaTheme="minorEastAsia" w:hAnsiTheme="minorEastAsia"/>
          <w:b/>
          <w:sz w:val="24"/>
          <w:szCs w:val="24"/>
        </w:rPr>
        <w:t xml:space="preserve"> </w:t>
      </w:r>
      <w:r>
        <w:rPr>
          <w:rFonts w:asciiTheme="minorEastAsia" w:eastAsiaTheme="minorEastAsia" w:hAnsiTheme="minorEastAsia" w:hint="eastAsia"/>
          <w:b/>
          <w:sz w:val="24"/>
          <w:szCs w:val="24"/>
        </w:rPr>
        <w:t>规范性引用文件</w:t>
      </w:r>
    </w:p>
    <w:p w14:paraId="598AD8DA" w14:textId="77777777"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本标准引用了如下标准：</w:t>
      </w:r>
    </w:p>
    <w:p w14:paraId="651B5204"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GB/T 1836  集装箱代码、识别和标记（ISO 6346:1995,IDT）</w:t>
      </w:r>
    </w:p>
    <w:p w14:paraId="64265E69"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GB/T 1992  集装箱名词术语</w:t>
      </w:r>
    </w:p>
    <w:p w14:paraId="2F00BEC2"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GB/T 7407  中国及世界主要海运贸易港口代码</w:t>
      </w:r>
    </w:p>
    <w:p w14:paraId="4AA2DF6F"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GB/T 7408  数据元和交换格式信息交换 日期和时间表示法</w:t>
      </w:r>
    </w:p>
    <w:p w14:paraId="65627FB0"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lastRenderedPageBreak/>
        <w:t>GB/T 11601 集装箱港站检查口检查交接标准</w:t>
      </w:r>
    </w:p>
    <w:p w14:paraId="0EC95F07"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 12268-2012   危险货物品名表</w:t>
      </w:r>
    </w:p>
    <w:p w14:paraId="5E4F4C15"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GB/T 17271 集装箱运输术语</w:t>
      </w:r>
    </w:p>
    <w:p w14:paraId="2326B8D8" w14:textId="77777777" w:rsidR="00E51851" w:rsidRPr="00E51851" w:rsidRDefault="00E51851" w:rsidP="00E51851">
      <w:pPr>
        <w:spacing w:beforeLines="50" w:before="156" w:line="360" w:lineRule="auto"/>
        <w:ind w:firstLineChars="200" w:firstLine="480"/>
        <w:rPr>
          <w:rFonts w:asciiTheme="minorEastAsia" w:eastAsiaTheme="minorEastAsia" w:hAnsiTheme="minorEastAsia" w:hint="eastAsia"/>
          <w:sz w:val="24"/>
          <w:szCs w:val="24"/>
        </w:rPr>
      </w:pPr>
      <w:r w:rsidRPr="00E51851">
        <w:rPr>
          <w:rFonts w:asciiTheme="minorEastAsia" w:eastAsiaTheme="minorEastAsia" w:hAnsiTheme="minorEastAsia" w:hint="eastAsia"/>
          <w:sz w:val="24"/>
          <w:szCs w:val="24"/>
        </w:rPr>
        <w:t>GB/T 18156 海上国际集装箱货物交付单证</w:t>
      </w:r>
    </w:p>
    <w:p w14:paraId="3C4AF2CE" w14:textId="1F8DE992" w:rsidR="00906414" w:rsidRPr="00E51851" w:rsidRDefault="00E51851" w:rsidP="00E51851">
      <w:pPr>
        <w:spacing w:beforeLines="50" w:before="156" w:line="360" w:lineRule="auto"/>
        <w:ind w:firstLineChars="200" w:firstLine="480"/>
        <w:rPr>
          <w:rFonts w:asciiTheme="minorEastAsia" w:eastAsiaTheme="minorEastAsia" w:hAnsiTheme="minorEastAsia"/>
          <w:sz w:val="24"/>
          <w:szCs w:val="24"/>
        </w:rPr>
      </w:pPr>
      <w:r w:rsidRPr="00E51851">
        <w:rPr>
          <w:rFonts w:asciiTheme="minorEastAsia" w:eastAsiaTheme="minorEastAsia" w:hAnsiTheme="minorEastAsia" w:hint="eastAsia"/>
          <w:sz w:val="24"/>
          <w:szCs w:val="24"/>
        </w:rPr>
        <w:t>T/CPHA 14 集装箱电子单证</w:t>
      </w:r>
    </w:p>
    <w:p w14:paraId="2251ACDE" w14:textId="58CB36A3"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依据：上述标准，涉及术语的引用，</w:t>
      </w:r>
      <w:r w:rsidR="00E51851">
        <w:rPr>
          <w:rFonts w:asciiTheme="minorEastAsia" w:eastAsiaTheme="minorEastAsia" w:hAnsiTheme="minorEastAsia" w:hint="eastAsia"/>
          <w:sz w:val="24"/>
          <w:szCs w:val="24"/>
        </w:rPr>
        <w:t>数据元格式</w:t>
      </w:r>
      <w:r>
        <w:rPr>
          <w:rFonts w:asciiTheme="minorEastAsia" w:eastAsiaTheme="minorEastAsia" w:hAnsiTheme="minorEastAsia" w:hint="eastAsia"/>
          <w:sz w:val="24"/>
          <w:szCs w:val="24"/>
        </w:rPr>
        <w:t>、集装箱港站检查口交接要求</w:t>
      </w:r>
      <w:r w:rsidR="00E51851">
        <w:rPr>
          <w:rFonts w:asciiTheme="minorEastAsia" w:eastAsiaTheme="minorEastAsia" w:hAnsiTheme="minorEastAsia" w:hint="eastAsia"/>
          <w:sz w:val="24"/>
          <w:szCs w:val="24"/>
        </w:rPr>
        <w:t>、集装箱业务单证</w:t>
      </w:r>
      <w:r>
        <w:rPr>
          <w:rFonts w:asciiTheme="minorEastAsia" w:eastAsiaTheme="minorEastAsia" w:hAnsiTheme="minorEastAsia" w:hint="eastAsia"/>
          <w:sz w:val="24"/>
          <w:szCs w:val="24"/>
        </w:rPr>
        <w:t>等。</w:t>
      </w:r>
    </w:p>
    <w:p w14:paraId="326186EF" w14:textId="77777777" w:rsidR="00906414" w:rsidRDefault="00000000">
      <w:pPr>
        <w:spacing w:beforeLines="50" w:before="156" w:line="360" w:lineRule="auto"/>
        <w:rPr>
          <w:rFonts w:asciiTheme="minorEastAsia" w:eastAsiaTheme="minorEastAsia" w:hAnsiTheme="minorEastAsia"/>
          <w:b/>
          <w:sz w:val="24"/>
          <w:szCs w:val="24"/>
        </w:rPr>
      </w:pPr>
      <w:r>
        <w:rPr>
          <w:rFonts w:asciiTheme="minorEastAsia" w:eastAsiaTheme="minorEastAsia" w:hAnsiTheme="minorEastAsia"/>
          <w:b/>
          <w:sz w:val="24"/>
          <w:szCs w:val="24"/>
        </w:rPr>
        <w:t>3</w:t>
      </w:r>
      <w:r>
        <w:rPr>
          <w:rFonts w:asciiTheme="minorEastAsia" w:eastAsiaTheme="minorEastAsia" w:hAnsiTheme="minorEastAsia" w:hint="eastAsia"/>
          <w:b/>
          <w:sz w:val="24"/>
          <w:szCs w:val="24"/>
        </w:rPr>
        <w:t>.第三章  术语和定义</w:t>
      </w:r>
    </w:p>
    <w:p w14:paraId="628240D6" w14:textId="69ED1115" w:rsidR="00906414" w:rsidRDefault="00000000">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sz w:val="24"/>
          <w:szCs w:val="24"/>
        </w:rPr>
        <w:t>该部分主要阐述了</w:t>
      </w:r>
      <w:r w:rsidR="001B2124">
        <w:rPr>
          <w:rFonts w:asciiTheme="minorEastAsia" w:eastAsiaTheme="minorEastAsia" w:hAnsiTheme="minorEastAsia" w:hint="eastAsia"/>
          <w:sz w:val="24"/>
          <w:szCs w:val="24"/>
        </w:rPr>
        <w:t>内贸集装箱码头业务单证</w:t>
      </w:r>
      <w:r w:rsidR="001B2124">
        <w:rPr>
          <w:rFonts w:asciiTheme="minorEastAsia" w:eastAsiaTheme="minorEastAsia" w:hAnsiTheme="minorEastAsia" w:hint="eastAsia"/>
          <w:sz w:val="24"/>
          <w:szCs w:val="24"/>
        </w:rPr>
        <w:t>以及</w:t>
      </w:r>
      <w:r w:rsidR="001B2124" w:rsidRPr="005F32FA">
        <w:rPr>
          <w:rFonts w:asciiTheme="minorEastAsia" w:eastAsiaTheme="minorEastAsia" w:hAnsiTheme="minorEastAsia" w:hint="eastAsia"/>
          <w:sz w:val="24"/>
          <w:szCs w:val="24"/>
        </w:rPr>
        <w:t>各单证数据内容和格式要求</w:t>
      </w:r>
      <w:r>
        <w:rPr>
          <w:rFonts w:asciiTheme="minorEastAsia" w:eastAsiaTheme="minorEastAsia" w:hAnsiTheme="minorEastAsia"/>
          <w:sz w:val="24"/>
          <w:szCs w:val="24"/>
        </w:rPr>
        <w:t>所涉及的术语和相关定义</w:t>
      </w:r>
      <w:r>
        <w:rPr>
          <w:rFonts w:asciiTheme="minorEastAsia" w:eastAsiaTheme="minorEastAsia" w:hAnsiTheme="minorEastAsia" w:hint="eastAsia"/>
          <w:sz w:val="24"/>
          <w:szCs w:val="24"/>
        </w:rPr>
        <w:t>。</w:t>
      </w:r>
    </w:p>
    <w:p w14:paraId="39FE2C8E" w14:textId="2E355055" w:rsidR="00906414" w:rsidRDefault="00000000">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依据：</w:t>
      </w:r>
      <w:r w:rsidR="001B2124">
        <w:rPr>
          <w:rFonts w:asciiTheme="minorEastAsia" w:eastAsiaTheme="minorEastAsia" w:hAnsiTheme="minorEastAsia" w:hint="eastAsia"/>
          <w:sz w:val="24"/>
          <w:szCs w:val="24"/>
        </w:rPr>
        <w:t>根据本标准的研究和适用范围，</w:t>
      </w:r>
      <w:r>
        <w:rPr>
          <w:rFonts w:asciiTheme="minorEastAsia" w:eastAsiaTheme="minorEastAsia" w:hAnsiTheme="minorEastAsia" w:hint="eastAsia"/>
          <w:sz w:val="24"/>
          <w:szCs w:val="24"/>
        </w:rPr>
        <w:t>首先对</w:t>
      </w:r>
      <w:r w:rsidR="001B2124">
        <w:rPr>
          <w:rFonts w:asciiTheme="minorEastAsia" w:eastAsiaTheme="minorEastAsia" w:hAnsiTheme="minorEastAsia" w:hint="eastAsia"/>
          <w:sz w:val="24"/>
          <w:szCs w:val="24"/>
        </w:rPr>
        <w:t>内贸集装箱和内贸集装箱单证</w:t>
      </w:r>
      <w:r>
        <w:rPr>
          <w:rFonts w:asciiTheme="minorEastAsia" w:eastAsiaTheme="minorEastAsia" w:hAnsiTheme="minorEastAsia" w:hint="eastAsia"/>
          <w:sz w:val="24"/>
          <w:szCs w:val="24"/>
        </w:rPr>
        <w:t>进行了定义。另外对</w:t>
      </w:r>
      <w:r w:rsidR="001B2124">
        <w:rPr>
          <w:rFonts w:asciiTheme="minorEastAsia" w:eastAsiaTheme="minorEastAsia" w:hAnsiTheme="minorEastAsia" w:hint="eastAsia"/>
          <w:sz w:val="24"/>
          <w:szCs w:val="24"/>
        </w:rPr>
        <w:t>本标准涉及的船期信息、危险品申报单、危险品箱电子运单等其他标准中尚未定义的单证名称</w:t>
      </w:r>
      <w:r>
        <w:rPr>
          <w:rFonts w:asciiTheme="minorEastAsia" w:eastAsiaTheme="minorEastAsia" w:hAnsiTheme="minorEastAsia" w:hint="eastAsia"/>
          <w:sz w:val="24"/>
          <w:szCs w:val="24"/>
        </w:rPr>
        <w:t>进行了定义。</w:t>
      </w:r>
    </w:p>
    <w:p w14:paraId="6BC49346" w14:textId="41147C02" w:rsidR="003D1D82" w:rsidRDefault="003D1D82" w:rsidP="003D1D82">
      <w:pPr>
        <w:spacing w:beforeLines="50" w:before="156" w:line="360" w:lineRule="auto"/>
        <w:rPr>
          <w:rFonts w:asciiTheme="minorEastAsia" w:eastAsiaTheme="minorEastAsia" w:hAnsiTheme="minorEastAsia" w:hint="eastAsia"/>
          <w:b/>
          <w:sz w:val="24"/>
          <w:szCs w:val="24"/>
        </w:rPr>
      </w:pPr>
      <w:r>
        <w:rPr>
          <w:rFonts w:asciiTheme="minorEastAsia" w:eastAsiaTheme="minorEastAsia" w:hAnsiTheme="minorEastAsia"/>
          <w:b/>
          <w:sz w:val="24"/>
          <w:szCs w:val="24"/>
        </w:rPr>
        <w:t>4</w:t>
      </w:r>
      <w:r>
        <w:rPr>
          <w:rFonts w:asciiTheme="minorEastAsia" w:eastAsiaTheme="minorEastAsia" w:hAnsiTheme="minorEastAsia" w:hint="eastAsia"/>
          <w:b/>
          <w:sz w:val="24"/>
          <w:szCs w:val="24"/>
        </w:rPr>
        <w:t xml:space="preserve">.第四章 </w:t>
      </w:r>
      <w:r>
        <w:rPr>
          <w:rFonts w:asciiTheme="minorEastAsia" w:eastAsiaTheme="minorEastAsia" w:hAnsiTheme="minorEastAsia"/>
          <w:b/>
          <w:sz w:val="24"/>
          <w:szCs w:val="24"/>
        </w:rPr>
        <w:t xml:space="preserve"> </w:t>
      </w:r>
      <w:r>
        <w:rPr>
          <w:rFonts w:asciiTheme="minorEastAsia" w:eastAsiaTheme="minorEastAsia" w:hAnsiTheme="minorEastAsia" w:hint="eastAsia"/>
          <w:b/>
          <w:sz w:val="24"/>
          <w:szCs w:val="24"/>
        </w:rPr>
        <w:t>单证构成</w:t>
      </w:r>
    </w:p>
    <w:p w14:paraId="5036EC87" w14:textId="26206685" w:rsidR="00201E69" w:rsidRDefault="003D1D82" w:rsidP="003D1D82">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该部分主要规定了内贸集装箱码头</w:t>
      </w:r>
      <w:r w:rsidR="00201E69">
        <w:rPr>
          <w:rFonts w:asciiTheme="minorEastAsia" w:eastAsiaTheme="minorEastAsia" w:hAnsiTheme="minorEastAsia" w:hint="eastAsia"/>
          <w:sz w:val="24"/>
          <w:szCs w:val="24"/>
        </w:rPr>
        <w:t>进口业务流程中各节点对应的单证和出</w:t>
      </w:r>
      <w:r w:rsidR="00201E69">
        <w:rPr>
          <w:rFonts w:asciiTheme="minorEastAsia" w:eastAsiaTheme="minorEastAsia" w:hAnsiTheme="minorEastAsia" w:hint="eastAsia"/>
          <w:sz w:val="24"/>
          <w:szCs w:val="24"/>
        </w:rPr>
        <w:t>口业务流程中各节点对应的单证</w:t>
      </w:r>
      <w:r w:rsidR="00201E69">
        <w:rPr>
          <w:rFonts w:asciiTheme="minorEastAsia" w:eastAsiaTheme="minorEastAsia" w:hAnsiTheme="minorEastAsia" w:hint="eastAsia"/>
          <w:sz w:val="24"/>
          <w:szCs w:val="24"/>
        </w:rPr>
        <w:t>。</w:t>
      </w:r>
    </w:p>
    <w:p w14:paraId="33BBE3B9" w14:textId="10F9314E" w:rsidR="00201E69" w:rsidRPr="00201E69" w:rsidRDefault="003D1D82" w:rsidP="00D94FCE">
      <w:pPr>
        <w:spacing w:beforeLines="50" w:before="156" w:line="360" w:lineRule="auto"/>
        <w:ind w:firstLine="420"/>
        <w:rPr>
          <w:rFonts w:asciiTheme="minorEastAsia" w:eastAsiaTheme="minorEastAsia" w:hAnsiTheme="minorEastAsia" w:hint="eastAsia"/>
          <w:sz w:val="24"/>
          <w:szCs w:val="24"/>
        </w:rPr>
      </w:pPr>
      <w:r>
        <w:rPr>
          <w:rFonts w:asciiTheme="minorEastAsia" w:eastAsiaTheme="minorEastAsia" w:hAnsiTheme="minorEastAsia" w:hint="eastAsia"/>
          <w:sz w:val="24"/>
          <w:szCs w:val="24"/>
        </w:rPr>
        <w:t>依据：</w:t>
      </w:r>
      <w:r w:rsidR="00D94FCE">
        <w:rPr>
          <w:rFonts w:asciiTheme="minorEastAsia" w:eastAsiaTheme="minorEastAsia" w:hAnsiTheme="minorEastAsia" w:hint="eastAsia"/>
          <w:sz w:val="24"/>
          <w:szCs w:val="24"/>
        </w:rPr>
        <w:t>为了规范和统一我国</w:t>
      </w:r>
      <w:r w:rsidR="00D94FCE">
        <w:rPr>
          <w:rFonts w:asciiTheme="minorEastAsia" w:eastAsiaTheme="minorEastAsia" w:hAnsiTheme="minorEastAsia" w:hint="eastAsia"/>
          <w:sz w:val="24"/>
          <w:szCs w:val="24"/>
        </w:rPr>
        <w:t>内贸集装箱码头</w:t>
      </w:r>
      <w:r w:rsidR="00D94FCE">
        <w:rPr>
          <w:rFonts w:asciiTheme="minorEastAsia" w:eastAsiaTheme="minorEastAsia" w:hAnsiTheme="minorEastAsia" w:hint="eastAsia"/>
          <w:sz w:val="24"/>
          <w:szCs w:val="24"/>
        </w:rPr>
        <w:t>业务单证，首先应统一单证的</w:t>
      </w:r>
      <w:r w:rsidR="00D94FCE" w:rsidRPr="00D94FCE">
        <w:rPr>
          <w:rFonts w:asciiTheme="minorEastAsia" w:eastAsiaTheme="minorEastAsia" w:hAnsiTheme="minorEastAsia" w:hint="eastAsia"/>
          <w:sz w:val="24"/>
          <w:szCs w:val="24"/>
        </w:rPr>
        <w:t>范围</w:t>
      </w:r>
      <w:r w:rsidR="00D94FCE">
        <w:rPr>
          <w:rFonts w:asciiTheme="minorEastAsia" w:eastAsiaTheme="minorEastAsia" w:hAnsiTheme="minorEastAsia" w:hint="eastAsia"/>
          <w:sz w:val="24"/>
          <w:szCs w:val="24"/>
        </w:rPr>
        <w:t>，即哪些单证应该提炼后统一其内容和格式。单证的产生和流转是与业务流程密不可分的，因此本章梳理了内贸集装箱码头进出口业务的主要流程，并且梳理了各流程节点上应统一要求的单证清单。</w:t>
      </w:r>
    </w:p>
    <w:p w14:paraId="6700231E" w14:textId="3BB7C9BF" w:rsidR="00906414" w:rsidRDefault="00CA4F71">
      <w:pPr>
        <w:spacing w:beforeLines="50" w:before="156" w:line="360" w:lineRule="auto"/>
        <w:rPr>
          <w:rFonts w:asciiTheme="minorEastAsia" w:eastAsiaTheme="minorEastAsia" w:hAnsiTheme="minorEastAsia" w:hint="eastAsia"/>
          <w:b/>
          <w:sz w:val="24"/>
          <w:szCs w:val="24"/>
        </w:rPr>
      </w:pPr>
      <w:r>
        <w:rPr>
          <w:rFonts w:asciiTheme="minorEastAsia" w:eastAsiaTheme="minorEastAsia" w:hAnsiTheme="minorEastAsia"/>
          <w:b/>
          <w:sz w:val="24"/>
          <w:szCs w:val="24"/>
        </w:rPr>
        <w:t>5</w:t>
      </w:r>
      <w:r w:rsidR="00000000">
        <w:rPr>
          <w:rFonts w:asciiTheme="minorEastAsia" w:eastAsiaTheme="minorEastAsia" w:hAnsiTheme="minorEastAsia" w:hint="eastAsia"/>
          <w:b/>
          <w:sz w:val="24"/>
          <w:szCs w:val="24"/>
        </w:rPr>
        <w:t>.第</w:t>
      </w:r>
      <w:r>
        <w:rPr>
          <w:rFonts w:asciiTheme="minorEastAsia" w:eastAsiaTheme="minorEastAsia" w:hAnsiTheme="minorEastAsia" w:hint="eastAsia"/>
          <w:b/>
          <w:sz w:val="24"/>
          <w:szCs w:val="24"/>
        </w:rPr>
        <w:t>五</w:t>
      </w:r>
      <w:r w:rsidR="00000000">
        <w:rPr>
          <w:rFonts w:asciiTheme="minorEastAsia" w:eastAsiaTheme="minorEastAsia" w:hAnsiTheme="minorEastAsia" w:hint="eastAsia"/>
          <w:b/>
          <w:sz w:val="24"/>
          <w:szCs w:val="24"/>
        </w:rPr>
        <w:t xml:space="preserve">章 </w:t>
      </w:r>
      <w:r w:rsidR="00000000">
        <w:rPr>
          <w:rFonts w:asciiTheme="minorEastAsia" w:eastAsiaTheme="minorEastAsia" w:hAnsiTheme="minorEastAsia"/>
          <w:b/>
          <w:sz w:val="24"/>
          <w:szCs w:val="24"/>
        </w:rPr>
        <w:t xml:space="preserve"> </w:t>
      </w:r>
      <w:r w:rsidR="00000000">
        <w:rPr>
          <w:rFonts w:asciiTheme="minorEastAsia" w:eastAsiaTheme="minorEastAsia" w:hAnsiTheme="minorEastAsia" w:hint="eastAsia"/>
          <w:b/>
          <w:sz w:val="24"/>
          <w:szCs w:val="24"/>
        </w:rPr>
        <w:t>一般要求</w:t>
      </w:r>
    </w:p>
    <w:p w14:paraId="0B502672" w14:textId="23F6B1EF" w:rsidR="00906414" w:rsidRDefault="00000000">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该部分主要规定了</w:t>
      </w:r>
      <w:r w:rsidR="00567A59">
        <w:rPr>
          <w:rFonts w:asciiTheme="minorEastAsia" w:eastAsiaTheme="minorEastAsia" w:hAnsiTheme="minorEastAsia" w:hint="eastAsia"/>
          <w:sz w:val="24"/>
          <w:szCs w:val="24"/>
        </w:rPr>
        <w:t>内贸集装箱码头业务单证</w:t>
      </w:r>
      <w:r w:rsidR="00B34569">
        <w:rPr>
          <w:rFonts w:asciiTheme="minorEastAsia" w:eastAsiaTheme="minorEastAsia" w:hAnsiTheme="minorEastAsia" w:hint="eastAsia"/>
          <w:sz w:val="24"/>
          <w:szCs w:val="24"/>
        </w:rPr>
        <w:t>及</w:t>
      </w:r>
      <w:r w:rsidR="00B34569" w:rsidRPr="005F32FA">
        <w:rPr>
          <w:rFonts w:asciiTheme="minorEastAsia" w:eastAsiaTheme="minorEastAsia" w:hAnsiTheme="minorEastAsia" w:hint="eastAsia"/>
          <w:sz w:val="24"/>
          <w:szCs w:val="24"/>
        </w:rPr>
        <w:t>各单证数据内容和格式</w:t>
      </w:r>
      <w:r>
        <w:rPr>
          <w:rFonts w:asciiTheme="minorEastAsia" w:eastAsiaTheme="minorEastAsia" w:hAnsiTheme="minorEastAsia" w:hint="eastAsia"/>
          <w:sz w:val="24"/>
          <w:szCs w:val="24"/>
        </w:rPr>
        <w:t>具有共性的基本要求，主要从</w:t>
      </w:r>
      <w:r w:rsidR="00CA4F71">
        <w:rPr>
          <w:rFonts w:asciiTheme="minorEastAsia" w:eastAsiaTheme="minorEastAsia" w:hAnsiTheme="minorEastAsia" w:hint="eastAsia"/>
          <w:sz w:val="24"/>
          <w:szCs w:val="24"/>
        </w:rPr>
        <w:t>单证基本要素、数据格式、标准数据元（如港口代码）</w:t>
      </w:r>
      <w:r>
        <w:rPr>
          <w:rFonts w:asciiTheme="minorEastAsia" w:eastAsiaTheme="minorEastAsia" w:hAnsiTheme="minorEastAsia" w:hint="eastAsia"/>
          <w:sz w:val="24"/>
          <w:szCs w:val="24"/>
        </w:rPr>
        <w:t>等方面进行规定。</w:t>
      </w:r>
    </w:p>
    <w:p w14:paraId="1CDF9026" w14:textId="012B3CB6" w:rsidR="00906414" w:rsidRDefault="00000000">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依据：</w:t>
      </w:r>
      <w:r w:rsidR="00CA4F71">
        <w:rPr>
          <w:rFonts w:asciiTheme="minorEastAsia" w:eastAsiaTheme="minorEastAsia" w:hAnsiTheme="minorEastAsia" w:hint="eastAsia"/>
          <w:sz w:val="24"/>
          <w:szCs w:val="24"/>
        </w:rPr>
        <w:t>内贸集装箱码头业务单证作为</w:t>
      </w:r>
      <w:r w:rsidR="00CA4F71" w:rsidRPr="00CA4F71">
        <w:rPr>
          <w:rFonts w:asciiTheme="minorEastAsia" w:eastAsiaTheme="minorEastAsia" w:hAnsiTheme="minorEastAsia" w:hint="eastAsia"/>
          <w:sz w:val="24"/>
          <w:szCs w:val="24"/>
        </w:rPr>
        <w:t>内贸集装箱</w:t>
      </w:r>
      <w:r w:rsidR="00CA4F71">
        <w:rPr>
          <w:rFonts w:asciiTheme="minorEastAsia" w:eastAsiaTheme="minorEastAsia" w:hAnsiTheme="minorEastAsia" w:hint="eastAsia"/>
          <w:sz w:val="24"/>
          <w:szCs w:val="24"/>
        </w:rPr>
        <w:t>码头业务交接的凭证</w:t>
      </w:r>
      <w:r>
        <w:rPr>
          <w:rFonts w:asciiTheme="minorEastAsia" w:eastAsiaTheme="minorEastAsia" w:hAnsiTheme="minorEastAsia" w:hint="eastAsia"/>
          <w:sz w:val="24"/>
          <w:szCs w:val="24"/>
        </w:rPr>
        <w:t>，</w:t>
      </w:r>
      <w:r w:rsidR="00CA4F71">
        <w:rPr>
          <w:rFonts w:asciiTheme="minorEastAsia" w:eastAsiaTheme="minorEastAsia" w:hAnsiTheme="minorEastAsia" w:hint="eastAsia"/>
          <w:sz w:val="24"/>
          <w:szCs w:val="24"/>
        </w:rPr>
        <w:t>部分要素</w:t>
      </w:r>
      <w:r>
        <w:rPr>
          <w:rFonts w:asciiTheme="minorEastAsia" w:eastAsiaTheme="minorEastAsia" w:hAnsiTheme="minorEastAsia" w:hint="eastAsia"/>
          <w:sz w:val="24"/>
          <w:szCs w:val="24"/>
        </w:rPr>
        <w:t>具有一定的普遍性和广泛性</w:t>
      </w:r>
      <w:r w:rsidR="007876EF">
        <w:rPr>
          <w:rFonts w:asciiTheme="minorEastAsia" w:eastAsiaTheme="minorEastAsia" w:hAnsiTheme="minorEastAsia" w:hint="eastAsia"/>
          <w:sz w:val="24"/>
          <w:szCs w:val="24"/>
        </w:rPr>
        <w:t>，该部分内容在本章进行了统一规定</w:t>
      </w:r>
      <w:r>
        <w:rPr>
          <w:rFonts w:asciiTheme="minorEastAsia" w:eastAsiaTheme="minorEastAsia" w:hAnsiTheme="minorEastAsia" w:hint="eastAsia"/>
          <w:sz w:val="24"/>
          <w:szCs w:val="24"/>
        </w:rPr>
        <w:t>。</w:t>
      </w:r>
    </w:p>
    <w:p w14:paraId="47A9C624" w14:textId="160C4946" w:rsidR="00906414" w:rsidRDefault="007876EF">
      <w:pPr>
        <w:spacing w:beforeLines="50" w:before="156" w:line="360" w:lineRule="auto"/>
        <w:rPr>
          <w:rFonts w:asciiTheme="minorEastAsia" w:eastAsiaTheme="minorEastAsia" w:hAnsiTheme="minorEastAsia"/>
          <w:b/>
          <w:sz w:val="24"/>
          <w:szCs w:val="24"/>
        </w:rPr>
      </w:pPr>
      <w:r>
        <w:rPr>
          <w:rFonts w:asciiTheme="minorEastAsia" w:eastAsiaTheme="minorEastAsia" w:hAnsiTheme="minorEastAsia"/>
          <w:b/>
          <w:sz w:val="24"/>
          <w:szCs w:val="24"/>
        </w:rPr>
        <w:t>6</w:t>
      </w:r>
      <w:r w:rsidR="00000000">
        <w:rPr>
          <w:rFonts w:asciiTheme="minorEastAsia" w:eastAsiaTheme="minorEastAsia" w:hAnsiTheme="minorEastAsia" w:hint="eastAsia"/>
          <w:b/>
          <w:sz w:val="24"/>
          <w:szCs w:val="24"/>
        </w:rPr>
        <w:t>.第</w:t>
      </w:r>
      <w:r>
        <w:rPr>
          <w:rFonts w:asciiTheme="minorEastAsia" w:eastAsiaTheme="minorEastAsia" w:hAnsiTheme="minorEastAsia" w:hint="eastAsia"/>
          <w:b/>
          <w:sz w:val="24"/>
          <w:szCs w:val="24"/>
        </w:rPr>
        <w:t>六</w:t>
      </w:r>
      <w:r w:rsidR="00000000">
        <w:rPr>
          <w:rFonts w:asciiTheme="minorEastAsia" w:eastAsiaTheme="minorEastAsia" w:hAnsiTheme="minorEastAsia" w:hint="eastAsia"/>
          <w:b/>
          <w:sz w:val="24"/>
          <w:szCs w:val="24"/>
        </w:rPr>
        <w:t xml:space="preserve">章 </w:t>
      </w:r>
      <w:r w:rsidR="00000000">
        <w:rPr>
          <w:rFonts w:asciiTheme="minorEastAsia" w:eastAsiaTheme="minorEastAsia" w:hAnsiTheme="minorEastAsia"/>
          <w:b/>
          <w:sz w:val="24"/>
          <w:szCs w:val="24"/>
        </w:rPr>
        <w:t xml:space="preserve"> </w:t>
      </w:r>
      <w:r w:rsidRPr="007876EF">
        <w:rPr>
          <w:rFonts w:asciiTheme="minorEastAsia" w:eastAsiaTheme="minorEastAsia" w:hAnsiTheme="minorEastAsia" w:hint="eastAsia"/>
          <w:b/>
          <w:sz w:val="24"/>
          <w:szCs w:val="24"/>
        </w:rPr>
        <w:t>进口单证内容与格式</w:t>
      </w:r>
    </w:p>
    <w:p w14:paraId="5E24E809" w14:textId="0F44D95F" w:rsidR="007876EF" w:rsidRDefault="00000000" w:rsidP="007876EF">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该部分主要定义了</w:t>
      </w:r>
      <w:r w:rsidR="007876EF">
        <w:rPr>
          <w:rFonts w:asciiTheme="minorEastAsia" w:eastAsiaTheme="minorEastAsia" w:hAnsiTheme="minorEastAsia" w:hint="eastAsia"/>
          <w:sz w:val="24"/>
          <w:szCs w:val="24"/>
        </w:rPr>
        <w:t>内贸集装箱码头进口业务流程中各</w:t>
      </w:r>
      <w:r w:rsidR="007876EF" w:rsidRPr="007876EF">
        <w:rPr>
          <w:rFonts w:asciiTheme="minorEastAsia" w:eastAsiaTheme="minorEastAsia" w:hAnsiTheme="minorEastAsia" w:hint="eastAsia"/>
          <w:sz w:val="24"/>
          <w:szCs w:val="24"/>
        </w:rPr>
        <w:t>单证所含的项目内容和格式要求</w:t>
      </w:r>
      <w:r w:rsidR="007876EF">
        <w:rPr>
          <w:rFonts w:asciiTheme="minorEastAsia" w:eastAsiaTheme="minorEastAsia" w:hAnsiTheme="minorEastAsia" w:hint="eastAsia"/>
          <w:sz w:val="24"/>
          <w:szCs w:val="24"/>
        </w:rPr>
        <w:t>。</w:t>
      </w:r>
      <w:r w:rsidR="007876EF">
        <w:rPr>
          <w:rFonts w:asciiTheme="minorEastAsia" w:eastAsiaTheme="minorEastAsia" w:hAnsiTheme="minorEastAsia" w:hint="eastAsia"/>
          <w:sz w:val="24"/>
          <w:szCs w:val="24"/>
        </w:rPr>
        <w:t>本章节中规定了</w:t>
      </w:r>
      <w:r w:rsidR="007876EF">
        <w:rPr>
          <w:rFonts w:asciiTheme="minorEastAsia" w:eastAsiaTheme="minorEastAsia" w:hAnsiTheme="minorEastAsia" w:hint="eastAsia"/>
          <w:sz w:val="24"/>
          <w:szCs w:val="24"/>
        </w:rPr>
        <w:t>各进口单证</w:t>
      </w:r>
      <w:r w:rsidR="007876EF">
        <w:rPr>
          <w:rFonts w:asciiTheme="minorEastAsia" w:eastAsiaTheme="minorEastAsia" w:hAnsiTheme="minorEastAsia" w:hint="eastAsia"/>
          <w:sz w:val="24"/>
          <w:szCs w:val="24"/>
        </w:rPr>
        <w:t>的数据项（字段），包括字段英文名称、中文名称、类型、长度、是否必填、</w:t>
      </w:r>
      <w:r w:rsidR="007876EF">
        <w:rPr>
          <w:rFonts w:asciiTheme="minorEastAsia" w:eastAsiaTheme="minorEastAsia" w:hAnsiTheme="minorEastAsia" w:hint="eastAsia"/>
          <w:sz w:val="24"/>
          <w:szCs w:val="24"/>
        </w:rPr>
        <w:t>说明</w:t>
      </w:r>
      <w:r w:rsidR="007876EF">
        <w:rPr>
          <w:rFonts w:asciiTheme="minorEastAsia" w:eastAsiaTheme="minorEastAsia" w:hAnsiTheme="minorEastAsia" w:hint="eastAsia"/>
          <w:sz w:val="24"/>
          <w:szCs w:val="24"/>
        </w:rPr>
        <w:t>等。</w:t>
      </w:r>
    </w:p>
    <w:p w14:paraId="79851BCD" w14:textId="42235D7A" w:rsidR="00906414" w:rsidRDefault="00000000">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依据：为了给</w:t>
      </w:r>
      <w:r w:rsidR="007876EF">
        <w:rPr>
          <w:rFonts w:asciiTheme="minorEastAsia" w:eastAsiaTheme="minorEastAsia" w:hAnsiTheme="minorEastAsia" w:hint="eastAsia"/>
          <w:sz w:val="24"/>
          <w:szCs w:val="24"/>
        </w:rPr>
        <w:t>内贸集装箱码头业务单证从业者和相关单证电子化设计</w:t>
      </w:r>
      <w:r>
        <w:rPr>
          <w:rFonts w:asciiTheme="minorEastAsia" w:eastAsiaTheme="minorEastAsia" w:hAnsiTheme="minorEastAsia" w:hint="eastAsia"/>
          <w:sz w:val="24"/>
          <w:szCs w:val="24"/>
        </w:rPr>
        <w:t>提供参考，本章规定了</w:t>
      </w:r>
      <w:r w:rsidR="007876EF">
        <w:rPr>
          <w:rFonts w:asciiTheme="minorEastAsia" w:eastAsiaTheme="minorEastAsia" w:hAnsiTheme="minorEastAsia" w:hint="eastAsia"/>
          <w:sz w:val="24"/>
          <w:szCs w:val="24"/>
        </w:rPr>
        <w:t>内贸集装箱码头进口业务</w:t>
      </w:r>
      <w:r>
        <w:rPr>
          <w:rFonts w:asciiTheme="minorEastAsia" w:eastAsiaTheme="minorEastAsia" w:hAnsiTheme="minorEastAsia" w:hint="eastAsia"/>
          <w:sz w:val="24"/>
          <w:szCs w:val="24"/>
        </w:rPr>
        <w:t>数据交互的主要内容，并充分考虑了数据项的通用性，且规定了部分数据项之间的逻辑和校验规则。</w:t>
      </w:r>
    </w:p>
    <w:p w14:paraId="028883A2" w14:textId="199AD27C" w:rsidR="00906414" w:rsidRDefault="007876EF">
      <w:pPr>
        <w:spacing w:beforeLines="50" w:before="156" w:line="360" w:lineRule="auto"/>
        <w:rPr>
          <w:rFonts w:asciiTheme="minorEastAsia" w:eastAsiaTheme="minorEastAsia" w:hAnsiTheme="minorEastAsia"/>
          <w:b/>
          <w:sz w:val="24"/>
          <w:szCs w:val="24"/>
        </w:rPr>
      </w:pPr>
      <w:r>
        <w:rPr>
          <w:rFonts w:asciiTheme="minorEastAsia" w:eastAsiaTheme="minorEastAsia" w:hAnsiTheme="minorEastAsia"/>
          <w:b/>
          <w:sz w:val="24"/>
          <w:szCs w:val="24"/>
        </w:rPr>
        <w:t>7</w:t>
      </w:r>
      <w:r w:rsidR="00000000">
        <w:rPr>
          <w:rFonts w:asciiTheme="minorEastAsia" w:eastAsiaTheme="minorEastAsia" w:hAnsiTheme="minorEastAsia" w:hint="eastAsia"/>
          <w:b/>
          <w:sz w:val="24"/>
          <w:szCs w:val="24"/>
        </w:rPr>
        <w:t>.第</w:t>
      </w:r>
      <w:r>
        <w:rPr>
          <w:rFonts w:asciiTheme="minorEastAsia" w:eastAsiaTheme="minorEastAsia" w:hAnsiTheme="minorEastAsia" w:hint="eastAsia"/>
          <w:b/>
          <w:sz w:val="24"/>
          <w:szCs w:val="24"/>
        </w:rPr>
        <w:t>七</w:t>
      </w:r>
      <w:r w:rsidR="00000000">
        <w:rPr>
          <w:rFonts w:asciiTheme="minorEastAsia" w:eastAsiaTheme="minorEastAsia" w:hAnsiTheme="minorEastAsia" w:hint="eastAsia"/>
          <w:b/>
          <w:sz w:val="24"/>
          <w:szCs w:val="24"/>
        </w:rPr>
        <w:t xml:space="preserve">章 </w:t>
      </w:r>
      <w:r w:rsidR="00000000">
        <w:rPr>
          <w:rFonts w:asciiTheme="minorEastAsia" w:eastAsiaTheme="minorEastAsia" w:hAnsiTheme="minorEastAsia"/>
          <w:b/>
          <w:sz w:val="24"/>
          <w:szCs w:val="24"/>
        </w:rPr>
        <w:t xml:space="preserve"> </w:t>
      </w:r>
      <w:r>
        <w:rPr>
          <w:rFonts w:asciiTheme="minorEastAsia" w:eastAsiaTheme="minorEastAsia" w:hAnsiTheme="minorEastAsia" w:hint="eastAsia"/>
          <w:b/>
          <w:sz w:val="24"/>
          <w:szCs w:val="24"/>
        </w:rPr>
        <w:t>出</w:t>
      </w:r>
      <w:r w:rsidRPr="007876EF">
        <w:rPr>
          <w:rFonts w:asciiTheme="minorEastAsia" w:eastAsiaTheme="minorEastAsia" w:hAnsiTheme="minorEastAsia" w:hint="eastAsia"/>
          <w:b/>
          <w:sz w:val="24"/>
          <w:szCs w:val="24"/>
        </w:rPr>
        <w:t>口单证内容与格式</w:t>
      </w:r>
    </w:p>
    <w:p w14:paraId="1B2D90AA" w14:textId="1B1B6030" w:rsidR="007876EF" w:rsidRDefault="007876EF" w:rsidP="007876EF">
      <w:pPr>
        <w:spacing w:beforeLines="50" w:before="156" w:line="360" w:lineRule="auto"/>
        <w:ind w:firstLineChars="200" w:firstLine="480"/>
        <w:rPr>
          <w:rFonts w:asciiTheme="minorEastAsia" w:eastAsiaTheme="minorEastAsia" w:hAnsiTheme="minorEastAsia"/>
          <w:sz w:val="24"/>
          <w:szCs w:val="24"/>
        </w:rPr>
      </w:pPr>
      <w:bookmarkStart w:id="14" w:name="_Toc46098152"/>
      <w:r>
        <w:rPr>
          <w:rFonts w:asciiTheme="minorEastAsia" w:eastAsiaTheme="minorEastAsia" w:hAnsiTheme="minorEastAsia" w:hint="eastAsia"/>
          <w:sz w:val="24"/>
          <w:szCs w:val="24"/>
        </w:rPr>
        <w:t>该部分主要定义了内贸集装箱码头</w:t>
      </w:r>
      <w:r>
        <w:rPr>
          <w:rFonts w:asciiTheme="minorEastAsia" w:eastAsiaTheme="minorEastAsia" w:hAnsiTheme="minorEastAsia" w:hint="eastAsia"/>
          <w:sz w:val="24"/>
          <w:szCs w:val="24"/>
        </w:rPr>
        <w:t>出口</w:t>
      </w:r>
      <w:r>
        <w:rPr>
          <w:rFonts w:asciiTheme="minorEastAsia" w:eastAsiaTheme="minorEastAsia" w:hAnsiTheme="minorEastAsia" w:hint="eastAsia"/>
          <w:sz w:val="24"/>
          <w:szCs w:val="24"/>
        </w:rPr>
        <w:t>业务流程中各</w:t>
      </w:r>
      <w:r w:rsidRPr="007876EF">
        <w:rPr>
          <w:rFonts w:asciiTheme="minorEastAsia" w:eastAsiaTheme="minorEastAsia" w:hAnsiTheme="minorEastAsia" w:hint="eastAsia"/>
          <w:sz w:val="24"/>
          <w:szCs w:val="24"/>
        </w:rPr>
        <w:t>单证所含的项目内容和格式要求</w:t>
      </w:r>
      <w:r>
        <w:rPr>
          <w:rFonts w:asciiTheme="minorEastAsia" w:eastAsiaTheme="minorEastAsia" w:hAnsiTheme="minorEastAsia" w:hint="eastAsia"/>
          <w:sz w:val="24"/>
          <w:szCs w:val="24"/>
        </w:rPr>
        <w:t>。本章节中规定了各出口单证的数据项（字段），包括字段英文名称、中文名称、类型、长度、是否必填、说明等。</w:t>
      </w:r>
    </w:p>
    <w:p w14:paraId="3E13894C" w14:textId="05EE9DC4" w:rsidR="007876EF" w:rsidRDefault="007876EF" w:rsidP="007876EF">
      <w:pPr>
        <w:spacing w:beforeLines="50" w:before="156"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依据：为了给内贸集装箱码头业务单证从业者和相关单证电子化设计提供参考，本章规定了内贸集装箱码头出口业务数据交互的主要内容，并充分考虑了数据项的通用性，且规定了部分数据项之间的逻辑和校验规则。</w:t>
      </w:r>
    </w:p>
    <w:p w14:paraId="389B9FED" w14:textId="77777777" w:rsidR="00906414" w:rsidRDefault="00000000">
      <w:pPr>
        <w:spacing w:beforeLines="50" w:before="156" w:line="360" w:lineRule="auto"/>
        <w:outlineLvl w:val="0"/>
        <w:rPr>
          <w:rFonts w:asciiTheme="minorEastAsia" w:eastAsiaTheme="minorEastAsia" w:hAnsiTheme="minorEastAsia"/>
          <w:b/>
          <w:sz w:val="24"/>
          <w:szCs w:val="24"/>
        </w:rPr>
      </w:pPr>
      <w:r>
        <w:rPr>
          <w:rFonts w:asciiTheme="minorEastAsia" w:eastAsiaTheme="minorEastAsia" w:hAnsiTheme="minorEastAsia" w:hint="eastAsia"/>
          <w:b/>
          <w:sz w:val="24"/>
          <w:szCs w:val="24"/>
        </w:rPr>
        <w:t>三、主</w:t>
      </w:r>
      <w:r>
        <w:rPr>
          <w:rFonts w:asciiTheme="minorEastAsia" w:eastAsiaTheme="minorEastAsia" w:hAnsiTheme="minorEastAsia"/>
          <w:b/>
          <w:sz w:val="24"/>
          <w:szCs w:val="24"/>
        </w:rPr>
        <w:t>要试验（或验证）的分析、综述报告，技术经济论证，预期的经济效果</w:t>
      </w:r>
      <w:bookmarkEnd w:id="14"/>
    </w:p>
    <w:p w14:paraId="45530883" w14:textId="226AF0D8" w:rsidR="00906414" w:rsidRDefault="008A3135">
      <w:pPr>
        <w:pStyle w:val="af5"/>
        <w:numPr>
          <w:ilvl w:val="0"/>
          <w:numId w:val="4"/>
        </w:numPr>
        <w:spacing w:beforeLines="50" w:before="156" w:line="360" w:lineRule="auto"/>
        <w:ind w:firstLineChars="0"/>
        <w:rPr>
          <w:rFonts w:ascii="宋体" w:hAnsi="宋体"/>
          <w:b/>
          <w:bCs/>
          <w:sz w:val="24"/>
          <w:szCs w:val="24"/>
        </w:rPr>
      </w:pPr>
      <w:r>
        <w:rPr>
          <w:rFonts w:ascii="宋体" w:hAnsi="宋体" w:hint="eastAsia"/>
          <w:b/>
          <w:bCs/>
          <w:sz w:val="24"/>
          <w:szCs w:val="24"/>
        </w:rPr>
        <w:t>内贸集装箱码头单证</w:t>
      </w:r>
      <w:r w:rsidR="00000000">
        <w:rPr>
          <w:rFonts w:ascii="宋体" w:hAnsi="宋体" w:hint="eastAsia"/>
          <w:b/>
          <w:bCs/>
          <w:sz w:val="24"/>
          <w:szCs w:val="24"/>
        </w:rPr>
        <w:t>应用综述</w:t>
      </w:r>
    </w:p>
    <w:p w14:paraId="743DB591" w14:textId="77777777" w:rsidR="00A868B3" w:rsidRPr="00A868B3" w:rsidRDefault="00A868B3" w:rsidP="00A868B3">
      <w:pPr>
        <w:spacing w:beforeLines="50" w:before="156" w:line="360" w:lineRule="auto"/>
        <w:ind w:firstLineChars="200" w:firstLine="480"/>
        <w:rPr>
          <w:rFonts w:asciiTheme="minorEastAsia" w:eastAsiaTheme="minorEastAsia" w:hAnsiTheme="minorEastAsia"/>
          <w:sz w:val="24"/>
          <w:szCs w:val="24"/>
        </w:rPr>
      </w:pPr>
      <w:r w:rsidRPr="00A868B3">
        <w:rPr>
          <w:rFonts w:asciiTheme="minorEastAsia" w:eastAsiaTheme="minorEastAsia" w:hAnsiTheme="minorEastAsia" w:hint="eastAsia"/>
          <w:sz w:val="24"/>
          <w:szCs w:val="24"/>
        </w:rPr>
        <w:t>2022年4月10日，《中共中央国务院关于加快建设全国统一大市场的意见》（下称《意见》）正式出台。《意见》明确，要加快建立全国统一的市场制度规则，打通制约经济循环的关键堵点。打造全国统一大市场是实现中国内循环的关键。市场统一，标准先行。</w:t>
      </w:r>
    </w:p>
    <w:p w14:paraId="7E6B6DB7" w14:textId="77777777" w:rsidR="00A868B3" w:rsidRPr="00A868B3" w:rsidRDefault="00A868B3" w:rsidP="00A868B3">
      <w:pPr>
        <w:spacing w:beforeLines="50" w:before="156" w:line="360" w:lineRule="auto"/>
        <w:ind w:firstLineChars="200" w:firstLine="480"/>
        <w:rPr>
          <w:rFonts w:asciiTheme="minorEastAsia" w:eastAsiaTheme="minorEastAsia" w:hAnsiTheme="minorEastAsia" w:hint="eastAsia"/>
          <w:sz w:val="24"/>
          <w:szCs w:val="24"/>
        </w:rPr>
      </w:pPr>
      <w:r w:rsidRPr="00A868B3">
        <w:rPr>
          <w:rFonts w:asciiTheme="minorEastAsia" w:eastAsiaTheme="minorEastAsia" w:hAnsiTheme="minorEastAsia" w:hint="eastAsia"/>
          <w:sz w:val="24"/>
          <w:szCs w:val="24"/>
        </w:rPr>
        <w:t>国内不断扩大的运输需求带动港口内贸货物吞吐量的显著增加，内贸货物吞吐量总体占比6</w:t>
      </w:r>
      <w:r w:rsidRPr="00A868B3">
        <w:rPr>
          <w:rFonts w:asciiTheme="minorEastAsia" w:eastAsiaTheme="minorEastAsia" w:hAnsiTheme="minorEastAsia"/>
          <w:sz w:val="24"/>
          <w:szCs w:val="24"/>
        </w:rPr>
        <w:t>0%</w:t>
      </w:r>
      <w:r w:rsidRPr="00A868B3">
        <w:rPr>
          <w:rFonts w:asciiTheme="minorEastAsia" w:eastAsiaTheme="minorEastAsia" w:hAnsiTheme="minorEastAsia" w:hint="eastAsia"/>
          <w:sz w:val="24"/>
          <w:szCs w:val="24"/>
        </w:rPr>
        <w:t>以上，但内贸集装箱吞吐量占比却不到3</w:t>
      </w:r>
      <w:r w:rsidRPr="00A868B3">
        <w:rPr>
          <w:rFonts w:asciiTheme="minorEastAsia" w:eastAsiaTheme="minorEastAsia" w:hAnsiTheme="minorEastAsia"/>
          <w:sz w:val="24"/>
          <w:szCs w:val="24"/>
        </w:rPr>
        <w:t>0%</w:t>
      </w:r>
      <w:r w:rsidRPr="00A868B3">
        <w:rPr>
          <w:rFonts w:asciiTheme="minorEastAsia" w:eastAsiaTheme="minorEastAsia" w:hAnsiTheme="minorEastAsia" w:hint="eastAsia"/>
          <w:sz w:val="24"/>
          <w:szCs w:val="24"/>
        </w:rPr>
        <w:t>，严重倒挂。从港口角度分析，内贸集装箱吞吐量倒挂的主要原因是内贸集装箱装卸、运输管理还不够规范，装卸、运输费率也较低，货主接受的程度不高，影响了内贸货物集</w:t>
      </w:r>
      <w:r w:rsidRPr="00A868B3">
        <w:rPr>
          <w:rFonts w:asciiTheme="minorEastAsia" w:eastAsiaTheme="minorEastAsia" w:hAnsiTheme="minorEastAsia" w:hint="eastAsia"/>
          <w:sz w:val="24"/>
          <w:szCs w:val="24"/>
        </w:rPr>
        <w:lastRenderedPageBreak/>
        <w:t>装箱化率的发展进程。因此，必须使内贸集装箱港口规范化，与国际集装箱管理接轨，方能保证实现内贸集装箱有序管理，良性快速发展。</w:t>
      </w:r>
    </w:p>
    <w:p w14:paraId="78CFC0F4" w14:textId="0DF7F08E" w:rsidR="00906414" w:rsidRDefault="00A868B3" w:rsidP="00A868B3">
      <w:pPr>
        <w:spacing w:beforeLines="50" w:before="156" w:line="360" w:lineRule="auto"/>
        <w:ind w:firstLineChars="200" w:firstLine="480"/>
        <w:rPr>
          <w:rFonts w:asciiTheme="minorEastAsia" w:eastAsiaTheme="minorEastAsia" w:hAnsiTheme="minorEastAsia"/>
          <w:sz w:val="24"/>
          <w:szCs w:val="24"/>
        </w:rPr>
      </w:pPr>
      <w:r w:rsidRPr="00A868B3">
        <w:rPr>
          <w:rFonts w:asciiTheme="minorEastAsia" w:eastAsiaTheme="minorEastAsia" w:hAnsiTheme="minorEastAsia" w:hint="eastAsia"/>
          <w:sz w:val="24"/>
          <w:szCs w:val="24"/>
        </w:rPr>
        <w:t>在我国，外贸集装箱运输发展较早，在保险理赔、单证流转、截关期、货名、货重等等方面的管理都非常规范，并且各码头采用国际标准，利用EDI平台，达到数据共享，实现堆场积载、船舶配载的要求，加快了数据交换和传输速度及准确率，并且在转运中能实现“零”货差，使集装箱这一新型运输方式得到了货主的广泛认同。但内贸集装箱由于对港口、船公司的准入标准低，产生无序竞争，对货主的要求无限满足，结果造成各码头、船公司自行发展，各行其是，单证混乱，最终影响港航企业内贸集装箱的有序发展，对国内港口整体提高管理水平产生阻碍，也不利于提高港航企业经济运行效益。</w:t>
      </w:r>
    </w:p>
    <w:p w14:paraId="023168CF" w14:textId="77777777" w:rsidR="00A868B3" w:rsidRPr="00A868B3" w:rsidRDefault="00A868B3" w:rsidP="00A868B3">
      <w:pPr>
        <w:spacing w:beforeLines="50" w:before="156" w:line="360" w:lineRule="auto"/>
        <w:ind w:firstLineChars="200" w:firstLine="480"/>
        <w:rPr>
          <w:rFonts w:ascii="宋体" w:hAnsi="宋体" w:hint="eastAsia"/>
          <w:sz w:val="24"/>
          <w:szCs w:val="24"/>
        </w:rPr>
      </w:pPr>
      <w:r w:rsidRPr="00A868B3">
        <w:rPr>
          <w:rFonts w:ascii="宋体" w:hAnsi="宋体" w:hint="eastAsia"/>
          <w:sz w:val="24"/>
          <w:szCs w:val="24"/>
        </w:rPr>
        <w:t>集装箱码头内贸业务对外单证管理的规范化、标准化，既可促进各港口企业内贸集装箱有序发展，提高管理水平，又能提高港航企业经济运行效益，其必要性主要有以下几点：</w:t>
      </w:r>
    </w:p>
    <w:p w14:paraId="3C8E71D7" w14:textId="77777777" w:rsidR="00A868B3" w:rsidRPr="00A868B3" w:rsidRDefault="00A868B3" w:rsidP="00A868B3">
      <w:pPr>
        <w:spacing w:beforeLines="50" w:before="156" w:line="360" w:lineRule="auto"/>
        <w:ind w:firstLineChars="200" w:firstLine="480"/>
        <w:rPr>
          <w:rFonts w:ascii="宋体" w:hAnsi="宋体" w:hint="eastAsia"/>
          <w:sz w:val="24"/>
          <w:szCs w:val="24"/>
        </w:rPr>
      </w:pPr>
      <w:r w:rsidRPr="00A868B3">
        <w:rPr>
          <w:rFonts w:ascii="宋体" w:hAnsi="宋体" w:hint="eastAsia"/>
          <w:sz w:val="24"/>
          <w:szCs w:val="24"/>
        </w:rPr>
        <w:t>（1）符合经济双循环的需要。规范国内集装箱运输各参与方的信息交互，是规范市场秩序，提升行业透明度的有效举措，推进我国集装箱码头内贸业务单证标准化也进一步改善口岸的整体营商环境，符合经济双循环的需要，势在必行。</w:t>
      </w:r>
    </w:p>
    <w:p w14:paraId="3FB21821" w14:textId="77777777" w:rsidR="00A868B3" w:rsidRPr="00A868B3" w:rsidRDefault="00A868B3" w:rsidP="00A868B3">
      <w:pPr>
        <w:spacing w:beforeLines="50" w:before="156" w:line="360" w:lineRule="auto"/>
        <w:ind w:firstLineChars="200" w:firstLine="480"/>
        <w:rPr>
          <w:rFonts w:ascii="宋体" w:hAnsi="宋体" w:hint="eastAsia"/>
          <w:sz w:val="24"/>
          <w:szCs w:val="24"/>
        </w:rPr>
      </w:pPr>
      <w:r w:rsidRPr="00A868B3">
        <w:rPr>
          <w:rFonts w:ascii="宋体" w:hAnsi="宋体" w:hint="eastAsia"/>
          <w:sz w:val="24"/>
          <w:szCs w:val="24"/>
        </w:rPr>
        <w:t>（2）适应内外贸集装箱同船运输的发展趋势。随着市场发展，有些外贸班轮需同船载运内贸集装箱，要适应内外贸集装箱同船运输的大趋势，就必须使内贸集装箱的管理、单证流转达到外贸集装箱的水平，那么就能促进内外贸集装箱同船运输的发展。</w:t>
      </w:r>
    </w:p>
    <w:p w14:paraId="02F5BC2A" w14:textId="2E547E5C" w:rsidR="00906414" w:rsidRDefault="00A868B3" w:rsidP="00A868B3">
      <w:pPr>
        <w:spacing w:beforeLines="50" w:before="156" w:line="360" w:lineRule="auto"/>
        <w:ind w:firstLineChars="200" w:firstLine="480"/>
        <w:rPr>
          <w:rFonts w:ascii="宋体" w:hAnsi="宋体"/>
          <w:sz w:val="24"/>
          <w:szCs w:val="24"/>
        </w:rPr>
      </w:pPr>
      <w:r w:rsidRPr="00A868B3">
        <w:rPr>
          <w:rFonts w:ascii="宋体" w:hAnsi="宋体" w:hint="eastAsia"/>
          <w:sz w:val="24"/>
          <w:szCs w:val="24"/>
        </w:rPr>
        <w:t>（3）是内贸单证电子化的基础。集装箱码头内贸业务单证标准化是进一步实现内贸集装箱业务单证电子化的基础，也是中国标准引领国际标准的基本保证。</w:t>
      </w:r>
    </w:p>
    <w:p w14:paraId="47AD86E2" w14:textId="6B1207B8" w:rsidR="00906414" w:rsidRDefault="00000000">
      <w:pPr>
        <w:spacing w:beforeLines="50" w:before="156" w:line="360" w:lineRule="auto"/>
        <w:ind w:firstLineChars="200" w:firstLine="480"/>
        <w:rPr>
          <w:rFonts w:ascii="宋体" w:hAnsi="宋体"/>
          <w:sz w:val="24"/>
          <w:szCs w:val="24"/>
        </w:rPr>
      </w:pPr>
      <w:r>
        <w:rPr>
          <w:rFonts w:ascii="宋体" w:hAnsi="宋体" w:hint="eastAsia"/>
          <w:sz w:val="24"/>
          <w:szCs w:val="24"/>
        </w:rPr>
        <w:t>在</w:t>
      </w:r>
      <w:r w:rsidR="00A868B3">
        <w:rPr>
          <w:rFonts w:ascii="宋体" w:hAnsi="宋体" w:hint="eastAsia"/>
          <w:sz w:val="24"/>
          <w:szCs w:val="24"/>
        </w:rPr>
        <w:t>内贸集装箱码头业务单证</w:t>
      </w:r>
      <w:r>
        <w:rPr>
          <w:rFonts w:ascii="宋体" w:hAnsi="宋体" w:hint="eastAsia"/>
          <w:sz w:val="24"/>
          <w:szCs w:val="24"/>
        </w:rPr>
        <w:t>技术发展及场景应用方面，</w:t>
      </w:r>
      <w:r w:rsidR="00A868B3">
        <w:rPr>
          <w:rFonts w:ascii="宋体" w:hAnsi="宋体" w:hint="eastAsia"/>
          <w:sz w:val="24"/>
          <w:szCs w:val="24"/>
        </w:rPr>
        <w:t>上海港、厦门港、宁波港等旗下多家码头在</w:t>
      </w:r>
      <w:r w:rsidR="00A868B3">
        <w:rPr>
          <w:rFonts w:ascii="宋体" w:hAnsi="宋体" w:hint="eastAsia"/>
          <w:sz w:val="24"/>
          <w:szCs w:val="24"/>
        </w:rPr>
        <w:t>内贸集装箱单证标准化</w:t>
      </w:r>
      <w:r w:rsidR="00A868B3">
        <w:rPr>
          <w:rFonts w:ascii="宋体" w:hAnsi="宋体" w:hint="eastAsia"/>
          <w:sz w:val="24"/>
          <w:szCs w:val="24"/>
        </w:rPr>
        <w:t>和便利化方面已进行了多年的实践和探索，甚至部分单证已实现区域内的电子化流转，如</w:t>
      </w:r>
      <w:r>
        <w:rPr>
          <w:rFonts w:ascii="宋体" w:hAnsi="宋体" w:hint="eastAsia"/>
          <w:sz w:val="24"/>
          <w:szCs w:val="24"/>
        </w:rPr>
        <w:t>上海国际港务（集团）股份有限公司旗下</w:t>
      </w:r>
      <w:r w:rsidR="00A868B3">
        <w:rPr>
          <w:rFonts w:ascii="宋体" w:hAnsi="宋体" w:hint="eastAsia"/>
          <w:sz w:val="24"/>
          <w:szCs w:val="24"/>
        </w:rPr>
        <w:t>港航纵横（上海）数字科技有限公司</w:t>
      </w:r>
      <w:r w:rsidR="00A868B3">
        <w:rPr>
          <w:rFonts w:ascii="宋体" w:hAnsi="宋体" w:hint="eastAsia"/>
          <w:sz w:val="24"/>
          <w:szCs w:val="24"/>
        </w:rPr>
        <w:t>等多家公司</w:t>
      </w:r>
      <w:r>
        <w:rPr>
          <w:rFonts w:ascii="宋体" w:hAnsi="宋体" w:hint="eastAsia"/>
          <w:sz w:val="24"/>
          <w:szCs w:val="24"/>
        </w:rPr>
        <w:t>在</w:t>
      </w:r>
      <w:r w:rsidR="00A868B3">
        <w:rPr>
          <w:rFonts w:ascii="宋体" w:hAnsi="宋体" w:hint="eastAsia"/>
          <w:sz w:val="24"/>
          <w:szCs w:val="24"/>
        </w:rPr>
        <w:t>内贸集装箱</w:t>
      </w:r>
      <w:r w:rsidR="00A868B3">
        <w:rPr>
          <w:rFonts w:ascii="宋体" w:hAnsi="宋体" w:hint="eastAsia"/>
          <w:sz w:val="24"/>
          <w:szCs w:val="24"/>
        </w:rPr>
        <w:lastRenderedPageBreak/>
        <w:t>单证标准化和电子化</w:t>
      </w:r>
      <w:r>
        <w:rPr>
          <w:rFonts w:ascii="宋体" w:hAnsi="宋体" w:hint="eastAsia"/>
          <w:sz w:val="24"/>
          <w:szCs w:val="24"/>
        </w:rPr>
        <w:t>方面进行了场景应用和实践，积累了工程经验和管理经验。</w:t>
      </w:r>
    </w:p>
    <w:p w14:paraId="671C5C46" w14:textId="77777777" w:rsidR="00906414" w:rsidRDefault="00000000">
      <w:pPr>
        <w:pStyle w:val="af5"/>
        <w:numPr>
          <w:ilvl w:val="0"/>
          <w:numId w:val="4"/>
        </w:numPr>
        <w:spacing w:beforeLines="50" w:before="156" w:line="360" w:lineRule="auto"/>
        <w:ind w:firstLineChars="0"/>
        <w:rPr>
          <w:rFonts w:ascii="宋体" w:hAnsi="宋体"/>
          <w:b/>
          <w:bCs/>
          <w:sz w:val="24"/>
          <w:szCs w:val="24"/>
        </w:rPr>
      </w:pPr>
      <w:r>
        <w:rPr>
          <w:rFonts w:ascii="宋体" w:hAnsi="宋体" w:hint="eastAsia"/>
          <w:b/>
          <w:bCs/>
          <w:sz w:val="24"/>
          <w:szCs w:val="24"/>
        </w:rPr>
        <w:t>标准技术水平状况分析</w:t>
      </w:r>
    </w:p>
    <w:p w14:paraId="460CD0E8" w14:textId="2E5EDC12" w:rsidR="00906414" w:rsidRDefault="00506C6B">
      <w:pPr>
        <w:spacing w:beforeLines="50" w:before="156" w:line="360" w:lineRule="auto"/>
        <w:ind w:firstLineChars="200" w:firstLine="480"/>
        <w:rPr>
          <w:rFonts w:ascii="宋体" w:hAnsi="宋体"/>
          <w:sz w:val="24"/>
          <w:szCs w:val="24"/>
        </w:rPr>
      </w:pPr>
      <w:r>
        <w:rPr>
          <w:rFonts w:ascii="宋体" w:hAnsi="宋体" w:hint="eastAsia"/>
          <w:sz w:val="24"/>
          <w:szCs w:val="24"/>
        </w:rPr>
        <w:t>目前</w:t>
      </w:r>
      <w:r w:rsidR="00000000">
        <w:rPr>
          <w:rFonts w:ascii="宋体" w:hAnsi="宋体" w:hint="eastAsia"/>
          <w:sz w:val="24"/>
          <w:szCs w:val="24"/>
        </w:rPr>
        <w:t>国外主要港口的</w:t>
      </w:r>
      <w:r w:rsidR="00A868B3">
        <w:rPr>
          <w:rFonts w:ascii="宋体" w:hAnsi="宋体" w:hint="eastAsia"/>
          <w:sz w:val="24"/>
          <w:szCs w:val="24"/>
        </w:rPr>
        <w:t>内贸集装箱</w:t>
      </w:r>
      <w:r>
        <w:rPr>
          <w:rFonts w:ascii="宋体" w:hAnsi="宋体" w:hint="eastAsia"/>
          <w:sz w:val="24"/>
          <w:szCs w:val="24"/>
        </w:rPr>
        <w:t>单证管理也缺乏统一的标准，且</w:t>
      </w:r>
      <w:r w:rsidR="00000000">
        <w:rPr>
          <w:rFonts w:ascii="宋体" w:hAnsi="宋体" w:hint="eastAsia"/>
          <w:sz w:val="24"/>
          <w:szCs w:val="24"/>
        </w:rPr>
        <w:t>信息交互方式主要仍依靠传统的人工</w:t>
      </w:r>
      <w:r>
        <w:rPr>
          <w:rFonts w:ascii="宋体" w:hAnsi="宋体" w:hint="eastAsia"/>
          <w:sz w:val="24"/>
          <w:szCs w:val="24"/>
        </w:rPr>
        <w:t>记录</w:t>
      </w:r>
      <w:r w:rsidR="00000000">
        <w:rPr>
          <w:rFonts w:ascii="宋体" w:hAnsi="宋体" w:hint="eastAsia"/>
          <w:sz w:val="24"/>
          <w:szCs w:val="24"/>
        </w:rPr>
        <w:t>方式，与国外相比，国内部分大型海港已实现了</w:t>
      </w:r>
      <w:r>
        <w:rPr>
          <w:rFonts w:ascii="宋体" w:hAnsi="宋体" w:hint="eastAsia"/>
          <w:sz w:val="24"/>
          <w:szCs w:val="24"/>
        </w:rPr>
        <w:t>部分内贸集装箱码头业务单证的规范化和</w:t>
      </w:r>
      <w:r w:rsidR="00000000">
        <w:rPr>
          <w:rFonts w:ascii="宋体" w:hAnsi="宋体" w:hint="eastAsia"/>
          <w:sz w:val="24"/>
          <w:szCs w:val="24"/>
        </w:rPr>
        <w:t>系统化运行，</w:t>
      </w:r>
      <w:r>
        <w:rPr>
          <w:rFonts w:ascii="宋体" w:hAnsi="宋体" w:hint="eastAsia"/>
          <w:sz w:val="24"/>
          <w:szCs w:val="24"/>
        </w:rPr>
        <w:t>大原则上尽量保证与国际集装箱运输单证的兼容，</w:t>
      </w:r>
      <w:r w:rsidR="00000000">
        <w:rPr>
          <w:rFonts w:ascii="宋体" w:hAnsi="宋体" w:hint="eastAsia"/>
          <w:sz w:val="24"/>
          <w:szCs w:val="24"/>
        </w:rPr>
        <w:t>标准整合了众多行业企业的相关业务和数据，总体技术水平达到了国际先进水平。</w:t>
      </w:r>
    </w:p>
    <w:p w14:paraId="74B72833" w14:textId="77777777" w:rsidR="00906414" w:rsidRDefault="00000000">
      <w:pPr>
        <w:pStyle w:val="af5"/>
        <w:numPr>
          <w:ilvl w:val="0"/>
          <w:numId w:val="4"/>
        </w:numPr>
        <w:spacing w:beforeLines="50" w:before="156" w:line="360" w:lineRule="auto"/>
        <w:ind w:firstLineChars="0"/>
        <w:rPr>
          <w:rFonts w:asciiTheme="minorEastAsia" w:eastAsiaTheme="minorEastAsia" w:hAnsiTheme="minorEastAsia"/>
          <w:b/>
          <w:sz w:val="24"/>
          <w:szCs w:val="24"/>
        </w:rPr>
      </w:pPr>
      <w:r>
        <w:rPr>
          <w:rFonts w:asciiTheme="minorEastAsia" w:eastAsiaTheme="minorEastAsia" w:hAnsiTheme="minorEastAsia"/>
          <w:b/>
          <w:sz w:val="24"/>
          <w:szCs w:val="24"/>
        </w:rPr>
        <w:t>预期效果</w:t>
      </w:r>
    </w:p>
    <w:p w14:paraId="318E1727" w14:textId="1E988483" w:rsidR="00906414" w:rsidRDefault="00000000">
      <w:pPr>
        <w:spacing w:beforeLines="50" w:before="156" w:line="360" w:lineRule="auto"/>
        <w:ind w:firstLineChars="200" w:firstLine="480"/>
        <w:rPr>
          <w:rFonts w:ascii="宋体" w:hAnsi="宋体"/>
          <w:sz w:val="24"/>
          <w:szCs w:val="24"/>
        </w:rPr>
      </w:pPr>
      <w:r>
        <w:rPr>
          <w:rFonts w:ascii="宋体" w:hAnsi="宋体" w:hint="eastAsia"/>
          <w:sz w:val="24"/>
          <w:szCs w:val="24"/>
        </w:rPr>
        <w:t>该标准发布后预期可达到以下效果：</w:t>
      </w:r>
    </w:p>
    <w:p w14:paraId="331AF8ED" w14:textId="110D996D" w:rsidR="00906414" w:rsidRDefault="00000000">
      <w:pPr>
        <w:spacing w:beforeLines="50" w:before="156" w:line="360" w:lineRule="auto"/>
        <w:ind w:firstLineChars="200" w:firstLine="480"/>
        <w:rPr>
          <w:rFonts w:ascii="宋体" w:hAnsi="宋体"/>
          <w:sz w:val="24"/>
          <w:szCs w:val="24"/>
        </w:rPr>
      </w:pPr>
      <w:r>
        <w:rPr>
          <w:rFonts w:ascii="宋体" w:hAnsi="宋体" w:hint="eastAsia"/>
          <w:sz w:val="24"/>
          <w:szCs w:val="24"/>
        </w:rPr>
        <w:t>1、有助于促进</w:t>
      </w:r>
      <w:r w:rsidR="00506C6B">
        <w:rPr>
          <w:rFonts w:ascii="宋体" w:hAnsi="宋体" w:hint="eastAsia"/>
          <w:sz w:val="24"/>
          <w:szCs w:val="24"/>
        </w:rPr>
        <w:t>我国内贸</w:t>
      </w:r>
      <w:r>
        <w:rPr>
          <w:rFonts w:ascii="宋体" w:hAnsi="宋体" w:hint="eastAsia"/>
          <w:sz w:val="24"/>
          <w:szCs w:val="24"/>
        </w:rPr>
        <w:t>集装箱</w:t>
      </w:r>
      <w:r w:rsidR="00506C6B">
        <w:rPr>
          <w:rFonts w:ascii="宋体" w:hAnsi="宋体" w:hint="eastAsia"/>
          <w:sz w:val="24"/>
          <w:szCs w:val="24"/>
        </w:rPr>
        <w:t>相关业务单证</w:t>
      </w:r>
      <w:r>
        <w:rPr>
          <w:rFonts w:ascii="宋体" w:hAnsi="宋体" w:hint="eastAsia"/>
          <w:sz w:val="24"/>
          <w:szCs w:val="24"/>
        </w:rPr>
        <w:t>公共信息平台的建设。</w:t>
      </w:r>
    </w:p>
    <w:p w14:paraId="2CCC7A0F" w14:textId="57589B57" w:rsidR="00906414" w:rsidRDefault="00000000">
      <w:pPr>
        <w:spacing w:beforeLines="50" w:before="156" w:line="360" w:lineRule="auto"/>
        <w:ind w:firstLineChars="200" w:firstLine="480"/>
        <w:rPr>
          <w:rFonts w:ascii="宋体" w:hAnsi="宋体"/>
          <w:sz w:val="24"/>
          <w:szCs w:val="24"/>
        </w:rPr>
      </w:pPr>
      <w:r>
        <w:rPr>
          <w:rFonts w:ascii="宋体" w:hAnsi="宋体"/>
          <w:sz w:val="24"/>
          <w:szCs w:val="24"/>
        </w:rPr>
        <w:t>2</w:t>
      </w:r>
      <w:r>
        <w:rPr>
          <w:rFonts w:ascii="宋体" w:hAnsi="宋体" w:hint="eastAsia"/>
          <w:sz w:val="24"/>
          <w:szCs w:val="24"/>
        </w:rPr>
        <w:t>、有助于指导相关企业推进对</w:t>
      </w:r>
      <w:r w:rsidR="00506C6B">
        <w:rPr>
          <w:rFonts w:ascii="宋体" w:hAnsi="宋体" w:hint="eastAsia"/>
          <w:sz w:val="24"/>
          <w:szCs w:val="24"/>
        </w:rPr>
        <w:t>内贸</w:t>
      </w:r>
      <w:r>
        <w:rPr>
          <w:rFonts w:ascii="宋体" w:hAnsi="宋体" w:hint="eastAsia"/>
          <w:sz w:val="24"/>
          <w:szCs w:val="24"/>
        </w:rPr>
        <w:t>集装箱的数字化管理，降低管理成本，提高管理技术水平。</w:t>
      </w:r>
    </w:p>
    <w:p w14:paraId="3B7362BF" w14:textId="0B5CF8E2" w:rsidR="00906414" w:rsidRDefault="00000000">
      <w:pPr>
        <w:spacing w:beforeLines="50" w:before="156" w:line="360" w:lineRule="auto"/>
        <w:ind w:firstLineChars="200" w:firstLine="480"/>
        <w:rPr>
          <w:rFonts w:ascii="宋体" w:hAnsi="宋体"/>
          <w:sz w:val="24"/>
          <w:szCs w:val="24"/>
        </w:rPr>
      </w:pPr>
      <w:r>
        <w:rPr>
          <w:rFonts w:ascii="宋体" w:hAnsi="宋体"/>
          <w:sz w:val="24"/>
          <w:szCs w:val="24"/>
        </w:rPr>
        <w:t>3</w:t>
      </w:r>
      <w:r>
        <w:rPr>
          <w:rFonts w:ascii="宋体" w:hAnsi="宋体" w:hint="eastAsia"/>
          <w:sz w:val="24"/>
          <w:szCs w:val="24"/>
        </w:rPr>
        <w:t>、有助于国家行政执法部门依据统一标准进行有效监管，预防、减少和应对</w:t>
      </w:r>
      <w:r w:rsidR="00506C6B">
        <w:rPr>
          <w:rFonts w:ascii="宋体" w:hAnsi="宋体" w:hint="eastAsia"/>
          <w:sz w:val="24"/>
          <w:szCs w:val="24"/>
        </w:rPr>
        <w:t>内贸危险货物</w:t>
      </w:r>
      <w:r>
        <w:rPr>
          <w:rFonts w:ascii="宋体" w:hAnsi="宋体" w:hint="eastAsia"/>
          <w:sz w:val="24"/>
          <w:szCs w:val="24"/>
        </w:rPr>
        <w:t>集装箱各类事故的发生，保护人身、财产、环境安全，维护社会和谐稳定。</w:t>
      </w:r>
    </w:p>
    <w:p w14:paraId="54A0164C" w14:textId="276FE5C9" w:rsidR="00906414" w:rsidRDefault="00000000">
      <w:pPr>
        <w:spacing w:beforeLines="50" w:before="156" w:line="360" w:lineRule="auto"/>
        <w:ind w:firstLineChars="200" w:firstLine="480"/>
        <w:rPr>
          <w:rFonts w:ascii="宋体" w:hAnsi="宋体"/>
          <w:sz w:val="24"/>
          <w:szCs w:val="24"/>
        </w:rPr>
      </w:pPr>
      <w:r>
        <w:rPr>
          <w:rFonts w:ascii="宋体" w:hAnsi="宋体"/>
          <w:sz w:val="24"/>
          <w:szCs w:val="24"/>
        </w:rPr>
        <w:t>4</w:t>
      </w:r>
      <w:r>
        <w:rPr>
          <w:rFonts w:ascii="宋体" w:hAnsi="宋体" w:hint="eastAsia"/>
          <w:sz w:val="24"/>
          <w:szCs w:val="24"/>
        </w:rPr>
        <w:t>、有利于积极跟踪</w:t>
      </w:r>
      <w:r w:rsidR="00506C6B">
        <w:rPr>
          <w:rFonts w:ascii="宋体" w:hAnsi="宋体" w:hint="eastAsia"/>
          <w:sz w:val="24"/>
          <w:szCs w:val="24"/>
        </w:rPr>
        <w:t>国内外</w:t>
      </w:r>
      <w:r>
        <w:rPr>
          <w:rFonts w:ascii="宋体" w:hAnsi="宋体" w:hint="eastAsia"/>
          <w:sz w:val="24"/>
          <w:szCs w:val="24"/>
        </w:rPr>
        <w:t>先进标准、技术和研究工作的发展方向和动态，掌握</w:t>
      </w:r>
      <w:r w:rsidR="00506C6B">
        <w:rPr>
          <w:rFonts w:ascii="宋体" w:hAnsi="宋体" w:hint="eastAsia"/>
          <w:sz w:val="24"/>
          <w:szCs w:val="24"/>
        </w:rPr>
        <w:t>国内外</w:t>
      </w:r>
      <w:r>
        <w:rPr>
          <w:rFonts w:ascii="宋体" w:hAnsi="宋体" w:hint="eastAsia"/>
          <w:sz w:val="24"/>
          <w:szCs w:val="24"/>
        </w:rPr>
        <w:t>先进标准规范的主要内容。为企业提供一个开放式的、共享式的基础理论与技术应用创新平台，增强企业创新研发能力，提高企业效益和管理水平，服务于构建和谐社会。</w:t>
      </w:r>
    </w:p>
    <w:p w14:paraId="1C844471" w14:textId="4509A8AB" w:rsidR="00906414" w:rsidRDefault="00000000">
      <w:pPr>
        <w:spacing w:beforeLines="50" w:before="156" w:line="360" w:lineRule="auto"/>
        <w:ind w:firstLineChars="200" w:firstLine="480"/>
        <w:rPr>
          <w:rFonts w:ascii="宋体" w:hAnsi="宋体"/>
          <w:sz w:val="24"/>
          <w:szCs w:val="24"/>
        </w:rPr>
      </w:pPr>
      <w:r>
        <w:rPr>
          <w:rFonts w:ascii="宋体" w:hAnsi="宋体"/>
          <w:sz w:val="24"/>
          <w:szCs w:val="24"/>
        </w:rPr>
        <w:t>5</w:t>
      </w:r>
      <w:r>
        <w:rPr>
          <w:rFonts w:ascii="宋体" w:hAnsi="宋体" w:hint="eastAsia"/>
          <w:sz w:val="24"/>
          <w:szCs w:val="24"/>
        </w:rPr>
        <w:t>、有助于加强</w:t>
      </w:r>
      <w:r w:rsidR="00506C6B">
        <w:rPr>
          <w:rFonts w:ascii="宋体" w:hAnsi="宋体" w:hint="eastAsia"/>
          <w:sz w:val="24"/>
          <w:szCs w:val="24"/>
        </w:rPr>
        <w:t>内贸集装箱</w:t>
      </w:r>
      <w:r>
        <w:rPr>
          <w:rFonts w:ascii="宋体" w:hAnsi="宋体" w:hint="eastAsia"/>
          <w:sz w:val="24"/>
          <w:szCs w:val="24"/>
        </w:rPr>
        <w:t>物流企业标准化管理。形成</w:t>
      </w:r>
      <w:r w:rsidR="00506C6B">
        <w:rPr>
          <w:rFonts w:ascii="宋体" w:hAnsi="宋体" w:hint="eastAsia"/>
          <w:sz w:val="24"/>
          <w:szCs w:val="24"/>
        </w:rPr>
        <w:t>内贸</w:t>
      </w:r>
      <w:r>
        <w:rPr>
          <w:rFonts w:ascii="宋体" w:hAnsi="宋体" w:hint="eastAsia"/>
          <w:sz w:val="24"/>
          <w:szCs w:val="24"/>
        </w:rPr>
        <w:t>集装箱信息交互标准规范，在充分考虑国际国内发展实际情况的基础上，逐步将相关标准及相互关系</w:t>
      </w:r>
      <w:r w:rsidR="00506C6B">
        <w:rPr>
          <w:rFonts w:ascii="宋体" w:hAnsi="宋体" w:hint="eastAsia"/>
          <w:sz w:val="24"/>
          <w:szCs w:val="24"/>
        </w:rPr>
        <w:t>编制</w:t>
      </w:r>
      <w:r>
        <w:rPr>
          <w:rFonts w:ascii="宋体" w:hAnsi="宋体" w:hint="eastAsia"/>
          <w:sz w:val="24"/>
          <w:szCs w:val="24"/>
        </w:rPr>
        <w:t>成拥有自主知识产权的行业标准或国家标准。通过对外交流积极与ISO国际标准化组织联系合作，争取主导或参与国际标准的制定。</w:t>
      </w:r>
    </w:p>
    <w:p w14:paraId="19426CEF" w14:textId="77777777" w:rsidR="00906414" w:rsidRDefault="00000000">
      <w:pPr>
        <w:spacing w:beforeLines="50" w:before="156" w:line="360" w:lineRule="auto"/>
        <w:ind w:firstLineChars="200" w:firstLine="480"/>
        <w:rPr>
          <w:rFonts w:ascii="宋体" w:hAnsi="宋体"/>
          <w:sz w:val="24"/>
          <w:szCs w:val="24"/>
        </w:rPr>
      </w:pPr>
      <w:r>
        <w:rPr>
          <w:rFonts w:ascii="宋体" w:hAnsi="宋体"/>
          <w:sz w:val="24"/>
          <w:szCs w:val="24"/>
        </w:rPr>
        <w:t>6</w:t>
      </w:r>
      <w:r>
        <w:rPr>
          <w:rFonts w:ascii="宋体" w:hAnsi="宋体" w:hint="eastAsia"/>
          <w:sz w:val="24"/>
          <w:szCs w:val="24"/>
        </w:rPr>
        <w:t>、也有助于建设绿色智能港口和打造节能环保型社会，符合建设交通强国的需要。</w:t>
      </w:r>
    </w:p>
    <w:p w14:paraId="2459C40C" w14:textId="77777777" w:rsidR="00906414" w:rsidRDefault="00000000">
      <w:pPr>
        <w:spacing w:beforeLines="50" w:before="156" w:line="360" w:lineRule="auto"/>
        <w:ind w:firstLineChars="200" w:firstLine="480"/>
        <w:rPr>
          <w:rFonts w:ascii="宋体" w:hAnsi="宋体"/>
          <w:sz w:val="24"/>
          <w:szCs w:val="24"/>
        </w:rPr>
      </w:pPr>
      <w:r>
        <w:rPr>
          <w:rFonts w:ascii="宋体" w:hAnsi="宋体" w:hint="eastAsia"/>
          <w:sz w:val="24"/>
          <w:szCs w:val="24"/>
        </w:rPr>
        <w:lastRenderedPageBreak/>
        <w:t>总之，本标准的制定，并随标准的宣贯，定会取得一定的经济效益和社会效益。</w:t>
      </w:r>
    </w:p>
    <w:p w14:paraId="22C2D52E"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15" w:name="_Toc46098153"/>
      <w:r>
        <w:rPr>
          <w:rFonts w:asciiTheme="minorEastAsia" w:eastAsiaTheme="minorEastAsia" w:hAnsiTheme="minorEastAsia" w:hint="eastAsia"/>
          <w:b/>
          <w:sz w:val="24"/>
          <w:szCs w:val="24"/>
        </w:rPr>
        <w:t>四、</w:t>
      </w:r>
      <w:r>
        <w:rPr>
          <w:rFonts w:asciiTheme="minorEastAsia" w:eastAsiaTheme="minorEastAsia" w:hAnsiTheme="minorEastAsia"/>
          <w:b/>
          <w:sz w:val="24"/>
          <w:szCs w:val="24"/>
        </w:rPr>
        <w:t>采用国际标准和国外先进标准的程度，以及与国际、国外同类标准水平的对比情况，或与测试的国外样品、样机的有关数据对比情况</w:t>
      </w:r>
      <w:bookmarkEnd w:id="15"/>
    </w:p>
    <w:p w14:paraId="277910DE" w14:textId="168BA9DD" w:rsidR="00906414" w:rsidRDefault="00000000">
      <w:pPr>
        <w:spacing w:beforeLines="50" w:before="156" w:line="360" w:lineRule="auto"/>
        <w:ind w:firstLine="480"/>
        <w:rPr>
          <w:rFonts w:asciiTheme="majorEastAsia" w:eastAsiaTheme="majorEastAsia" w:hAnsiTheme="majorEastAsia"/>
          <w:sz w:val="24"/>
          <w:szCs w:val="24"/>
        </w:rPr>
      </w:pPr>
      <w:r>
        <w:rPr>
          <w:rFonts w:asciiTheme="majorEastAsia" w:eastAsiaTheme="majorEastAsia" w:hAnsiTheme="majorEastAsia" w:hint="eastAsia"/>
          <w:sz w:val="24"/>
          <w:szCs w:val="24"/>
        </w:rPr>
        <w:t>目前国际上尚无</w:t>
      </w:r>
      <w:r w:rsidR="000B1ADB">
        <w:rPr>
          <w:rFonts w:asciiTheme="majorEastAsia" w:eastAsiaTheme="majorEastAsia" w:hAnsiTheme="majorEastAsia" w:hint="eastAsia"/>
          <w:sz w:val="24"/>
          <w:szCs w:val="24"/>
        </w:rPr>
        <w:t>内贸集装箱码头业务单证</w:t>
      </w:r>
      <w:r>
        <w:rPr>
          <w:rFonts w:asciiTheme="majorEastAsia" w:eastAsiaTheme="majorEastAsia" w:hAnsiTheme="majorEastAsia" w:hint="eastAsia"/>
          <w:sz w:val="24"/>
          <w:szCs w:val="24"/>
        </w:rPr>
        <w:t>的相关标准。</w:t>
      </w:r>
    </w:p>
    <w:p w14:paraId="6A88CF3D"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16" w:name="_Toc46098154"/>
      <w:r>
        <w:rPr>
          <w:rFonts w:asciiTheme="minorEastAsia" w:eastAsiaTheme="minorEastAsia" w:hAnsiTheme="minorEastAsia" w:hint="eastAsia"/>
          <w:b/>
          <w:sz w:val="24"/>
          <w:szCs w:val="24"/>
        </w:rPr>
        <w:t>五、</w:t>
      </w:r>
      <w:r>
        <w:rPr>
          <w:rFonts w:asciiTheme="minorEastAsia" w:eastAsiaTheme="minorEastAsia" w:hAnsiTheme="minorEastAsia"/>
          <w:b/>
          <w:sz w:val="24"/>
          <w:szCs w:val="24"/>
        </w:rPr>
        <w:t>与有关的现行法律、法规和强制性标准的关系</w:t>
      </w:r>
      <w:bookmarkEnd w:id="16"/>
    </w:p>
    <w:p w14:paraId="52FA999C" w14:textId="3F44CBFC" w:rsidR="00906414" w:rsidRDefault="00000000" w:rsidP="000B1ADB">
      <w:pPr>
        <w:spacing w:beforeLines="50" w:before="156" w:line="360" w:lineRule="auto"/>
        <w:ind w:firstLineChars="200" w:firstLine="480"/>
        <w:rPr>
          <w:rFonts w:ascii="宋体" w:hAnsi="宋体"/>
          <w:sz w:val="24"/>
          <w:szCs w:val="24"/>
        </w:rPr>
      </w:pPr>
      <w:r>
        <w:rPr>
          <w:rFonts w:ascii="宋体" w:hAnsi="宋体" w:hint="eastAsia"/>
          <w:sz w:val="24"/>
          <w:szCs w:val="24"/>
        </w:rPr>
        <w:t>本标准引用了GB/T 1836 《集装箱代码、识别和标记（ISO 6346:1995,IDT）》、GB/T 1992 《集装箱名词术语》、</w:t>
      </w:r>
      <w:r w:rsidR="000B1ADB" w:rsidRPr="000B1ADB">
        <w:rPr>
          <w:rFonts w:ascii="宋体" w:hAnsi="宋体" w:hint="eastAsia"/>
          <w:sz w:val="24"/>
          <w:szCs w:val="24"/>
        </w:rPr>
        <w:t xml:space="preserve">GB/T 7407 </w:t>
      </w:r>
      <w:r w:rsidR="000B1ADB">
        <w:rPr>
          <w:rFonts w:ascii="宋体" w:hAnsi="宋体" w:hint="eastAsia"/>
          <w:sz w:val="24"/>
          <w:szCs w:val="24"/>
        </w:rPr>
        <w:t>《</w:t>
      </w:r>
      <w:r w:rsidR="000B1ADB" w:rsidRPr="000B1ADB">
        <w:rPr>
          <w:rFonts w:ascii="宋体" w:hAnsi="宋体" w:hint="eastAsia"/>
          <w:sz w:val="24"/>
          <w:szCs w:val="24"/>
        </w:rPr>
        <w:t>中国及世界主要海运贸易港口代码</w:t>
      </w:r>
      <w:r w:rsidR="000B1ADB">
        <w:rPr>
          <w:rFonts w:ascii="宋体" w:hAnsi="宋体" w:hint="eastAsia"/>
          <w:sz w:val="24"/>
          <w:szCs w:val="24"/>
        </w:rPr>
        <w:t>》、</w:t>
      </w:r>
      <w:r>
        <w:rPr>
          <w:rFonts w:ascii="宋体" w:hAnsi="宋体" w:hint="eastAsia"/>
          <w:sz w:val="24"/>
          <w:szCs w:val="24"/>
        </w:rPr>
        <w:t>GB/T 7408 《数据元和交换格式 信息交换 日期和时间表示法》、GB/T 11601 《集装箱港站检查口检查交接标准》、</w:t>
      </w:r>
      <w:r w:rsidR="000B1ADB" w:rsidRPr="000B1ADB">
        <w:rPr>
          <w:rFonts w:ascii="宋体" w:hAnsi="宋体" w:hint="eastAsia"/>
          <w:sz w:val="24"/>
          <w:szCs w:val="24"/>
        </w:rPr>
        <w:t xml:space="preserve">GB 12268-2012 </w:t>
      </w:r>
      <w:r w:rsidR="000B1ADB">
        <w:rPr>
          <w:rFonts w:ascii="宋体" w:hAnsi="宋体" w:hint="eastAsia"/>
          <w:sz w:val="24"/>
          <w:szCs w:val="24"/>
        </w:rPr>
        <w:t>《</w:t>
      </w:r>
      <w:r w:rsidR="000B1ADB" w:rsidRPr="000B1ADB">
        <w:rPr>
          <w:rFonts w:ascii="宋体" w:hAnsi="宋体" w:hint="eastAsia"/>
          <w:sz w:val="24"/>
          <w:szCs w:val="24"/>
        </w:rPr>
        <w:t>危险货物品名表</w:t>
      </w:r>
      <w:r>
        <w:rPr>
          <w:rFonts w:ascii="宋体" w:hAnsi="宋体" w:hint="eastAsia"/>
          <w:sz w:val="24"/>
          <w:szCs w:val="24"/>
        </w:rPr>
        <w:t>GB/T</w:t>
      </w:r>
      <w:r w:rsidR="000B1ADB">
        <w:rPr>
          <w:rFonts w:ascii="宋体" w:hAnsi="宋体" w:hint="eastAsia"/>
          <w:sz w:val="24"/>
          <w:szCs w:val="24"/>
        </w:rPr>
        <w:t>》、</w:t>
      </w:r>
      <w:r>
        <w:rPr>
          <w:rFonts w:ascii="宋体" w:hAnsi="宋体" w:hint="eastAsia"/>
          <w:sz w:val="24"/>
          <w:szCs w:val="24"/>
        </w:rPr>
        <w:t>17271 《集装箱运输术语》</w:t>
      </w:r>
      <w:r w:rsidR="000B1ADB">
        <w:rPr>
          <w:rFonts w:ascii="宋体" w:hAnsi="宋体" w:hint="eastAsia"/>
          <w:sz w:val="24"/>
          <w:szCs w:val="24"/>
        </w:rPr>
        <w:t>、</w:t>
      </w:r>
      <w:r w:rsidR="000B1ADB" w:rsidRPr="000B1ADB">
        <w:rPr>
          <w:rFonts w:ascii="宋体" w:hAnsi="宋体" w:hint="eastAsia"/>
          <w:sz w:val="24"/>
          <w:szCs w:val="24"/>
        </w:rPr>
        <w:t xml:space="preserve">GB/T 18156 </w:t>
      </w:r>
      <w:r w:rsidR="000B1ADB">
        <w:rPr>
          <w:rFonts w:ascii="宋体" w:hAnsi="宋体" w:hint="eastAsia"/>
          <w:sz w:val="24"/>
          <w:szCs w:val="24"/>
        </w:rPr>
        <w:t>《</w:t>
      </w:r>
      <w:r w:rsidR="000B1ADB" w:rsidRPr="000B1ADB">
        <w:rPr>
          <w:rFonts w:ascii="宋体" w:hAnsi="宋体" w:hint="eastAsia"/>
          <w:sz w:val="24"/>
          <w:szCs w:val="24"/>
        </w:rPr>
        <w:t>海上国际集装箱货物交付单证</w:t>
      </w:r>
      <w:r w:rsidR="000B1ADB">
        <w:rPr>
          <w:rFonts w:ascii="宋体" w:hAnsi="宋体" w:hint="eastAsia"/>
          <w:sz w:val="24"/>
          <w:szCs w:val="24"/>
        </w:rPr>
        <w:t>》</w:t>
      </w:r>
      <w:r>
        <w:rPr>
          <w:rFonts w:ascii="宋体" w:hAnsi="宋体" w:hint="eastAsia"/>
          <w:sz w:val="24"/>
          <w:szCs w:val="24"/>
        </w:rPr>
        <w:t>，主要是因为在</w:t>
      </w:r>
      <w:r w:rsidR="000B1ADB">
        <w:rPr>
          <w:rFonts w:ascii="宋体" w:hAnsi="宋体" w:hint="eastAsia"/>
          <w:sz w:val="24"/>
          <w:szCs w:val="24"/>
        </w:rPr>
        <w:t>内贸集装箱码头业务</w:t>
      </w:r>
      <w:r>
        <w:rPr>
          <w:rFonts w:ascii="宋体" w:hAnsi="宋体" w:hint="eastAsia"/>
          <w:sz w:val="24"/>
          <w:szCs w:val="24"/>
        </w:rPr>
        <w:t>信息交互中，涉及到上述标准内规定的相关术语，并未在本标准中进行定义，采用了引用的方式。</w:t>
      </w:r>
    </w:p>
    <w:p w14:paraId="72E3E77C" w14:textId="1525098E" w:rsidR="00906414" w:rsidRDefault="00000000">
      <w:pPr>
        <w:spacing w:beforeLines="50" w:before="156" w:line="360" w:lineRule="auto"/>
        <w:ind w:firstLine="480"/>
        <w:rPr>
          <w:rFonts w:asciiTheme="majorEastAsia" w:eastAsiaTheme="majorEastAsia" w:hAnsiTheme="majorEastAsia"/>
          <w:sz w:val="24"/>
          <w:szCs w:val="24"/>
        </w:rPr>
      </w:pPr>
      <w:r>
        <w:rPr>
          <w:rFonts w:asciiTheme="majorEastAsia" w:eastAsiaTheme="majorEastAsia" w:hAnsiTheme="majorEastAsia" w:hint="eastAsia"/>
          <w:sz w:val="24"/>
          <w:szCs w:val="24"/>
        </w:rPr>
        <w:t>本标准引用了</w:t>
      </w:r>
      <w:r w:rsidR="000B1ADB" w:rsidRPr="000B1ADB">
        <w:rPr>
          <w:rFonts w:ascii="宋体" w:hAnsi="宋体" w:hint="eastAsia"/>
          <w:sz w:val="24"/>
          <w:szCs w:val="24"/>
        </w:rPr>
        <w:t xml:space="preserve">T/CPHA 14 </w:t>
      </w:r>
      <w:r w:rsidR="000B1ADB">
        <w:rPr>
          <w:rFonts w:ascii="宋体" w:hAnsi="宋体" w:hint="eastAsia"/>
          <w:sz w:val="24"/>
          <w:szCs w:val="24"/>
        </w:rPr>
        <w:t>《</w:t>
      </w:r>
      <w:r w:rsidR="000B1ADB" w:rsidRPr="000B1ADB">
        <w:rPr>
          <w:rFonts w:ascii="宋体" w:hAnsi="宋体" w:hint="eastAsia"/>
          <w:sz w:val="24"/>
          <w:szCs w:val="24"/>
        </w:rPr>
        <w:t>集装箱电子单证</w:t>
      </w:r>
      <w:r w:rsidR="000B1ADB">
        <w:rPr>
          <w:rFonts w:ascii="宋体" w:hAnsi="宋体" w:hint="eastAsia"/>
          <w:sz w:val="24"/>
          <w:szCs w:val="24"/>
        </w:rPr>
        <w:t>》</w:t>
      </w:r>
      <w:r>
        <w:rPr>
          <w:rFonts w:asciiTheme="majorEastAsia" w:eastAsiaTheme="majorEastAsia" w:hAnsiTheme="majorEastAsia" w:hint="eastAsia"/>
          <w:sz w:val="24"/>
          <w:szCs w:val="24"/>
        </w:rPr>
        <w:t>，主要涉及</w:t>
      </w:r>
      <w:r w:rsidR="000B1ADB">
        <w:rPr>
          <w:rFonts w:asciiTheme="majorEastAsia" w:eastAsiaTheme="majorEastAsia" w:hAnsiTheme="majorEastAsia" w:hint="eastAsia"/>
          <w:sz w:val="24"/>
          <w:szCs w:val="24"/>
        </w:rPr>
        <w:t>内贸集装箱码头设备交接单、提货单和装箱单的内容和格式标准</w:t>
      </w:r>
      <w:r>
        <w:rPr>
          <w:rFonts w:asciiTheme="majorEastAsia" w:eastAsiaTheme="majorEastAsia" w:hAnsiTheme="majorEastAsia" w:hint="eastAsia"/>
          <w:sz w:val="24"/>
          <w:szCs w:val="24"/>
        </w:rPr>
        <w:t>。</w:t>
      </w:r>
    </w:p>
    <w:p w14:paraId="2C347CE1"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17" w:name="_Toc46098155"/>
      <w:r>
        <w:rPr>
          <w:rFonts w:asciiTheme="minorEastAsia" w:eastAsiaTheme="minorEastAsia" w:hAnsiTheme="minorEastAsia" w:hint="eastAsia"/>
          <w:b/>
          <w:sz w:val="24"/>
          <w:szCs w:val="24"/>
        </w:rPr>
        <w:t>六、</w:t>
      </w:r>
      <w:r>
        <w:rPr>
          <w:rFonts w:asciiTheme="minorEastAsia" w:eastAsiaTheme="minorEastAsia" w:hAnsiTheme="minorEastAsia"/>
          <w:b/>
          <w:sz w:val="24"/>
          <w:szCs w:val="24"/>
        </w:rPr>
        <w:t>重大分歧意见的处理经过和依据</w:t>
      </w:r>
      <w:bookmarkEnd w:id="17"/>
    </w:p>
    <w:p w14:paraId="74A78EBD" w14:textId="77777777" w:rsidR="00906414" w:rsidRDefault="00000000">
      <w:pPr>
        <w:spacing w:beforeLines="50" w:before="156" w:line="360" w:lineRule="auto"/>
        <w:ind w:firstLine="420"/>
        <w:rPr>
          <w:sz w:val="24"/>
          <w:szCs w:val="24"/>
        </w:rPr>
      </w:pPr>
      <w:r>
        <w:rPr>
          <w:rFonts w:hint="eastAsia"/>
          <w:sz w:val="24"/>
          <w:szCs w:val="24"/>
        </w:rPr>
        <w:t>无。</w:t>
      </w:r>
    </w:p>
    <w:p w14:paraId="5B1BE20B"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18" w:name="_Toc46098156"/>
      <w:r>
        <w:rPr>
          <w:rFonts w:asciiTheme="minorEastAsia" w:eastAsiaTheme="minorEastAsia" w:hAnsiTheme="minorEastAsia" w:hint="eastAsia"/>
          <w:b/>
          <w:sz w:val="24"/>
          <w:szCs w:val="24"/>
        </w:rPr>
        <w:t>七、</w:t>
      </w:r>
      <w:r>
        <w:rPr>
          <w:rFonts w:asciiTheme="minorEastAsia" w:eastAsiaTheme="minorEastAsia" w:hAnsiTheme="minorEastAsia"/>
          <w:b/>
          <w:sz w:val="24"/>
          <w:szCs w:val="24"/>
        </w:rPr>
        <w:t>贯彻标准的要求和措施建议（包括组织措施、技术措施、过渡办法等内容）</w:t>
      </w:r>
      <w:bookmarkEnd w:id="18"/>
    </w:p>
    <w:p w14:paraId="57BBA3B9" w14:textId="1CBB5305" w:rsidR="00906414" w:rsidRDefault="00000000" w:rsidP="0052108D">
      <w:pPr>
        <w:spacing w:beforeLines="50" w:before="156" w:line="360" w:lineRule="auto"/>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在本标准发布后，开展对本标准的宣传和贯彻的培训，明确</w:t>
      </w:r>
      <w:r w:rsidR="0052108D">
        <w:rPr>
          <w:rFonts w:asciiTheme="minorEastAsia" w:eastAsiaTheme="minorEastAsia" w:hAnsiTheme="minorEastAsia" w:hint="eastAsia"/>
          <w:sz w:val="24"/>
          <w:szCs w:val="24"/>
        </w:rPr>
        <w:t>内贸集装箱码头业务单证的格式规范和要求，为内贸集装箱业务单证</w:t>
      </w:r>
      <w:r>
        <w:rPr>
          <w:rFonts w:ascii="宋体" w:hAnsi="宋体" w:hint="eastAsia"/>
          <w:sz w:val="24"/>
          <w:szCs w:val="24"/>
        </w:rPr>
        <w:t>信息交互</w:t>
      </w:r>
      <w:r>
        <w:rPr>
          <w:rFonts w:asciiTheme="minorEastAsia" w:eastAsiaTheme="minorEastAsia" w:hAnsiTheme="minorEastAsia" w:hint="eastAsia"/>
          <w:sz w:val="24"/>
          <w:szCs w:val="24"/>
        </w:rPr>
        <w:t>提供建议和指导。</w:t>
      </w:r>
    </w:p>
    <w:p w14:paraId="5484E758"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19" w:name="_Toc46098157"/>
      <w:r>
        <w:rPr>
          <w:rFonts w:asciiTheme="minorEastAsia" w:eastAsiaTheme="minorEastAsia" w:hAnsiTheme="minorEastAsia" w:hint="eastAsia"/>
          <w:b/>
          <w:sz w:val="24"/>
          <w:szCs w:val="24"/>
        </w:rPr>
        <w:t>八、</w:t>
      </w:r>
      <w:r>
        <w:rPr>
          <w:rFonts w:asciiTheme="minorEastAsia" w:eastAsiaTheme="minorEastAsia" w:hAnsiTheme="minorEastAsia"/>
          <w:b/>
          <w:sz w:val="24"/>
          <w:szCs w:val="24"/>
        </w:rPr>
        <w:t>废止现行有关标准的建议</w:t>
      </w:r>
      <w:bookmarkEnd w:id="19"/>
    </w:p>
    <w:p w14:paraId="09ABED78" w14:textId="77777777" w:rsidR="00906414" w:rsidRDefault="00000000">
      <w:pPr>
        <w:spacing w:beforeLines="50" w:before="156" w:line="360" w:lineRule="auto"/>
        <w:ind w:firstLineChars="202" w:firstLine="485"/>
        <w:rPr>
          <w:rFonts w:asciiTheme="minorEastAsia" w:eastAsiaTheme="minorEastAsia" w:hAnsiTheme="minorEastAsia"/>
          <w:sz w:val="24"/>
          <w:szCs w:val="24"/>
        </w:rPr>
      </w:pPr>
      <w:r>
        <w:rPr>
          <w:rFonts w:asciiTheme="minorEastAsia" w:eastAsiaTheme="minorEastAsia" w:hAnsiTheme="minorEastAsia" w:hint="eastAsia"/>
          <w:sz w:val="24"/>
          <w:szCs w:val="24"/>
        </w:rPr>
        <w:t>无。</w:t>
      </w:r>
    </w:p>
    <w:p w14:paraId="23C1C78C" w14:textId="77777777" w:rsidR="00906414" w:rsidRDefault="00000000">
      <w:pPr>
        <w:spacing w:beforeLines="50" w:before="156" w:line="360" w:lineRule="auto"/>
        <w:outlineLvl w:val="0"/>
        <w:rPr>
          <w:rFonts w:asciiTheme="minorEastAsia" w:eastAsiaTheme="minorEastAsia" w:hAnsiTheme="minorEastAsia"/>
          <w:b/>
          <w:sz w:val="24"/>
          <w:szCs w:val="24"/>
        </w:rPr>
      </w:pPr>
      <w:bookmarkStart w:id="20" w:name="_Toc46098158"/>
      <w:r>
        <w:rPr>
          <w:rFonts w:asciiTheme="minorEastAsia" w:eastAsiaTheme="minorEastAsia" w:hAnsiTheme="minorEastAsia" w:hint="eastAsia"/>
          <w:b/>
          <w:sz w:val="24"/>
          <w:szCs w:val="24"/>
        </w:rPr>
        <w:t>九、</w:t>
      </w:r>
      <w:r>
        <w:rPr>
          <w:rFonts w:asciiTheme="minorEastAsia" w:eastAsiaTheme="minorEastAsia" w:hAnsiTheme="minorEastAsia"/>
          <w:b/>
          <w:sz w:val="24"/>
          <w:szCs w:val="24"/>
        </w:rPr>
        <w:t>其他应予说明的事项</w:t>
      </w:r>
      <w:bookmarkEnd w:id="20"/>
    </w:p>
    <w:p w14:paraId="5C110D1D" w14:textId="77777777" w:rsidR="00906414" w:rsidRDefault="00000000">
      <w:pPr>
        <w:spacing w:beforeLines="50" w:before="156" w:line="360" w:lineRule="auto"/>
        <w:ind w:firstLineChars="150" w:firstLine="36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 无。</w:t>
      </w:r>
    </w:p>
    <w:sectPr w:rsidR="00906414">
      <w:footerReference w:type="default" r:id="rId10"/>
      <w:pgSz w:w="11906" w:h="16838"/>
      <w:pgMar w:top="1588" w:right="1814" w:bottom="1588" w:left="1814"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EA72E" w14:textId="77777777" w:rsidR="005B770F" w:rsidRDefault="005B770F">
      <w:r>
        <w:separator/>
      </w:r>
    </w:p>
  </w:endnote>
  <w:endnote w:type="continuationSeparator" w:id="0">
    <w:p w14:paraId="2AB8E96A" w14:textId="77777777" w:rsidR="005B770F" w:rsidRDefault="005B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979204"/>
    </w:sdtPr>
    <w:sdtContent>
      <w:p w14:paraId="0E500141" w14:textId="77777777" w:rsidR="00906414" w:rsidRDefault="00000000">
        <w:pPr>
          <w:pStyle w:val="af"/>
          <w:jc w:val="center"/>
        </w:pPr>
        <w:r>
          <w:fldChar w:fldCharType="begin"/>
        </w:r>
        <w:r>
          <w:instrText>PAGE   \* MERGEFORMAT</w:instrText>
        </w:r>
        <w:r>
          <w:fldChar w:fldCharType="separate"/>
        </w:r>
        <w:r>
          <w:rPr>
            <w:lang w:val="zh-CN"/>
          </w:rPr>
          <w:t>2</w:t>
        </w:r>
        <w:r>
          <w:fldChar w:fldCharType="end"/>
        </w:r>
      </w:p>
    </w:sdtContent>
  </w:sdt>
  <w:p w14:paraId="2E4CDA9A" w14:textId="77777777" w:rsidR="00906414" w:rsidRDefault="00906414">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2402111"/>
    </w:sdtPr>
    <w:sdtContent>
      <w:p w14:paraId="0A616BAD" w14:textId="77777777" w:rsidR="00906414" w:rsidRDefault="00000000">
        <w:pPr>
          <w:pStyle w:val="af"/>
          <w:jc w:val="center"/>
        </w:pPr>
        <w:r>
          <w:fldChar w:fldCharType="begin"/>
        </w:r>
        <w:r>
          <w:instrText>PAGE   \* MERGEFORMAT</w:instrText>
        </w:r>
        <w:r>
          <w:fldChar w:fldCharType="separate"/>
        </w:r>
        <w:r>
          <w:rPr>
            <w:lang w:val="zh-CN"/>
          </w:rPr>
          <w:t>3</w:t>
        </w:r>
        <w:r>
          <w:fldChar w:fldCharType="end"/>
        </w:r>
      </w:p>
    </w:sdtContent>
  </w:sdt>
  <w:p w14:paraId="566C8BE9" w14:textId="77777777" w:rsidR="00906414" w:rsidRDefault="00906414">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740270"/>
    </w:sdtPr>
    <w:sdtEndPr>
      <w:rPr>
        <w:sz w:val="24"/>
        <w:szCs w:val="24"/>
      </w:rPr>
    </w:sdtEndPr>
    <w:sdtContent>
      <w:p w14:paraId="472749AC" w14:textId="77777777" w:rsidR="00906414" w:rsidRDefault="00000000">
        <w:pPr>
          <w:pStyle w:val="af"/>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lang w:val="zh-CN"/>
          </w:rPr>
          <w:t>1</w:t>
        </w:r>
        <w:r>
          <w:rPr>
            <w:sz w:val="24"/>
            <w:szCs w:val="24"/>
          </w:rPr>
          <w:fldChar w:fldCharType="end"/>
        </w:r>
      </w:p>
    </w:sdtContent>
  </w:sdt>
  <w:p w14:paraId="49423249" w14:textId="77777777" w:rsidR="00906414" w:rsidRDefault="00906414">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EE277" w14:textId="77777777" w:rsidR="005B770F" w:rsidRDefault="005B770F">
      <w:r>
        <w:separator/>
      </w:r>
    </w:p>
  </w:footnote>
  <w:footnote w:type="continuationSeparator" w:id="0">
    <w:p w14:paraId="5747EBB9" w14:textId="77777777" w:rsidR="005B770F" w:rsidRDefault="005B7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lvl w:ilvl="0">
      <w:start w:val="1"/>
      <w:numFmt w:val="decimal"/>
      <w:suff w:val="nothing"/>
      <w:lvlText w:val="%1　"/>
      <w:lvlJc w:val="left"/>
      <w:pPr>
        <w:ind w:left="1277"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color w:val="auto"/>
        <w:sz w:val="21"/>
      </w:rPr>
    </w:lvl>
    <w:lvl w:ilvl="4">
      <w:start w:val="1"/>
      <w:numFmt w:val="decimal"/>
      <w:suff w:val="nothing"/>
      <w:lvlText w:val="%1.%2.%3.%4.%5　"/>
      <w:lvlJc w:val="left"/>
      <w:pPr>
        <w:ind w:left="2126"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0000017"/>
    <w:multiLevelType w:val="multilevel"/>
    <w:tmpl w:val="00000017"/>
    <w:lvl w:ilvl="0">
      <w:start w:val="1"/>
      <w:numFmt w:val="lowerLetter"/>
      <w:pStyle w:val="a0"/>
      <w:lvlText w:val="%1)"/>
      <w:lvlJc w:val="left"/>
      <w:pPr>
        <w:tabs>
          <w:tab w:val="left" w:pos="840"/>
        </w:tabs>
        <w:ind w:left="839" w:hanging="419"/>
      </w:pPr>
      <w:rPr>
        <w:rFonts w:ascii="宋体" w:eastAsia="宋体" w:hint="eastAsia"/>
        <w:b w:val="0"/>
        <w:i w:val="0"/>
        <w:sz w:val="21"/>
        <w:szCs w:val="21"/>
      </w:rPr>
    </w:lvl>
    <w:lvl w:ilvl="1">
      <w:start w:val="1"/>
      <w:numFmt w:val="decimal"/>
      <w:pStyle w:val="a1"/>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 w15:restartNumberingAfterBreak="0">
    <w:nsid w:val="03114E1C"/>
    <w:multiLevelType w:val="multilevel"/>
    <w:tmpl w:val="03114E1C"/>
    <w:lvl w:ilvl="0">
      <w:start w:val="1"/>
      <w:numFmt w:val="lowerLetter"/>
      <w:pStyle w:val="a2"/>
      <w:lvlText w:val="%1)"/>
      <w:lvlJc w:val="left"/>
      <w:pPr>
        <w:ind w:left="840" w:hanging="420"/>
      </w:pPr>
      <w:rPr>
        <w:rFonts w:hint="eastAsia"/>
        <w:b w:val="0"/>
        <w:i w:val="0"/>
        <w:sz w:val="20"/>
        <w:szCs w:val="21"/>
      </w:rPr>
    </w:lvl>
    <w:lvl w:ilvl="1">
      <w:start w:val="1"/>
      <w:numFmt w:val="decimal"/>
      <w:pStyle w:val="a3"/>
      <w:lvlText w:val="%2)"/>
      <w:lvlJc w:val="left"/>
      <w:pPr>
        <w:tabs>
          <w:tab w:val="left" w:pos="1259"/>
        </w:tabs>
        <w:ind w:left="1259" w:hanging="420"/>
      </w:pPr>
      <w:rPr>
        <w:rFonts w:ascii="宋体" w:eastAsia="宋体" w:hAnsi="宋体" w:hint="eastAsia"/>
        <w:b w:val="0"/>
        <w:i w:val="0"/>
        <w:sz w:val="20"/>
      </w:rPr>
    </w:lvl>
    <w:lvl w:ilvl="2">
      <w:start w:val="1"/>
      <w:numFmt w:val="decimal"/>
      <w:pStyle w:val="a4"/>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3" w15:restartNumberingAfterBreak="0">
    <w:nsid w:val="21D3588D"/>
    <w:multiLevelType w:val="multilevel"/>
    <w:tmpl w:val="21D3588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398141241">
    <w:abstractNumId w:val="0"/>
  </w:num>
  <w:num w:numId="2" w16cid:durableId="738753503">
    <w:abstractNumId w:val="2"/>
  </w:num>
  <w:num w:numId="3" w16cid:durableId="1626423730">
    <w:abstractNumId w:val="1"/>
  </w:num>
  <w:num w:numId="4" w16cid:durableId="5939735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bordersDoNotSurroundHeader/>
  <w:bordersDoNotSurroundFooter/>
  <w:hideSpellingErrors/>
  <w:hideGrammaticalErrors/>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M2MDI0ZjEyODc2MWRmY2I3ZjM5YmFlM2Y5MWYwOWUifQ=="/>
  </w:docVars>
  <w:rsids>
    <w:rsidRoot w:val="00774D80"/>
    <w:rsid w:val="00000830"/>
    <w:rsid w:val="00002A8A"/>
    <w:rsid w:val="00002B7C"/>
    <w:rsid w:val="000041EB"/>
    <w:rsid w:val="00005EE6"/>
    <w:rsid w:val="00006EF0"/>
    <w:rsid w:val="00021B10"/>
    <w:rsid w:val="00022B03"/>
    <w:rsid w:val="0003673B"/>
    <w:rsid w:val="0004418D"/>
    <w:rsid w:val="0005238E"/>
    <w:rsid w:val="0005677E"/>
    <w:rsid w:val="00061378"/>
    <w:rsid w:val="000876B6"/>
    <w:rsid w:val="00093A33"/>
    <w:rsid w:val="000A01D7"/>
    <w:rsid w:val="000A4255"/>
    <w:rsid w:val="000B1ADB"/>
    <w:rsid w:val="000C2E76"/>
    <w:rsid w:val="000C4503"/>
    <w:rsid w:val="000C58EC"/>
    <w:rsid w:val="000C5F7E"/>
    <w:rsid w:val="000C7AA5"/>
    <w:rsid w:val="000D127C"/>
    <w:rsid w:val="000E544E"/>
    <w:rsid w:val="000F2EC1"/>
    <w:rsid w:val="000F6B29"/>
    <w:rsid w:val="00122AB5"/>
    <w:rsid w:val="00127E0C"/>
    <w:rsid w:val="0013290C"/>
    <w:rsid w:val="00133103"/>
    <w:rsid w:val="001379BD"/>
    <w:rsid w:val="0014096F"/>
    <w:rsid w:val="001416C7"/>
    <w:rsid w:val="001426ED"/>
    <w:rsid w:val="001500DC"/>
    <w:rsid w:val="00154EB1"/>
    <w:rsid w:val="00165479"/>
    <w:rsid w:val="00171197"/>
    <w:rsid w:val="0018261D"/>
    <w:rsid w:val="001936E6"/>
    <w:rsid w:val="001B2124"/>
    <w:rsid w:val="001B3A51"/>
    <w:rsid w:val="001C3678"/>
    <w:rsid w:val="001C4752"/>
    <w:rsid w:val="001D1EBF"/>
    <w:rsid w:val="001F74B5"/>
    <w:rsid w:val="00201E69"/>
    <w:rsid w:val="00210169"/>
    <w:rsid w:val="00211842"/>
    <w:rsid w:val="00216B64"/>
    <w:rsid w:val="00241115"/>
    <w:rsid w:val="00241FE0"/>
    <w:rsid w:val="00247794"/>
    <w:rsid w:val="0025499B"/>
    <w:rsid w:val="002615E0"/>
    <w:rsid w:val="0026218F"/>
    <w:rsid w:val="002625BA"/>
    <w:rsid w:val="00265CCF"/>
    <w:rsid w:val="00291823"/>
    <w:rsid w:val="002972BA"/>
    <w:rsid w:val="002A5199"/>
    <w:rsid w:val="002C2FF7"/>
    <w:rsid w:val="002D37E7"/>
    <w:rsid w:val="003020FE"/>
    <w:rsid w:val="0030244D"/>
    <w:rsid w:val="0030763F"/>
    <w:rsid w:val="0031315A"/>
    <w:rsid w:val="00317F8A"/>
    <w:rsid w:val="003235DA"/>
    <w:rsid w:val="00331983"/>
    <w:rsid w:val="00332699"/>
    <w:rsid w:val="00335AFB"/>
    <w:rsid w:val="003457C2"/>
    <w:rsid w:val="003544B8"/>
    <w:rsid w:val="003554FB"/>
    <w:rsid w:val="00362971"/>
    <w:rsid w:val="00362C61"/>
    <w:rsid w:val="00362C8D"/>
    <w:rsid w:val="00383666"/>
    <w:rsid w:val="003904FF"/>
    <w:rsid w:val="0039181B"/>
    <w:rsid w:val="0039217E"/>
    <w:rsid w:val="003956F7"/>
    <w:rsid w:val="003A319E"/>
    <w:rsid w:val="003C49F3"/>
    <w:rsid w:val="003D0C8C"/>
    <w:rsid w:val="003D1D82"/>
    <w:rsid w:val="003D38BE"/>
    <w:rsid w:val="003E0742"/>
    <w:rsid w:val="003E2746"/>
    <w:rsid w:val="003E468D"/>
    <w:rsid w:val="003E4E65"/>
    <w:rsid w:val="003E67D3"/>
    <w:rsid w:val="003F356A"/>
    <w:rsid w:val="003F366A"/>
    <w:rsid w:val="00423568"/>
    <w:rsid w:val="00423E79"/>
    <w:rsid w:val="004269C3"/>
    <w:rsid w:val="004318A8"/>
    <w:rsid w:val="0044127E"/>
    <w:rsid w:val="004467BF"/>
    <w:rsid w:val="00447861"/>
    <w:rsid w:val="00453C70"/>
    <w:rsid w:val="00474922"/>
    <w:rsid w:val="004777F0"/>
    <w:rsid w:val="00483FA6"/>
    <w:rsid w:val="00485401"/>
    <w:rsid w:val="00491409"/>
    <w:rsid w:val="0049564C"/>
    <w:rsid w:val="00497192"/>
    <w:rsid w:val="004A33C6"/>
    <w:rsid w:val="004A47E5"/>
    <w:rsid w:val="004B1AD9"/>
    <w:rsid w:val="004B6E12"/>
    <w:rsid w:val="004C083D"/>
    <w:rsid w:val="004C60ED"/>
    <w:rsid w:val="004D1019"/>
    <w:rsid w:val="004D4A52"/>
    <w:rsid w:val="004E5BE2"/>
    <w:rsid w:val="004F18E5"/>
    <w:rsid w:val="00503171"/>
    <w:rsid w:val="005034BC"/>
    <w:rsid w:val="00506C6B"/>
    <w:rsid w:val="005103DF"/>
    <w:rsid w:val="0052108D"/>
    <w:rsid w:val="00522850"/>
    <w:rsid w:val="0052635F"/>
    <w:rsid w:val="00527657"/>
    <w:rsid w:val="00531A37"/>
    <w:rsid w:val="00531DE3"/>
    <w:rsid w:val="00533951"/>
    <w:rsid w:val="005419B4"/>
    <w:rsid w:val="00543DEA"/>
    <w:rsid w:val="0055366D"/>
    <w:rsid w:val="00567A59"/>
    <w:rsid w:val="005701C3"/>
    <w:rsid w:val="005732C5"/>
    <w:rsid w:val="00581B78"/>
    <w:rsid w:val="00586905"/>
    <w:rsid w:val="00596FA0"/>
    <w:rsid w:val="005B770F"/>
    <w:rsid w:val="005C2CB0"/>
    <w:rsid w:val="005C793B"/>
    <w:rsid w:val="005F32FA"/>
    <w:rsid w:val="00601DEF"/>
    <w:rsid w:val="006047BA"/>
    <w:rsid w:val="00610FB3"/>
    <w:rsid w:val="00613F43"/>
    <w:rsid w:val="00614860"/>
    <w:rsid w:val="00617919"/>
    <w:rsid w:val="006222E1"/>
    <w:rsid w:val="006469B0"/>
    <w:rsid w:val="006613FB"/>
    <w:rsid w:val="0066225C"/>
    <w:rsid w:val="006634E1"/>
    <w:rsid w:val="006672E7"/>
    <w:rsid w:val="00672A9F"/>
    <w:rsid w:val="00675F68"/>
    <w:rsid w:val="00685107"/>
    <w:rsid w:val="006A4AEF"/>
    <w:rsid w:val="006B4DF1"/>
    <w:rsid w:val="006C0076"/>
    <w:rsid w:val="006D3E3B"/>
    <w:rsid w:val="006D7746"/>
    <w:rsid w:val="006E0C0E"/>
    <w:rsid w:val="006E1CA3"/>
    <w:rsid w:val="006E67C9"/>
    <w:rsid w:val="006E6C0B"/>
    <w:rsid w:val="006E7867"/>
    <w:rsid w:val="006F763E"/>
    <w:rsid w:val="00712890"/>
    <w:rsid w:val="007147BA"/>
    <w:rsid w:val="00722B78"/>
    <w:rsid w:val="007244EE"/>
    <w:rsid w:val="0073450F"/>
    <w:rsid w:val="0075309B"/>
    <w:rsid w:val="00753809"/>
    <w:rsid w:val="00763EAB"/>
    <w:rsid w:val="007647CC"/>
    <w:rsid w:val="00766C81"/>
    <w:rsid w:val="00771902"/>
    <w:rsid w:val="00773EE8"/>
    <w:rsid w:val="007749DE"/>
    <w:rsid w:val="00774D80"/>
    <w:rsid w:val="00775629"/>
    <w:rsid w:val="00783DD1"/>
    <w:rsid w:val="00785292"/>
    <w:rsid w:val="00785FF9"/>
    <w:rsid w:val="007876EF"/>
    <w:rsid w:val="007B231C"/>
    <w:rsid w:val="007C27FB"/>
    <w:rsid w:val="007E705A"/>
    <w:rsid w:val="007F1430"/>
    <w:rsid w:val="007F2782"/>
    <w:rsid w:val="007F738E"/>
    <w:rsid w:val="008107F0"/>
    <w:rsid w:val="00811CF9"/>
    <w:rsid w:val="00816801"/>
    <w:rsid w:val="00826B05"/>
    <w:rsid w:val="00831EC0"/>
    <w:rsid w:val="00833541"/>
    <w:rsid w:val="0083487D"/>
    <w:rsid w:val="008367A5"/>
    <w:rsid w:val="00846E4E"/>
    <w:rsid w:val="00854D5D"/>
    <w:rsid w:val="00863840"/>
    <w:rsid w:val="00867C42"/>
    <w:rsid w:val="00870187"/>
    <w:rsid w:val="008814BD"/>
    <w:rsid w:val="00881D85"/>
    <w:rsid w:val="008914E3"/>
    <w:rsid w:val="0089375D"/>
    <w:rsid w:val="008939A3"/>
    <w:rsid w:val="008A14D7"/>
    <w:rsid w:val="008A3135"/>
    <w:rsid w:val="008B539F"/>
    <w:rsid w:val="008B5E30"/>
    <w:rsid w:val="008C2ECA"/>
    <w:rsid w:val="008D56EC"/>
    <w:rsid w:val="008E1E6D"/>
    <w:rsid w:val="008E4618"/>
    <w:rsid w:val="008E6F9E"/>
    <w:rsid w:val="00906414"/>
    <w:rsid w:val="0090678B"/>
    <w:rsid w:val="00906BF8"/>
    <w:rsid w:val="00925151"/>
    <w:rsid w:val="00933AF0"/>
    <w:rsid w:val="009343B7"/>
    <w:rsid w:val="009413AD"/>
    <w:rsid w:val="00941C5C"/>
    <w:rsid w:val="00942E15"/>
    <w:rsid w:val="00951F8B"/>
    <w:rsid w:val="009725D0"/>
    <w:rsid w:val="009751C9"/>
    <w:rsid w:val="00980E45"/>
    <w:rsid w:val="009A3C51"/>
    <w:rsid w:val="009A79E2"/>
    <w:rsid w:val="009B0566"/>
    <w:rsid w:val="009B3825"/>
    <w:rsid w:val="009D73A6"/>
    <w:rsid w:val="009F14B6"/>
    <w:rsid w:val="009F4B50"/>
    <w:rsid w:val="009F68D8"/>
    <w:rsid w:val="00A02D67"/>
    <w:rsid w:val="00A04DA5"/>
    <w:rsid w:val="00A15CFB"/>
    <w:rsid w:val="00A20FFA"/>
    <w:rsid w:val="00A21F07"/>
    <w:rsid w:val="00A32AC6"/>
    <w:rsid w:val="00A3418E"/>
    <w:rsid w:val="00A40C68"/>
    <w:rsid w:val="00A41D46"/>
    <w:rsid w:val="00A428EE"/>
    <w:rsid w:val="00A50EFB"/>
    <w:rsid w:val="00A544ED"/>
    <w:rsid w:val="00A6739A"/>
    <w:rsid w:val="00A72F26"/>
    <w:rsid w:val="00A75124"/>
    <w:rsid w:val="00A8305A"/>
    <w:rsid w:val="00A834AA"/>
    <w:rsid w:val="00A868B3"/>
    <w:rsid w:val="00AB4B79"/>
    <w:rsid w:val="00AB698A"/>
    <w:rsid w:val="00AD5020"/>
    <w:rsid w:val="00AE3903"/>
    <w:rsid w:val="00AE4BEA"/>
    <w:rsid w:val="00B0289B"/>
    <w:rsid w:val="00B04D4A"/>
    <w:rsid w:val="00B2115A"/>
    <w:rsid w:val="00B328C9"/>
    <w:rsid w:val="00B34569"/>
    <w:rsid w:val="00B60CA8"/>
    <w:rsid w:val="00B61DE6"/>
    <w:rsid w:val="00B62EFD"/>
    <w:rsid w:val="00B64CAE"/>
    <w:rsid w:val="00B67AFA"/>
    <w:rsid w:val="00B70E7E"/>
    <w:rsid w:val="00B8201E"/>
    <w:rsid w:val="00B91A4E"/>
    <w:rsid w:val="00B97BF7"/>
    <w:rsid w:val="00BA7CD3"/>
    <w:rsid w:val="00BC346B"/>
    <w:rsid w:val="00BC4D1B"/>
    <w:rsid w:val="00BF1B4B"/>
    <w:rsid w:val="00BF1D15"/>
    <w:rsid w:val="00C04636"/>
    <w:rsid w:val="00C06C7D"/>
    <w:rsid w:val="00C076AF"/>
    <w:rsid w:val="00C122F4"/>
    <w:rsid w:val="00C12A08"/>
    <w:rsid w:val="00C178A4"/>
    <w:rsid w:val="00C35DDE"/>
    <w:rsid w:val="00C4552B"/>
    <w:rsid w:val="00C51076"/>
    <w:rsid w:val="00C515E5"/>
    <w:rsid w:val="00C54E66"/>
    <w:rsid w:val="00C55974"/>
    <w:rsid w:val="00C64365"/>
    <w:rsid w:val="00C743BF"/>
    <w:rsid w:val="00C74772"/>
    <w:rsid w:val="00C80ECD"/>
    <w:rsid w:val="00C84E64"/>
    <w:rsid w:val="00CA1209"/>
    <w:rsid w:val="00CA4F71"/>
    <w:rsid w:val="00CB624B"/>
    <w:rsid w:val="00CC50FC"/>
    <w:rsid w:val="00CD3CD3"/>
    <w:rsid w:val="00CE2184"/>
    <w:rsid w:val="00CE4BDD"/>
    <w:rsid w:val="00CE6973"/>
    <w:rsid w:val="00CF4BEA"/>
    <w:rsid w:val="00D22500"/>
    <w:rsid w:val="00D3282A"/>
    <w:rsid w:val="00D45BF9"/>
    <w:rsid w:val="00D65397"/>
    <w:rsid w:val="00D71230"/>
    <w:rsid w:val="00D80291"/>
    <w:rsid w:val="00D8035A"/>
    <w:rsid w:val="00D813A2"/>
    <w:rsid w:val="00D83D3B"/>
    <w:rsid w:val="00D858DD"/>
    <w:rsid w:val="00D87115"/>
    <w:rsid w:val="00D94FCE"/>
    <w:rsid w:val="00D9754A"/>
    <w:rsid w:val="00DA6562"/>
    <w:rsid w:val="00DB2423"/>
    <w:rsid w:val="00DC2909"/>
    <w:rsid w:val="00DC3934"/>
    <w:rsid w:val="00DC5664"/>
    <w:rsid w:val="00DC70AD"/>
    <w:rsid w:val="00DD2063"/>
    <w:rsid w:val="00DD7B38"/>
    <w:rsid w:val="00DE2F1D"/>
    <w:rsid w:val="00DE3D7E"/>
    <w:rsid w:val="00DE597C"/>
    <w:rsid w:val="00DF19F3"/>
    <w:rsid w:val="00DF625C"/>
    <w:rsid w:val="00E0009D"/>
    <w:rsid w:val="00E1061A"/>
    <w:rsid w:val="00E13578"/>
    <w:rsid w:val="00E13E25"/>
    <w:rsid w:val="00E20429"/>
    <w:rsid w:val="00E306DD"/>
    <w:rsid w:val="00E33B00"/>
    <w:rsid w:val="00E51851"/>
    <w:rsid w:val="00E81A7A"/>
    <w:rsid w:val="00E901AF"/>
    <w:rsid w:val="00E92873"/>
    <w:rsid w:val="00E953B9"/>
    <w:rsid w:val="00E968A9"/>
    <w:rsid w:val="00E96949"/>
    <w:rsid w:val="00E96F8E"/>
    <w:rsid w:val="00EA2AD0"/>
    <w:rsid w:val="00EA3493"/>
    <w:rsid w:val="00EB422A"/>
    <w:rsid w:val="00EB4E63"/>
    <w:rsid w:val="00EB6F21"/>
    <w:rsid w:val="00EC1E69"/>
    <w:rsid w:val="00ED2DA5"/>
    <w:rsid w:val="00ED65EB"/>
    <w:rsid w:val="00ED6D60"/>
    <w:rsid w:val="00ED7616"/>
    <w:rsid w:val="00EF5034"/>
    <w:rsid w:val="00F02FAE"/>
    <w:rsid w:val="00F326B1"/>
    <w:rsid w:val="00F34D0A"/>
    <w:rsid w:val="00F463B2"/>
    <w:rsid w:val="00F46D57"/>
    <w:rsid w:val="00F50060"/>
    <w:rsid w:val="00F55585"/>
    <w:rsid w:val="00F6373F"/>
    <w:rsid w:val="00F6504F"/>
    <w:rsid w:val="00F74158"/>
    <w:rsid w:val="00F75D4F"/>
    <w:rsid w:val="00FA45B6"/>
    <w:rsid w:val="00FA7B2E"/>
    <w:rsid w:val="00FC1720"/>
    <w:rsid w:val="00FD16BC"/>
    <w:rsid w:val="00FF332B"/>
    <w:rsid w:val="07342867"/>
    <w:rsid w:val="0AFD212D"/>
    <w:rsid w:val="1B034E37"/>
    <w:rsid w:val="24AD003F"/>
    <w:rsid w:val="31A4733C"/>
    <w:rsid w:val="32396EA7"/>
    <w:rsid w:val="3788716A"/>
    <w:rsid w:val="387503C8"/>
    <w:rsid w:val="3D2C012D"/>
    <w:rsid w:val="46D53E06"/>
    <w:rsid w:val="4AD833F0"/>
    <w:rsid w:val="4F03120B"/>
    <w:rsid w:val="4F3B6397"/>
    <w:rsid w:val="558D0DCD"/>
    <w:rsid w:val="61853EF8"/>
    <w:rsid w:val="61983F8B"/>
    <w:rsid w:val="77140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AB74C"/>
  <w15:docId w15:val="{B271E669-868F-1047-A465-D5C2FE676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rPr>
  </w:style>
  <w:style w:type="paragraph" w:styleId="1">
    <w:name w:val="heading 1"/>
    <w:basedOn w:val="a5"/>
    <w:next w:val="a5"/>
    <w:link w:val="10"/>
    <w:uiPriority w:val="9"/>
    <w:qFormat/>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TOC7">
    <w:name w:val="toc 7"/>
    <w:basedOn w:val="a5"/>
    <w:next w:val="a5"/>
    <w:uiPriority w:val="39"/>
    <w:semiHidden/>
    <w:unhideWhenUsed/>
    <w:qFormat/>
    <w:pPr>
      <w:ind w:left="1260"/>
      <w:jc w:val="left"/>
    </w:pPr>
    <w:rPr>
      <w:rFonts w:asciiTheme="minorHAnsi" w:hAnsiTheme="minorHAnsi"/>
      <w:sz w:val="18"/>
      <w:szCs w:val="18"/>
    </w:rPr>
  </w:style>
  <w:style w:type="paragraph" w:styleId="a9">
    <w:name w:val="annotation text"/>
    <w:basedOn w:val="a5"/>
    <w:link w:val="aa"/>
    <w:qFormat/>
    <w:pPr>
      <w:adjustRightInd w:val="0"/>
      <w:spacing w:line="360" w:lineRule="atLeast"/>
      <w:jc w:val="left"/>
      <w:textAlignment w:val="baseline"/>
    </w:pPr>
    <w:rPr>
      <w:kern w:val="0"/>
      <w:sz w:val="28"/>
    </w:rPr>
  </w:style>
  <w:style w:type="paragraph" w:styleId="ab">
    <w:name w:val="Body Text Indent"/>
    <w:basedOn w:val="a5"/>
    <w:link w:val="ac"/>
    <w:qFormat/>
    <w:pPr>
      <w:adjustRightInd w:val="0"/>
      <w:spacing w:line="360" w:lineRule="auto"/>
      <w:ind w:firstLine="420"/>
      <w:jc w:val="left"/>
      <w:textAlignment w:val="baseline"/>
    </w:pPr>
    <w:rPr>
      <w:kern w:val="0"/>
    </w:rPr>
  </w:style>
  <w:style w:type="paragraph" w:styleId="TOC5">
    <w:name w:val="toc 5"/>
    <w:basedOn w:val="a5"/>
    <w:next w:val="a5"/>
    <w:uiPriority w:val="39"/>
    <w:semiHidden/>
    <w:unhideWhenUsed/>
    <w:qFormat/>
    <w:pPr>
      <w:ind w:left="840"/>
      <w:jc w:val="left"/>
    </w:pPr>
    <w:rPr>
      <w:rFonts w:asciiTheme="minorHAnsi" w:hAnsiTheme="minorHAnsi"/>
      <w:sz w:val="18"/>
      <w:szCs w:val="18"/>
    </w:rPr>
  </w:style>
  <w:style w:type="paragraph" w:styleId="TOC3">
    <w:name w:val="toc 3"/>
    <w:basedOn w:val="a5"/>
    <w:next w:val="a5"/>
    <w:uiPriority w:val="39"/>
    <w:semiHidden/>
    <w:unhideWhenUsed/>
    <w:qFormat/>
    <w:pPr>
      <w:ind w:left="420"/>
      <w:jc w:val="left"/>
    </w:pPr>
    <w:rPr>
      <w:rFonts w:asciiTheme="minorHAnsi" w:hAnsiTheme="minorHAnsi"/>
      <w:i/>
      <w:iCs/>
      <w:sz w:val="20"/>
    </w:rPr>
  </w:style>
  <w:style w:type="paragraph" w:styleId="TOC8">
    <w:name w:val="toc 8"/>
    <w:basedOn w:val="a5"/>
    <w:next w:val="a5"/>
    <w:uiPriority w:val="39"/>
    <w:semiHidden/>
    <w:unhideWhenUsed/>
    <w:qFormat/>
    <w:pPr>
      <w:ind w:left="1470"/>
      <w:jc w:val="left"/>
    </w:pPr>
    <w:rPr>
      <w:rFonts w:asciiTheme="minorHAnsi" w:hAnsiTheme="minorHAnsi"/>
      <w:sz w:val="18"/>
      <w:szCs w:val="18"/>
    </w:rPr>
  </w:style>
  <w:style w:type="paragraph" w:styleId="ad">
    <w:name w:val="Balloon Text"/>
    <w:basedOn w:val="a5"/>
    <w:link w:val="ae"/>
    <w:uiPriority w:val="99"/>
    <w:semiHidden/>
    <w:unhideWhenUsed/>
    <w:qFormat/>
    <w:rPr>
      <w:sz w:val="18"/>
      <w:szCs w:val="18"/>
    </w:rPr>
  </w:style>
  <w:style w:type="paragraph" w:styleId="af">
    <w:name w:val="footer"/>
    <w:basedOn w:val="a5"/>
    <w:link w:val="af0"/>
    <w:uiPriority w:val="99"/>
    <w:unhideWhenUsed/>
    <w:qFormat/>
    <w:pPr>
      <w:tabs>
        <w:tab w:val="center" w:pos="4153"/>
        <w:tab w:val="right" w:pos="8306"/>
      </w:tabs>
      <w:snapToGrid w:val="0"/>
      <w:jc w:val="left"/>
    </w:pPr>
    <w:rPr>
      <w:sz w:val="18"/>
      <w:szCs w:val="18"/>
    </w:rPr>
  </w:style>
  <w:style w:type="paragraph" w:styleId="af1">
    <w:name w:val="header"/>
    <w:basedOn w:val="a5"/>
    <w:link w:val="af2"/>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5"/>
    <w:next w:val="a5"/>
    <w:uiPriority w:val="39"/>
    <w:qFormat/>
    <w:pPr>
      <w:spacing w:before="120" w:after="120"/>
      <w:jc w:val="left"/>
    </w:pPr>
    <w:rPr>
      <w:rFonts w:asciiTheme="minorHAnsi" w:hAnsiTheme="minorHAnsi"/>
      <w:b/>
      <w:bCs/>
      <w:caps/>
      <w:sz w:val="20"/>
    </w:rPr>
  </w:style>
  <w:style w:type="paragraph" w:styleId="TOC4">
    <w:name w:val="toc 4"/>
    <w:basedOn w:val="a5"/>
    <w:next w:val="a5"/>
    <w:uiPriority w:val="39"/>
    <w:semiHidden/>
    <w:unhideWhenUsed/>
    <w:qFormat/>
    <w:pPr>
      <w:ind w:left="630"/>
      <w:jc w:val="left"/>
    </w:pPr>
    <w:rPr>
      <w:rFonts w:asciiTheme="minorHAnsi" w:hAnsiTheme="minorHAnsi"/>
      <w:sz w:val="18"/>
      <w:szCs w:val="18"/>
    </w:rPr>
  </w:style>
  <w:style w:type="paragraph" w:styleId="TOC6">
    <w:name w:val="toc 6"/>
    <w:basedOn w:val="a5"/>
    <w:next w:val="a5"/>
    <w:uiPriority w:val="39"/>
    <w:semiHidden/>
    <w:unhideWhenUsed/>
    <w:qFormat/>
    <w:pPr>
      <w:ind w:left="1050"/>
      <w:jc w:val="left"/>
    </w:pPr>
    <w:rPr>
      <w:rFonts w:asciiTheme="minorHAnsi" w:hAnsiTheme="minorHAnsi"/>
      <w:sz w:val="18"/>
      <w:szCs w:val="18"/>
    </w:rPr>
  </w:style>
  <w:style w:type="paragraph" w:styleId="TOC2">
    <w:name w:val="toc 2"/>
    <w:basedOn w:val="a5"/>
    <w:next w:val="a5"/>
    <w:uiPriority w:val="39"/>
    <w:qFormat/>
    <w:pPr>
      <w:ind w:left="210"/>
      <w:jc w:val="left"/>
    </w:pPr>
    <w:rPr>
      <w:rFonts w:asciiTheme="minorHAnsi" w:hAnsiTheme="minorHAnsi"/>
      <w:smallCaps/>
      <w:sz w:val="20"/>
    </w:rPr>
  </w:style>
  <w:style w:type="paragraph" w:styleId="TOC9">
    <w:name w:val="toc 9"/>
    <w:basedOn w:val="a5"/>
    <w:next w:val="a5"/>
    <w:uiPriority w:val="39"/>
    <w:semiHidden/>
    <w:unhideWhenUsed/>
    <w:qFormat/>
    <w:pPr>
      <w:ind w:left="1680"/>
      <w:jc w:val="left"/>
    </w:pPr>
    <w:rPr>
      <w:rFonts w:asciiTheme="minorHAnsi" w:hAnsiTheme="minorHAnsi"/>
      <w:sz w:val="18"/>
      <w:szCs w:val="18"/>
    </w:rPr>
  </w:style>
  <w:style w:type="character" w:styleId="af3">
    <w:name w:val="Hyperlink"/>
    <w:uiPriority w:val="99"/>
    <w:qFormat/>
    <w:rPr>
      <w:color w:val="0000FF"/>
      <w:u w:val="single"/>
    </w:rPr>
  </w:style>
  <w:style w:type="character" w:styleId="af4">
    <w:name w:val="annotation reference"/>
    <w:qFormat/>
    <w:rPr>
      <w:sz w:val="21"/>
      <w:szCs w:val="21"/>
    </w:rPr>
  </w:style>
  <w:style w:type="paragraph" w:styleId="af5">
    <w:name w:val="List Paragraph"/>
    <w:basedOn w:val="a5"/>
    <w:uiPriority w:val="34"/>
    <w:qFormat/>
    <w:pPr>
      <w:ind w:firstLineChars="200" w:firstLine="420"/>
    </w:pPr>
  </w:style>
  <w:style w:type="character" w:customStyle="1" w:styleId="af2">
    <w:name w:val="页眉 字符"/>
    <w:basedOn w:val="a6"/>
    <w:link w:val="af1"/>
    <w:uiPriority w:val="99"/>
    <w:qFormat/>
    <w:rPr>
      <w:rFonts w:ascii="Times New Roman" w:eastAsia="宋体" w:hAnsi="Times New Roman" w:cs="Times New Roman"/>
      <w:sz w:val="18"/>
      <w:szCs w:val="18"/>
    </w:rPr>
  </w:style>
  <w:style w:type="character" w:customStyle="1" w:styleId="af0">
    <w:name w:val="页脚 字符"/>
    <w:basedOn w:val="a6"/>
    <w:link w:val="af"/>
    <w:uiPriority w:val="99"/>
    <w:qFormat/>
    <w:rPr>
      <w:rFonts w:ascii="Times New Roman" w:eastAsia="宋体" w:hAnsi="Times New Roman" w:cs="Times New Roman"/>
      <w:sz w:val="18"/>
      <w:szCs w:val="18"/>
    </w:rPr>
  </w:style>
  <w:style w:type="character" w:customStyle="1" w:styleId="ae">
    <w:name w:val="批注框文本 字符"/>
    <w:basedOn w:val="a6"/>
    <w:link w:val="ad"/>
    <w:uiPriority w:val="99"/>
    <w:semiHidden/>
    <w:qFormat/>
    <w:rPr>
      <w:rFonts w:ascii="Times New Roman" w:eastAsia="宋体" w:hAnsi="Times New Roman" w:cs="Times New Roman"/>
      <w:sz w:val="18"/>
      <w:szCs w:val="18"/>
    </w:rPr>
  </w:style>
  <w:style w:type="character" w:customStyle="1" w:styleId="Char">
    <w:name w:val="批注文字 Char"/>
    <w:basedOn w:val="a6"/>
    <w:uiPriority w:val="99"/>
    <w:semiHidden/>
    <w:qFormat/>
    <w:rPr>
      <w:rFonts w:ascii="Times New Roman" w:eastAsia="宋体" w:hAnsi="Times New Roman" w:cs="Times New Roman"/>
      <w:szCs w:val="20"/>
    </w:rPr>
  </w:style>
  <w:style w:type="character" w:customStyle="1" w:styleId="aa">
    <w:name w:val="批注文字 字符"/>
    <w:link w:val="a9"/>
    <w:qFormat/>
    <w:rPr>
      <w:rFonts w:ascii="Times New Roman" w:eastAsia="宋体" w:hAnsi="Times New Roman" w:cs="Times New Roman"/>
      <w:kern w:val="0"/>
      <w:sz w:val="28"/>
      <w:szCs w:val="20"/>
    </w:rPr>
  </w:style>
  <w:style w:type="character" w:customStyle="1" w:styleId="ac">
    <w:name w:val="正文文本缩进 字符"/>
    <w:basedOn w:val="a6"/>
    <w:link w:val="ab"/>
    <w:qFormat/>
    <w:rPr>
      <w:rFonts w:ascii="Times New Roman" w:eastAsia="宋体" w:hAnsi="Times New Roman" w:cs="Times New Roman"/>
      <w:kern w:val="0"/>
      <w:szCs w:val="20"/>
    </w:rPr>
  </w:style>
  <w:style w:type="character" w:customStyle="1" w:styleId="10">
    <w:name w:val="标题 1 字符"/>
    <w:basedOn w:val="a6"/>
    <w:link w:val="1"/>
    <w:uiPriority w:val="9"/>
    <w:qFormat/>
    <w:rPr>
      <w:rFonts w:ascii="Times New Roman" w:eastAsia="宋体" w:hAnsi="Times New Roman" w:cs="Times New Roman"/>
      <w:b/>
      <w:bCs/>
      <w:kern w:val="44"/>
      <w:sz w:val="44"/>
      <w:szCs w:val="44"/>
    </w:rPr>
  </w:style>
  <w:style w:type="paragraph" w:customStyle="1" w:styleId="TOC10">
    <w:name w:val="TOC 标题1"/>
    <w:basedOn w:val="1"/>
    <w:next w:val="a5"/>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6">
    <w:name w:val="表格"/>
    <w:basedOn w:val="a5"/>
    <w:qFormat/>
    <w:pPr>
      <w:adjustRightInd w:val="0"/>
      <w:snapToGrid w:val="0"/>
      <w:spacing w:after="60" w:line="400" w:lineRule="atLeast"/>
      <w:jc w:val="center"/>
      <w:textAlignment w:val="center"/>
    </w:pPr>
    <w:rPr>
      <w:kern w:val="0"/>
    </w:rPr>
  </w:style>
  <w:style w:type="paragraph" w:customStyle="1" w:styleId="af7">
    <w:name w:val="一级条标题"/>
    <w:next w:val="a5"/>
    <w:qFormat/>
    <w:pPr>
      <w:spacing w:beforeLines="50" w:before="156" w:afterLines="50" w:after="156"/>
      <w:outlineLvl w:val="2"/>
    </w:pPr>
    <w:rPr>
      <w:rFonts w:ascii="黑体" w:eastAsia="黑体"/>
      <w:sz w:val="21"/>
      <w:szCs w:val="21"/>
    </w:rPr>
  </w:style>
  <w:style w:type="paragraph" w:customStyle="1" w:styleId="a">
    <w:name w:val="二级条标题"/>
    <w:basedOn w:val="af7"/>
    <w:next w:val="a5"/>
    <w:qFormat/>
    <w:pPr>
      <w:numPr>
        <w:ilvl w:val="2"/>
        <w:numId w:val="1"/>
      </w:numPr>
      <w:spacing w:before="50" w:after="50"/>
      <w:outlineLvl w:val="3"/>
    </w:pPr>
    <w:rPr>
      <w:rFonts w:ascii="Times New Roman" w:eastAsia="宋体"/>
    </w:rPr>
  </w:style>
  <w:style w:type="paragraph" w:customStyle="1" w:styleId="a3">
    <w:name w:val="三级条标题"/>
    <w:basedOn w:val="a"/>
    <w:next w:val="a5"/>
    <w:qFormat/>
    <w:pPr>
      <w:numPr>
        <w:ilvl w:val="1"/>
        <w:numId w:val="2"/>
      </w:numPr>
      <w:outlineLvl w:val="4"/>
    </w:pPr>
  </w:style>
  <w:style w:type="paragraph" w:customStyle="1" w:styleId="a2">
    <w:name w:val="列项——（一级）"/>
    <w:qFormat/>
    <w:pPr>
      <w:widowControl w:val="0"/>
      <w:numPr>
        <w:numId w:val="2"/>
      </w:numPr>
      <w:jc w:val="both"/>
    </w:pPr>
    <w:rPr>
      <w:rFonts w:ascii="宋体"/>
      <w:sz w:val="21"/>
    </w:rPr>
  </w:style>
  <w:style w:type="paragraph" w:customStyle="1" w:styleId="a4">
    <w:name w:val="列项◆（三级）"/>
    <w:basedOn w:val="a5"/>
    <w:qFormat/>
    <w:pPr>
      <w:widowControl/>
      <w:numPr>
        <w:ilvl w:val="2"/>
        <w:numId w:val="2"/>
      </w:numPr>
      <w:jc w:val="left"/>
    </w:pPr>
    <w:rPr>
      <w:rFonts w:ascii="宋体"/>
      <w:kern w:val="0"/>
      <w:sz w:val="24"/>
      <w:szCs w:val="21"/>
    </w:rPr>
  </w:style>
  <w:style w:type="paragraph" w:customStyle="1" w:styleId="a0">
    <w:name w:val="字母编号列项（一级）"/>
    <w:qFormat/>
    <w:pPr>
      <w:numPr>
        <w:numId w:val="3"/>
      </w:numPr>
      <w:jc w:val="both"/>
    </w:pPr>
    <w:rPr>
      <w:rFonts w:ascii="宋体"/>
      <w:sz w:val="21"/>
    </w:rPr>
  </w:style>
  <w:style w:type="paragraph" w:customStyle="1" w:styleId="a1">
    <w:name w:val="数字编号列项（二级）"/>
    <w:qFormat/>
    <w:pPr>
      <w:numPr>
        <w:ilvl w:val="1"/>
        <w:numId w:val="3"/>
      </w:numPr>
      <w:jc w:val="both"/>
    </w:pPr>
    <w:rPr>
      <w:rFonts w:ascii="宋体"/>
      <w:sz w:val="21"/>
    </w:rPr>
  </w:style>
  <w:style w:type="character" w:customStyle="1" w:styleId="x3e4">
    <w:name w:val="x3e4"/>
    <w:basedOn w:val="a6"/>
    <w:qFormat/>
    <w:rPr>
      <w:color w:val="FFFFCC"/>
    </w:rPr>
  </w:style>
  <w:style w:type="character" w:customStyle="1" w:styleId="poradisabled4">
    <w:name w:val="p_oradisabled4"/>
    <w:basedOn w:val="a6"/>
    <w:qFormat/>
    <w:rPr>
      <w:color w:val="FFFFCC"/>
    </w:rPr>
  </w:style>
  <w:style w:type="character" w:customStyle="1" w:styleId="oralinkdisabled2">
    <w:name w:val="oralinkdisabled2"/>
    <w:basedOn w:val="a6"/>
    <w:qFormat/>
  </w:style>
  <w:style w:type="character" w:customStyle="1" w:styleId="xi3">
    <w:name w:val="xi3"/>
    <w:basedOn w:val="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35DE4D2-E4D9-3748-8ADF-B86A7AFB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11</Pages>
  <Words>1000</Words>
  <Characters>5701</Characters>
  <Application>Microsoft Office Word</Application>
  <DocSecurity>0</DocSecurity>
  <Lines>47</Lines>
  <Paragraphs>13</Paragraphs>
  <ScaleCrop>false</ScaleCrop>
  <Company>Microsoft</Company>
  <LinksUpToDate>false</LinksUpToDate>
  <CharactersWithSpaces>6688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宁 赵</cp:lastModifiedBy>
  <cp:revision>84</cp:revision>
  <dcterms:created xsi:type="dcterms:W3CDTF">2020-07-17T00:49:00Z</dcterms:created>
  <dcterms:modified xsi:type="dcterms:W3CDTF">2023-10-06T06:40:00Z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3E9D4496FEF643F5B6FD279E7AD5CF55_12</vt:lpwstr>
  </property>
</Properties>
</file>