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widowControl/>
        <w:spacing w:before="1248" w:beforeLines="400" w:lineRule="auto" w:line="360"/>
        <w:jc w:val="center"/>
        <w:rPr>
          <w:rFonts w:ascii="黑体" w:cs="宋体" w:eastAsia="黑体" w:hAnsi="Times New Roman" w:hint="eastAsia"/>
          <w:b/>
          <w:bCs/>
          <w:kern w:val="0"/>
          <w:sz w:val="44"/>
          <w:szCs w:val="44"/>
        </w:rPr>
      </w:pPr>
      <w:r>
        <w:rPr>
          <w:rFonts w:ascii="黑体" w:cs="宋体" w:eastAsia="黑体" w:hAnsi="Times New Roman" w:hint="eastAsia"/>
          <w:b/>
          <w:bCs/>
          <w:kern w:val="0"/>
          <w:sz w:val="44"/>
          <w:szCs w:val="44"/>
        </w:rPr>
        <w:t>团 体 标 准</w:t>
      </w:r>
    </w:p>
    <w:p>
      <w:pPr>
        <w:pStyle w:val="style0"/>
        <w:widowControl/>
        <w:spacing w:before="312" w:beforeLines="100" w:lineRule="auto" w:line="360"/>
        <w:jc w:val="center"/>
        <w:rPr>
          <w:rFonts w:ascii="黑体" w:cs="宋体" w:eastAsia="黑体" w:hAnsi="Times New Roman" w:hint="eastAsia"/>
          <w:b/>
          <w:bCs/>
          <w:kern w:val="0"/>
          <w:sz w:val="44"/>
          <w:szCs w:val="44"/>
        </w:rPr>
      </w:pPr>
      <w:r>
        <w:rPr>
          <w:rFonts w:ascii="黑体" w:cs="宋体" w:eastAsia="黑体" w:hAnsi="Times New Roman" w:hint="eastAsia"/>
          <w:b/>
          <w:bCs/>
          <w:kern w:val="0"/>
          <w:sz w:val="44"/>
          <w:szCs w:val="44"/>
        </w:rPr>
        <w:t>纸浆装卸作业规程</w:t>
      </w:r>
    </w:p>
    <w:p>
      <w:pPr>
        <w:pStyle w:val="style0"/>
        <w:spacing w:before="312" w:beforeLines="100" w:lineRule="auto" w:line="360"/>
        <w:jc w:val="center"/>
        <w:rPr>
          <w:rFonts w:ascii="黑体" w:cs="Times New Roman" w:eastAsia="黑体" w:hAnsi="黑体"/>
          <w:b/>
          <w:bCs/>
          <w:sz w:val="28"/>
          <w:szCs w:val="22"/>
        </w:rPr>
      </w:pPr>
      <w:r>
        <w:rPr>
          <w:rFonts w:ascii="黑体" w:cs="Times New Roman" w:eastAsia="黑体" w:hAnsi="黑体"/>
          <w:b/>
          <w:bCs/>
          <w:sz w:val="28"/>
          <w:szCs w:val="22"/>
        </w:rPr>
        <w:t>Pulp Loading and unloading operation specification</w:t>
      </w:r>
    </w:p>
    <w:p>
      <w:pPr>
        <w:pStyle w:val="style0"/>
        <w:spacing w:before="312" w:beforeLines="100" w:lineRule="auto" w:line="360"/>
        <w:jc w:val="center"/>
        <w:rPr>
          <w:rFonts w:ascii="黑体" w:cs="Times New Roman" w:eastAsia="黑体" w:hAnsi="黑体"/>
          <w:b/>
          <w:bCs/>
          <w:sz w:val="28"/>
          <w:szCs w:val="22"/>
        </w:rPr>
      </w:pPr>
    </w:p>
    <w:p>
      <w:pPr>
        <w:pStyle w:val="style0"/>
        <w:spacing w:before="312" w:beforeLines="100" w:lineRule="auto" w:line="360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（征求意见稿）</w:t>
      </w:r>
    </w:p>
    <w:p>
      <w:pPr>
        <w:pStyle w:val="style0"/>
        <w:widowControl/>
        <w:spacing w:before="312" w:beforeLines="100" w:lineRule="auto" w:line="360"/>
        <w:jc w:val="center"/>
        <w:rPr>
          <w:rFonts w:ascii="黑体" w:cs="宋体" w:eastAsia="黑体" w:hint="eastAsia"/>
          <w:b/>
          <w:bCs/>
          <w:kern w:val="0"/>
          <w:sz w:val="44"/>
          <w:szCs w:val="44"/>
        </w:rPr>
      </w:pPr>
      <w:r>
        <w:rPr>
          <w:rFonts w:ascii="黑体" w:cs="宋体" w:eastAsia="黑体" w:hint="eastAsia"/>
          <w:b/>
          <w:bCs/>
          <w:kern w:val="0"/>
          <w:sz w:val="44"/>
          <w:szCs w:val="44"/>
        </w:rPr>
        <w:t>编制说明</w:t>
      </w:r>
    </w:p>
    <w:p>
      <w:pPr>
        <w:pStyle w:val="style0"/>
        <w:spacing w:before="4680" w:beforeLines="1500"/>
        <w:jc w:val="center"/>
        <w:rPr>
          <w:rFonts w:ascii="黑体" w:eastAsia="黑体" w:hAnsi="黑体" w:hint="eastAsia"/>
          <w:b/>
          <w:caps/>
          <w:spacing w:val="20"/>
          <w:sz w:val="32"/>
          <w:szCs w:val="32"/>
        </w:rPr>
      </w:pPr>
      <w:r>
        <w:rPr>
          <w:rFonts w:ascii="黑体" w:eastAsia="黑体" w:hAnsi="黑体" w:hint="eastAsia"/>
          <w:b/>
          <w:caps/>
          <w:spacing w:val="20"/>
          <w:sz w:val="32"/>
          <w:szCs w:val="32"/>
        </w:rPr>
        <w:t>标准起草组</w:t>
      </w:r>
    </w:p>
    <w:p>
      <w:pPr>
        <w:pStyle w:val="style0"/>
        <w:spacing w:before="312" w:beforeLines="100"/>
        <w:jc w:val="center"/>
        <w:rPr>
          <w:rFonts w:ascii="黑体" w:eastAsia="黑体" w:hAnsi="黑体" w:hint="eastAsia"/>
          <w:b/>
          <w:caps/>
          <w:spacing w:val="20"/>
          <w:sz w:val="32"/>
          <w:szCs w:val="32"/>
        </w:rPr>
      </w:pPr>
      <w:r>
        <w:rPr>
          <w:rFonts w:ascii="黑体" w:eastAsia="黑体" w:hAnsi="黑体" w:hint="eastAsia"/>
          <w:b/>
          <w:caps/>
          <w:spacing w:val="20"/>
          <w:sz w:val="32"/>
          <w:szCs w:val="32"/>
        </w:rPr>
        <w:t>20</w:t>
      </w:r>
      <w:r>
        <w:rPr>
          <w:rFonts w:ascii="黑体" w:eastAsia="黑体" w:hAnsi="黑体"/>
          <w:b/>
          <w:caps/>
          <w:spacing w:val="20"/>
          <w:sz w:val="32"/>
          <w:szCs w:val="32"/>
        </w:rPr>
        <w:t>2</w:t>
      </w:r>
      <w:r>
        <w:rPr>
          <w:rFonts w:ascii="黑体" w:eastAsia="黑体" w:hAnsi="黑体" w:hint="eastAsia"/>
          <w:b/>
          <w:caps/>
          <w:spacing w:val="20"/>
          <w:sz w:val="32"/>
          <w:szCs w:val="32"/>
          <w:lang w:val="en-US" w:eastAsia="zh-CN"/>
        </w:rPr>
        <w:t>3</w:t>
      </w:r>
      <w:r>
        <w:rPr>
          <w:rFonts w:ascii="黑体" w:eastAsia="黑体" w:hAnsi="黑体" w:hint="eastAsia"/>
          <w:b/>
          <w:caps/>
          <w:spacing w:val="20"/>
          <w:sz w:val="32"/>
          <w:szCs w:val="32"/>
        </w:rPr>
        <w:t>年</w:t>
      </w:r>
      <w:r>
        <w:rPr>
          <w:rFonts w:ascii="黑体" w:eastAsia="黑体" w:hAnsi="黑体"/>
          <w:b/>
          <w:caps/>
          <w:spacing w:val="20"/>
          <w:sz w:val="32"/>
          <w:szCs w:val="32"/>
        </w:rPr>
        <w:t>0</w:t>
      </w:r>
      <w:r>
        <w:rPr>
          <w:rFonts w:ascii="黑体" w:eastAsia="黑体" w:hAnsi="黑体" w:hint="eastAsia"/>
          <w:b/>
          <w:caps/>
          <w:spacing w:val="20"/>
          <w:sz w:val="32"/>
          <w:szCs w:val="32"/>
          <w:lang w:val="en-US" w:eastAsia="zh-CN"/>
        </w:rPr>
        <w:t>9</w:t>
      </w:r>
      <w:r>
        <w:rPr>
          <w:rFonts w:ascii="黑体" w:eastAsia="黑体" w:hAnsi="黑体" w:hint="eastAsia"/>
          <w:b/>
          <w:caps/>
          <w:spacing w:val="20"/>
          <w:sz w:val="32"/>
          <w:szCs w:val="32"/>
        </w:rPr>
        <w:t>月</w:t>
      </w:r>
    </w:p>
    <w:p>
      <w:pPr>
        <w:pStyle w:val="style0"/>
        <w:jc w:val="center"/>
        <w:rPr/>
      </w:pPr>
    </w:p>
    <w:p>
      <w:pPr>
        <w:pStyle w:val="style0"/>
        <w:spacing w:after="312" w:afterLines="100"/>
        <w:jc w:val="center"/>
        <w:rPr>
          <w:rFonts w:ascii="黑体" w:eastAsia="黑体" w:hAnsi="黑体"/>
          <w:b/>
          <w:bCs/>
          <w:sz w:val="28"/>
          <w:szCs w:val="28"/>
          <w:lang w:val="zh-CN"/>
        </w:rPr>
      </w:pPr>
      <w:r>
        <w:br w:type="page"/>
      </w:r>
      <w:r>
        <w:rPr>
          <w:rFonts w:ascii="黑体" w:eastAsia="黑体" w:hAnsi="黑体"/>
          <w:b/>
          <w:bCs/>
          <w:sz w:val="28"/>
          <w:szCs w:val="28"/>
          <w:lang w:val="zh-CN"/>
        </w:rPr>
        <w:t>目</w:t>
      </w:r>
      <w:r>
        <w:rPr>
          <w:rFonts w:ascii="黑体" w:eastAsia="黑体" w:hAnsi="黑体" w:hint="eastAsia"/>
          <w:b/>
          <w:bCs/>
          <w:sz w:val="28"/>
          <w:szCs w:val="28"/>
          <w:lang w:val="zh-CN"/>
        </w:rPr>
        <w:t xml:space="preserve"> </w:t>
      </w:r>
      <w:r>
        <w:rPr>
          <w:rFonts w:ascii="黑体" w:eastAsia="黑体" w:hAnsi="黑体"/>
          <w:b/>
          <w:bCs/>
          <w:sz w:val="28"/>
          <w:szCs w:val="28"/>
          <w:lang w:val="zh-CN"/>
        </w:rPr>
        <w:t>录</w:t>
      </w:r>
    </w:p>
    <w:bookmarkStart w:id="0" w:name="_Toc26709_WPSOffice_Type1"/>
    <w:p>
      <w:pPr>
        <w:pStyle w:val="style0"/>
        <w:spacing w:before="0" w:after="0" w:lineRule="auto" w:line="240"/>
        <w:ind w:left="0" w:leftChars="0" w:right="0" w:rightChars="0" w:firstLine="0" w:firstLineChars="0"/>
        <w:jc w:val="center"/>
        <w:rPr>
          <w:rFonts w:ascii="宋体" w:cs="宋体" w:eastAsia="宋体" w:hAnsi="宋体" w:hint="eastAsia"/>
          <w:sz w:val="28"/>
          <w:szCs w:val="28"/>
        </w:rPr>
      </w:pPr>
    </w:p>
    <w:p>
      <w:pPr>
        <w:pStyle w:val="style4102"/>
        <w:tabs>
          <w:tab w:val="right" w:leader="dot" w:pos="9354"/>
        </w:tabs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</w:rPr>
        <w:fldChar w:fldCharType="begin"/>
      </w:r>
      <w:r>
        <w:rPr>
          <w:rFonts w:ascii="宋体" w:cs="宋体" w:eastAsia="宋体" w:hAnsi="宋体" w:hint="eastAsia"/>
          <w:sz w:val="28"/>
          <w:szCs w:val="28"/>
        </w:rPr>
        <w:instrText xml:space="preserve"> HYPERLINK \l _Toc15391_WPSOffice_Level1 </w:instrText>
      </w:r>
      <w:r>
        <w:rPr>
          <w:rFonts w:ascii="宋体" w:cs="宋体" w:eastAsia="宋体" w:hAnsi="宋体" w:hint="eastAsia"/>
          <w:sz w:val="28"/>
          <w:szCs w:val="28"/>
        </w:rPr>
        <w:fldChar w:fldCharType="separate"/>
      </w:r>
      <w:r>
        <w:rPr>
          <w:rFonts w:ascii="宋体" w:cs="宋体" w:eastAsia="宋体" w:hAnsi="宋体" w:hint="eastAsia"/>
          <w:sz w:val="28"/>
          <w:szCs w:val="28"/>
        </w:rPr>
        <w:t>一、工作简况</w:t>
      </w:r>
      <w:r>
        <w:rPr>
          <w:rFonts w:ascii="宋体" w:cs="宋体" w:eastAsia="宋体" w:hAnsi="宋体" w:hint="eastAsia"/>
          <w:sz w:val="28"/>
          <w:szCs w:val="28"/>
        </w:rPr>
        <w:tab/>
      </w:r>
      <w:bookmarkStart w:id="1" w:name="_Toc15391_WPSOffice_Level1Page"/>
      <w:r>
        <w:rPr>
          <w:rFonts w:ascii="宋体" w:cs="宋体" w:eastAsia="宋体" w:hAnsi="宋体" w:hint="eastAsia"/>
          <w:sz w:val="28"/>
          <w:szCs w:val="28"/>
        </w:rPr>
        <w:t>2</w:t>
      </w:r>
      <w:bookmarkEnd w:id="1"/>
      <w:r>
        <w:rPr>
          <w:rFonts w:ascii="宋体" w:cs="宋体" w:eastAsia="宋体" w:hAnsi="宋体" w:hint="eastAsia"/>
          <w:sz w:val="28"/>
          <w:szCs w:val="28"/>
        </w:rPr>
        <w:fldChar w:fldCharType="end"/>
      </w:r>
    </w:p>
    <w:p>
      <w:pPr>
        <w:pStyle w:val="style4102"/>
        <w:tabs>
          <w:tab w:val="right" w:leader="dot" w:pos="9354"/>
        </w:tabs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</w:rPr>
        <w:fldChar w:fldCharType="begin"/>
      </w:r>
      <w:r>
        <w:rPr>
          <w:rFonts w:ascii="宋体" w:cs="宋体" w:eastAsia="宋体" w:hAnsi="宋体" w:hint="eastAsia"/>
          <w:sz w:val="28"/>
          <w:szCs w:val="28"/>
        </w:rPr>
        <w:instrText xml:space="preserve"> HYPERLINK \l _Toc26709_WPSOffice_Level1 </w:instrText>
      </w:r>
      <w:r>
        <w:rPr>
          <w:rFonts w:ascii="宋体" w:cs="宋体" w:eastAsia="宋体" w:hAnsi="宋体" w:hint="eastAsia"/>
          <w:sz w:val="28"/>
          <w:szCs w:val="28"/>
        </w:rPr>
        <w:fldChar w:fldCharType="separate"/>
      </w:r>
      <w:r>
        <w:rPr>
          <w:rFonts w:ascii="宋体" w:cs="宋体" w:eastAsia="宋体" w:hAnsi="宋体" w:hint="eastAsia"/>
          <w:sz w:val="28"/>
          <w:szCs w:val="28"/>
        </w:rPr>
        <w:t>二、标准编制原则和确定标准主要内容的依据</w:t>
      </w:r>
      <w:r>
        <w:rPr>
          <w:rFonts w:ascii="宋体" w:cs="宋体" w:eastAsia="宋体" w:hAnsi="宋体" w:hint="eastAsia"/>
          <w:sz w:val="28"/>
          <w:szCs w:val="28"/>
        </w:rPr>
        <w:tab/>
      </w:r>
      <w:bookmarkStart w:id="2" w:name="_Toc26709_WPSOffice_Level1Page"/>
      <w:r>
        <w:rPr>
          <w:rFonts w:ascii="宋体" w:cs="宋体" w:eastAsia="宋体" w:hAnsi="宋体" w:hint="eastAsia"/>
          <w:sz w:val="28"/>
          <w:szCs w:val="28"/>
        </w:rPr>
        <w:t>5</w:t>
      </w:r>
      <w:bookmarkEnd w:id="2"/>
      <w:r>
        <w:rPr>
          <w:rFonts w:ascii="宋体" w:cs="宋体" w:eastAsia="宋体" w:hAnsi="宋体" w:hint="eastAsia"/>
          <w:sz w:val="28"/>
          <w:szCs w:val="28"/>
        </w:rPr>
        <w:fldChar w:fldCharType="end"/>
      </w:r>
    </w:p>
    <w:p>
      <w:pPr>
        <w:pStyle w:val="style4102"/>
        <w:tabs>
          <w:tab w:val="right" w:leader="dot" w:pos="9354"/>
        </w:tabs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</w:rPr>
        <w:fldChar w:fldCharType="begin"/>
      </w:r>
      <w:r>
        <w:rPr>
          <w:rFonts w:ascii="宋体" w:cs="宋体" w:eastAsia="宋体" w:hAnsi="宋体" w:hint="eastAsia"/>
          <w:sz w:val="28"/>
          <w:szCs w:val="28"/>
        </w:rPr>
        <w:instrText xml:space="preserve"> HYPERLINK \l _Toc12512_WPSOffice_Level1 </w:instrText>
      </w:r>
      <w:r>
        <w:rPr>
          <w:rFonts w:ascii="宋体" w:cs="宋体" w:eastAsia="宋体" w:hAnsi="宋体" w:hint="eastAsia"/>
          <w:sz w:val="28"/>
          <w:szCs w:val="28"/>
        </w:rPr>
        <w:fldChar w:fldCharType="separate"/>
      </w:r>
      <w:r>
        <w:rPr>
          <w:rFonts w:ascii="宋体" w:cs="宋体" w:eastAsia="宋体" w:hAnsi="宋体" w:hint="eastAsia"/>
          <w:sz w:val="28"/>
          <w:szCs w:val="28"/>
        </w:rPr>
        <w:t>三、预期的经济效果</w:t>
      </w:r>
      <w:r>
        <w:rPr>
          <w:rFonts w:ascii="宋体" w:cs="宋体" w:eastAsia="宋体" w:hAnsi="宋体" w:hint="eastAsia"/>
          <w:sz w:val="28"/>
          <w:szCs w:val="28"/>
        </w:rPr>
        <w:tab/>
      </w:r>
      <w:bookmarkStart w:id="3" w:name="_Toc12512_WPSOffice_Level1Page"/>
      <w:r>
        <w:rPr>
          <w:rFonts w:ascii="宋体" w:cs="宋体" w:eastAsia="宋体" w:hAnsi="宋体" w:hint="eastAsia"/>
          <w:sz w:val="28"/>
          <w:szCs w:val="28"/>
        </w:rPr>
        <w:t>7</w:t>
      </w:r>
      <w:bookmarkEnd w:id="3"/>
      <w:r>
        <w:rPr>
          <w:rFonts w:ascii="宋体" w:cs="宋体" w:eastAsia="宋体" w:hAnsi="宋体" w:hint="eastAsia"/>
          <w:sz w:val="28"/>
          <w:szCs w:val="28"/>
        </w:rPr>
        <w:fldChar w:fldCharType="end"/>
      </w:r>
    </w:p>
    <w:p>
      <w:pPr>
        <w:pStyle w:val="style4102"/>
        <w:tabs>
          <w:tab w:val="right" w:leader="dot" w:pos="9354"/>
        </w:tabs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</w:rPr>
        <w:fldChar w:fldCharType="begin"/>
      </w:r>
      <w:r>
        <w:rPr>
          <w:rFonts w:ascii="宋体" w:cs="宋体" w:eastAsia="宋体" w:hAnsi="宋体" w:hint="eastAsia"/>
          <w:sz w:val="28"/>
          <w:szCs w:val="28"/>
        </w:rPr>
        <w:instrText xml:space="preserve"> HYPERLINK \l _Toc2692_WPSOffice_Level1 </w:instrText>
      </w:r>
      <w:r>
        <w:rPr>
          <w:rFonts w:ascii="宋体" w:cs="宋体" w:eastAsia="宋体" w:hAnsi="宋体" w:hint="eastAsia"/>
          <w:sz w:val="28"/>
          <w:szCs w:val="28"/>
        </w:rPr>
        <w:fldChar w:fldCharType="separate"/>
      </w:r>
      <w:r>
        <w:rPr>
          <w:rFonts w:ascii="宋体" w:cs="宋体" w:eastAsia="宋体" w:hAnsi="宋体" w:hint="eastAsia"/>
          <w:sz w:val="28"/>
          <w:szCs w:val="28"/>
        </w:rPr>
        <w:t>四、采用国际标准和国外先进标准的程度</w:t>
      </w:r>
      <w:r>
        <w:rPr>
          <w:rFonts w:ascii="宋体" w:cs="宋体" w:eastAsia="宋体" w:hAnsi="宋体" w:hint="eastAsia"/>
          <w:sz w:val="28"/>
          <w:szCs w:val="28"/>
        </w:rPr>
        <w:tab/>
      </w:r>
      <w:bookmarkStart w:id="4" w:name="_Toc2692_WPSOffice_Level1Page"/>
      <w:r>
        <w:rPr>
          <w:rFonts w:ascii="宋体" w:cs="宋体" w:eastAsia="宋体" w:hAnsi="宋体" w:hint="eastAsia"/>
          <w:sz w:val="28"/>
          <w:szCs w:val="28"/>
        </w:rPr>
        <w:t>7</w:t>
      </w:r>
      <w:bookmarkEnd w:id="4"/>
      <w:r>
        <w:rPr>
          <w:rFonts w:ascii="宋体" w:cs="宋体" w:eastAsia="宋体" w:hAnsi="宋体" w:hint="eastAsia"/>
          <w:sz w:val="28"/>
          <w:szCs w:val="28"/>
        </w:rPr>
        <w:fldChar w:fldCharType="end"/>
      </w:r>
    </w:p>
    <w:p>
      <w:pPr>
        <w:pStyle w:val="style4102"/>
        <w:tabs>
          <w:tab w:val="right" w:leader="dot" w:pos="9354"/>
        </w:tabs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</w:rPr>
        <w:fldChar w:fldCharType="begin"/>
      </w:r>
      <w:r>
        <w:rPr>
          <w:rFonts w:ascii="宋体" w:cs="宋体" w:eastAsia="宋体" w:hAnsi="宋体" w:hint="eastAsia"/>
          <w:sz w:val="28"/>
          <w:szCs w:val="28"/>
        </w:rPr>
        <w:instrText xml:space="preserve"> HYPERLINK \l _Toc24314_WPSOffice_Level1 </w:instrText>
      </w:r>
      <w:r>
        <w:rPr>
          <w:rFonts w:ascii="宋体" w:cs="宋体" w:eastAsia="宋体" w:hAnsi="宋体" w:hint="eastAsia"/>
          <w:sz w:val="28"/>
          <w:szCs w:val="28"/>
        </w:rPr>
        <w:fldChar w:fldCharType="separate"/>
      </w:r>
      <w:r>
        <w:rPr>
          <w:rFonts w:ascii="宋体" w:cs="宋体" w:eastAsia="宋体" w:hAnsi="宋体" w:hint="eastAsia"/>
          <w:sz w:val="28"/>
          <w:szCs w:val="28"/>
        </w:rPr>
        <w:t>五、与有关的现行法律、法规和强制性标准的关系</w:t>
      </w:r>
      <w:r>
        <w:rPr>
          <w:rFonts w:ascii="宋体" w:cs="宋体" w:eastAsia="宋体" w:hAnsi="宋体" w:hint="eastAsia"/>
          <w:sz w:val="28"/>
          <w:szCs w:val="28"/>
        </w:rPr>
        <w:tab/>
      </w:r>
      <w:bookmarkStart w:id="5" w:name="_Toc24314_WPSOffice_Level1Page"/>
      <w:r>
        <w:rPr>
          <w:rFonts w:ascii="宋体" w:cs="宋体" w:eastAsia="宋体" w:hAnsi="宋体" w:hint="eastAsia"/>
          <w:sz w:val="28"/>
          <w:szCs w:val="28"/>
        </w:rPr>
        <w:t>7</w:t>
      </w:r>
      <w:bookmarkEnd w:id="5"/>
      <w:r>
        <w:rPr>
          <w:rFonts w:ascii="宋体" w:cs="宋体" w:eastAsia="宋体" w:hAnsi="宋体" w:hint="eastAsia"/>
          <w:sz w:val="28"/>
          <w:szCs w:val="28"/>
        </w:rPr>
        <w:fldChar w:fldCharType="end"/>
      </w:r>
    </w:p>
    <w:p>
      <w:pPr>
        <w:pStyle w:val="style4102"/>
        <w:tabs>
          <w:tab w:val="right" w:leader="dot" w:pos="9354"/>
        </w:tabs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</w:rPr>
        <w:fldChar w:fldCharType="begin"/>
      </w:r>
      <w:r>
        <w:rPr>
          <w:rFonts w:ascii="宋体" w:cs="宋体" w:eastAsia="宋体" w:hAnsi="宋体" w:hint="eastAsia"/>
          <w:sz w:val="28"/>
          <w:szCs w:val="28"/>
        </w:rPr>
        <w:instrText xml:space="preserve"> HYPERLINK \l _Toc3047_WPSOffice_Level1 </w:instrText>
      </w:r>
      <w:r>
        <w:rPr>
          <w:rFonts w:ascii="宋体" w:cs="宋体" w:eastAsia="宋体" w:hAnsi="宋体" w:hint="eastAsia"/>
          <w:sz w:val="28"/>
          <w:szCs w:val="28"/>
        </w:rPr>
        <w:fldChar w:fldCharType="separate"/>
      </w:r>
      <w:r>
        <w:rPr>
          <w:rFonts w:ascii="宋体" w:cs="宋体" w:eastAsia="宋体" w:hAnsi="宋体" w:hint="eastAsia"/>
          <w:sz w:val="28"/>
          <w:szCs w:val="28"/>
        </w:rPr>
        <w:t>六、重大分歧意见的处理经过和依据</w:t>
      </w:r>
      <w:r>
        <w:rPr>
          <w:rFonts w:ascii="宋体" w:cs="宋体" w:eastAsia="宋体" w:hAnsi="宋体" w:hint="eastAsia"/>
          <w:sz w:val="28"/>
          <w:szCs w:val="28"/>
        </w:rPr>
        <w:tab/>
      </w:r>
      <w:bookmarkStart w:id="6" w:name="_Toc3047_WPSOffice_Level1Page"/>
      <w:r>
        <w:rPr>
          <w:rFonts w:ascii="宋体" w:cs="宋体" w:eastAsia="宋体" w:hAnsi="宋体" w:hint="eastAsia"/>
          <w:sz w:val="28"/>
          <w:szCs w:val="28"/>
        </w:rPr>
        <w:t>7</w:t>
      </w:r>
      <w:bookmarkEnd w:id="6"/>
      <w:r>
        <w:rPr>
          <w:rFonts w:ascii="宋体" w:cs="宋体" w:eastAsia="宋体" w:hAnsi="宋体" w:hint="eastAsia"/>
          <w:sz w:val="28"/>
          <w:szCs w:val="28"/>
        </w:rPr>
        <w:fldChar w:fldCharType="end"/>
      </w:r>
    </w:p>
    <w:p>
      <w:pPr>
        <w:pStyle w:val="style4102"/>
        <w:tabs>
          <w:tab w:val="right" w:leader="dot" w:pos="9354"/>
        </w:tabs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</w:rPr>
        <w:fldChar w:fldCharType="begin"/>
      </w:r>
      <w:r>
        <w:rPr>
          <w:rFonts w:ascii="宋体" w:cs="宋体" w:eastAsia="宋体" w:hAnsi="宋体" w:hint="eastAsia"/>
          <w:sz w:val="28"/>
          <w:szCs w:val="28"/>
        </w:rPr>
        <w:instrText xml:space="preserve"> HYPERLINK \l _Toc23272_WPSOffice_Level1 </w:instrText>
      </w:r>
      <w:r>
        <w:rPr>
          <w:rFonts w:ascii="宋体" w:cs="宋体" w:eastAsia="宋体" w:hAnsi="宋体" w:hint="eastAsia"/>
          <w:sz w:val="28"/>
          <w:szCs w:val="28"/>
        </w:rPr>
        <w:fldChar w:fldCharType="separate"/>
      </w:r>
      <w:r>
        <w:rPr>
          <w:rFonts w:ascii="宋体" w:cs="宋体" w:eastAsia="宋体" w:hAnsi="宋体" w:hint="eastAsia"/>
          <w:sz w:val="28"/>
          <w:szCs w:val="28"/>
        </w:rPr>
        <w:t>七、废止现行有关标准的建议</w:t>
      </w:r>
      <w:r>
        <w:rPr>
          <w:rFonts w:ascii="宋体" w:cs="宋体" w:eastAsia="宋体" w:hAnsi="宋体" w:hint="eastAsia"/>
          <w:sz w:val="28"/>
          <w:szCs w:val="28"/>
        </w:rPr>
        <w:tab/>
      </w:r>
      <w:bookmarkStart w:id="7" w:name="_Toc23272_WPSOffice_Level1Page"/>
      <w:r>
        <w:rPr>
          <w:rFonts w:ascii="宋体" w:cs="宋体" w:eastAsia="宋体" w:hAnsi="宋体" w:hint="eastAsia"/>
          <w:sz w:val="28"/>
          <w:szCs w:val="28"/>
        </w:rPr>
        <w:t>7</w:t>
      </w:r>
      <w:bookmarkEnd w:id="7"/>
      <w:r>
        <w:rPr>
          <w:rFonts w:ascii="宋体" w:cs="宋体" w:eastAsia="宋体" w:hAnsi="宋体" w:hint="eastAsia"/>
          <w:sz w:val="28"/>
          <w:szCs w:val="28"/>
        </w:rPr>
        <w:fldChar w:fldCharType="end"/>
      </w:r>
    </w:p>
    <w:p>
      <w:pPr>
        <w:pStyle w:val="style4102"/>
        <w:tabs>
          <w:tab w:val="right" w:leader="dot" w:pos="9354"/>
        </w:tabs>
        <w:rPr/>
      </w:pPr>
      <w:r>
        <w:rPr>
          <w:rFonts w:ascii="宋体" w:cs="宋体" w:eastAsia="宋体" w:hAnsi="宋体" w:hint="eastAsia"/>
          <w:sz w:val="28"/>
          <w:szCs w:val="28"/>
        </w:rPr>
        <w:fldChar w:fldCharType="begin"/>
      </w:r>
      <w:r>
        <w:rPr>
          <w:rFonts w:ascii="宋体" w:cs="宋体" w:eastAsia="宋体" w:hAnsi="宋体" w:hint="eastAsia"/>
          <w:sz w:val="28"/>
          <w:szCs w:val="28"/>
        </w:rPr>
        <w:instrText xml:space="preserve"> HYPERLINK \l _Toc11902_WPSOffice_Level1 </w:instrText>
      </w:r>
      <w:r>
        <w:rPr>
          <w:rFonts w:ascii="宋体" w:cs="宋体" w:eastAsia="宋体" w:hAnsi="宋体" w:hint="eastAsia"/>
          <w:sz w:val="28"/>
          <w:szCs w:val="28"/>
        </w:rPr>
        <w:fldChar w:fldCharType="separate"/>
      </w:r>
      <w:r>
        <w:rPr>
          <w:rFonts w:ascii="宋体" w:cs="宋体" w:eastAsia="宋体" w:hAnsi="宋体" w:hint="eastAsia"/>
          <w:sz w:val="28"/>
          <w:szCs w:val="28"/>
        </w:rPr>
        <w:t>八、其他应予说明的事项</w:t>
      </w:r>
      <w:r>
        <w:rPr>
          <w:rFonts w:ascii="宋体" w:cs="宋体" w:eastAsia="宋体" w:hAnsi="宋体" w:hint="eastAsia"/>
          <w:sz w:val="28"/>
          <w:szCs w:val="28"/>
        </w:rPr>
        <w:tab/>
      </w:r>
      <w:bookmarkStart w:id="8" w:name="_Toc11902_WPSOffice_Level1Page"/>
      <w:r>
        <w:rPr>
          <w:rFonts w:ascii="宋体" w:cs="宋体" w:eastAsia="宋体" w:hAnsi="宋体" w:hint="eastAsia"/>
          <w:sz w:val="28"/>
          <w:szCs w:val="28"/>
        </w:rPr>
        <w:t>7</w:t>
      </w:r>
      <w:bookmarkEnd w:id="8"/>
      <w:r>
        <w:rPr>
          <w:rFonts w:ascii="宋体" w:cs="宋体" w:eastAsia="宋体" w:hAnsi="宋体" w:hint="eastAsia"/>
          <w:sz w:val="28"/>
          <w:szCs w:val="28"/>
        </w:rPr>
        <w:fldChar w:fldCharType="end"/>
      </w:r>
      <w:bookmarkEnd w:id="0"/>
    </w:p>
    <w:p>
      <w:pPr>
        <w:pStyle w:val="style0"/>
        <w:bidi w:val="false"/>
        <w:rPr>
          <w:rFonts w:ascii="宋体" w:cs="宋体" w:eastAsia="宋体" w:hAnsi="宋体" w:hint="eastAsia"/>
          <w:sz w:val="28"/>
          <w:szCs w:val="28"/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p>
      <w:pPr>
        <w:pStyle w:val="style0"/>
        <w:bidi w:val="false"/>
        <w:rPr>
          <w:lang w:val="zh-CN"/>
        </w:rPr>
      </w:pPr>
    </w:p>
    <w:bookmarkStart w:id="9" w:name="_Toc69999678"/>
    <w:bookmarkStart w:id="10" w:name="_Toc15391_WPSOffice_Level1"/>
    <w:bookmarkStart w:id="11" w:name="_Toc483660122"/>
    <w:bookmarkStart w:id="12" w:name="_Toc89252253"/>
    <w:p>
      <w:pPr>
        <w:pStyle w:val="style1"/>
        <w:numPr>
          <w:ilvl w:val="0"/>
          <w:numId w:val="0"/>
        </w:numPr>
        <w:spacing w:before="200" w:after="200" w:lineRule="auto" w:line="360"/>
        <w:ind w:left="431" w:hanging="431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一、工</w:t>
      </w:r>
      <w:r>
        <w:rPr>
          <w:rFonts w:ascii="宋体" w:hAnsi="宋体"/>
          <w:sz w:val="24"/>
          <w:szCs w:val="24"/>
        </w:rPr>
        <w:t>作简况</w:t>
      </w:r>
      <w:bookmarkStart w:id="13" w:name="_Toc483660123"/>
      <w:bookmarkEnd w:id="9"/>
      <w:bookmarkEnd w:id="10"/>
      <w:bookmarkEnd w:id="11"/>
    </w:p>
    <w:p>
      <w:pPr>
        <w:pStyle w:val="style0"/>
        <w:spacing w:lineRule="auto" w:line="360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（一）任务来源</w:t>
      </w:r>
      <w:bookmarkEnd w:id="12"/>
      <w:bookmarkEnd w:id="13"/>
    </w:p>
    <w:p>
      <w:pPr>
        <w:pStyle w:val="style0"/>
        <w:spacing w:lineRule="auto" w:line="360"/>
        <w:ind w:firstLine="484" w:firstLineChars="202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根据中港协行字【2</w:t>
      </w:r>
      <w:r>
        <w:rPr>
          <w:rFonts w:ascii="宋体" w:hAnsi="宋体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  <w:highlight w:val="yellow"/>
          <w:lang w:val="en-US" w:eastAsia="zh-CN"/>
        </w:rPr>
        <w:t>**</w:t>
      </w:r>
      <w:r>
        <w:rPr>
          <w:rFonts w:ascii="宋体" w:hAnsi="宋体" w:hint="eastAsia"/>
          <w:sz w:val="24"/>
          <w:szCs w:val="24"/>
        </w:rPr>
        <w:t>】</w:t>
      </w:r>
      <w:r>
        <w:rPr>
          <w:rFonts w:ascii="宋体" w:cs="Times New Roman" w:eastAsia="宋体" w:hAnsi="宋体" w:hint="eastAsia"/>
          <w:sz w:val="24"/>
          <w:szCs w:val="24"/>
          <w:highlight w:val="yellow"/>
          <w:lang w:val="en-US" w:eastAsia="zh-CN"/>
        </w:rPr>
        <w:t>**</w:t>
      </w:r>
      <w:r>
        <w:rPr>
          <w:rFonts w:ascii="宋体" w:hAnsi="宋体" w:hint="eastAsia"/>
          <w:sz w:val="24"/>
          <w:szCs w:val="24"/>
        </w:rPr>
        <w:t>号《</w:t>
      </w:r>
      <w:r>
        <w:rPr>
          <w:rFonts w:ascii="宋体" w:hAnsi="宋体" w:hint="eastAsia"/>
          <w:sz w:val="24"/>
          <w:szCs w:val="24"/>
          <w:highlight w:val="none"/>
        </w:rPr>
        <w:t>中国港口协会</w:t>
      </w:r>
      <w:r>
        <w:rPr>
          <w:rFonts w:ascii="宋体" w:hAnsi="宋体" w:hint="eastAsia"/>
          <w:sz w:val="24"/>
          <w:szCs w:val="24"/>
        </w:rPr>
        <w:t>关于</w:t>
      </w:r>
      <w:r>
        <w:rPr>
          <w:rFonts w:ascii="宋体" w:hAnsi="宋体" w:hint="eastAsia"/>
          <w:sz w:val="24"/>
          <w:szCs w:val="24"/>
          <w:highlight w:val="none"/>
        </w:rPr>
        <w:t>开展2</w:t>
      </w:r>
      <w:r>
        <w:rPr>
          <w:rFonts w:ascii="宋体" w:hAnsi="宋体"/>
          <w:sz w:val="24"/>
          <w:szCs w:val="24"/>
          <w:highlight w:val="none"/>
        </w:rPr>
        <w:t>0</w:t>
      </w:r>
      <w:r>
        <w:rPr>
          <w:rFonts w:ascii="宋体" w:cs="Times New Roman" w:eastAsia="宋体" w:hAnsi="宋体" w:hint="eastAsia"/>
          <w:sz w:val="24"/>
          <w:szCs w:val="24"/>
          <w:highlight w:val="yellow"/>
          <w:lang w:val="en-US" w:eastAsia="zh-CN"/>
        </w:rPr>
        <w:t>**</w:t>
      </w:r>
      <w:r>
        <w:rPr>
          <w:rFonts w:ascii="宋体" w:hAnsi="宋体" w:hint="eastAsia"/>
          <w:sz w:val="24"/>
          <w:szCs w:val="24"/>
          <w:highlight w:val="none"/>
        </w:rPr>
        <w:t>年度</w:t>
      </w:r>
      <w:r>
        <w:rPr>
          <w:rFonts w:ascii="宋体" w:hAnsi="宋体" w:hint="eastAsia"/>
          <w:sz w:val="24"/>
          <w:szCs w:val="24"/>
        </w:rPr>
        <w:t>团体标准</w:t>
      </w:r>
      <w:r>
        <w:rPr>
          <w:rFonts w:ascii="宋体" w:hAnsi="宋体" w:hint="eastAsia"/>
          <w:sz w:val="24"/>
          <w:szCs w:val="24"/>
          <w:highlight w:val="none"/>
        </w:rPr>
        <w:t>项目征集工作</w:t>
      </w:r>
      <w:r>
        <w:rPr>
          <w:rFonts w:ascii="宋体" w:hAnsi="宋体" w:hint="eastAsia"/>
          <w:sz w:val="24"/>
          <w:szCs w:val="24"/>
        </w:rPr>
        <w:t>的通知》，由</w:t>
      </w:r>
      <w:r>
        <w:rPr>
          <w:rFonts w:ascii="宋体" w:hAnsi="宋体"/>
          <w:sz w:val="24"/>
          <w:szCs w:val="24"/>
        </w:rPr>
        <w:t>青岛港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集团</w:t>
      </w:r>
      <w:r>
        <w:rPr>
          <w:rFonts w:ascii="宋体" w:hAnsi="宋体" w:hint="eastAsia"/>
          <w:sz w:val="24"/>
          <w:szCs w:val="24"/>
        </w:rPr>
        <w:t>）有限</w:t>
      </w:r>
      <w:r>
        <w:rPr>
          <w:rFonts w:ascii="宋体" w:hAnsi="宋体"/>
          <w:sz w:val="24"/>
          <w:szCs w:val="24"/>
        </w:rPr>
        <w:t>公司</w:t>
      </w:r>
      <w:r>
        <w:rPr>
          <w:rFonts w:ascii="宋体" w:hAnsi="宋体" w:hint="eastAsia"/>
          <w:sz w:val="24"/>
          <w:szCs w:val="24"/>
        </w:rPr>
        <w:t>、青岛</w:t>
      </w:r>
      <w:r>
        <w:rPr>
          <w:rFonts w:ascii="宋体" w:hAnsi="宋体"/>
          <w:sz w:val="24"/>
          <w:szCs w:val="24"/>
        </w:rPr>
        <w:t>前湾</w:t>
      </w:r>
      <w:r>
        <w:rPr>
          <w:rFonts w:ascii="宋体" w:hAnsi="宋体" w:hint="eastAsia"/>
          <w:sz w:val="24"/>
          <w:szCs w:val="24"/>
          <w:lang w:val="en-US" w:eastAsia="zh-CN"/>
        </w:rPr>
        <w:t>西港联合</w:t>
      </w:r>
      <w:r>
        <w:rPr>
          <w:rFonts w:ascii="宋体" w:hAnsi="宋体"/>
          <w:sz w:val="24"/>
          <w:szCs w:val="24"/>
        </w:rPr>
        <w:t>码头有限责任公司</w:t>
      </w:r>
      <w:r>
        <w:rPr>
          <w:rFonts w:ascii="宋体" w:cs="Times New Roman" w:eastAsia="宋体" w:hAnsi="宋体" w:hint="eastAsia"/>
          <w:sz w:val="24"/>
          <w:szCs w:val="24"/>
          <w:highlight w:val="yellow"/>
          <w:lang w:val="en-US" w:eastAsia="zh-CN"/>
        </w:rPr>
        <w:t>*</w:t>
      </w:r>
      <w:r>
        <w:rPr>
          <w:rFonts w:ascii="宋体" w:hAnsi="宋体" w:hint="eastAsia"/>
          <w:sz w:val="24"/>
          <w:szCs w:val="24"/>
        </w:rPr>
        <w:t>家单位共同研究制定《</w:t>
      </w:r>
      <w:r>
        <w:rPr>
          <w:rFonts w:ascii="宋体" w:hAnsi="宋体" w:hint="eastAsia"/>
          <w:sz w:val="24"/>
          <w:szCs w:val="24"/>
          <w:lang w:val="en-US" w:eastAsia="zh-CN"/>
        </w:rPr>
        <w:t>纸浆作业规程</w:t>
      </w:r>
      <w:r>
        <w:rPr>
          <w:rFonts w:ascii="宋体" w:hAnsi="宋体" w:hint="eastAsia"/>
          <w:sz w:val="24"/>
          <w:szCs w:val="24"/>
        </w:rPr>
        <w:t>》团体标准</w:t>
      </w:r>
      <w:r>
        <w:rPr>
          <w:rFonts w:ascii="宋体" w:hAnsi="宋体"/>
          <w:sz w:val="24"/>
          <w:szCs w:val="24"/>
        </w:rPr>
        <w:t>。</w:t>
      </w:r>
    </w:p>
    <w:p>
      <w:pPr>
        <w:pStyle w:val="style0"/>
        <w:spacing w:lineRule="auto" w:line="36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（二）</w:t>
      </w:r>
      <w:r>
        <w:rPr>
          <w:rFonts w:ascii="宋体" w:hAnsi="宋体"/>
          <w:b/>
          <w:sz w:val="24"/>
          <w:szCs w:val="24"/>
        </w:rPr>
        <w:t>标准起草单位、起草人员及其所做的工作</w:t>
      </w:r>
    </w:p>
    <w:p>
      <w:pPr>
        <w:pStyle w:val="style4097"/>
        <w:numPr>
          <w:ilvl w:val="3"/>
          <w:numId w:val="2"/>
        </w:numPr>
        <w:tabs>
          <w:tab w:val="clear" w:pos="4201"/>
          <w:tab w:val="clear" w:pos="9298"/>
        </w:tabs>
        <w:spacing w:lineRule="auto" w:line="360"/>
        <w:ind w:left="0" w:firstLine="480"/>
        <w:jc w:val="left"/>
        <w:rPr>
          <w:rFonts w:hAnsi="宋体"/>
          <w:b/>
          <w:kern w:val="2"/>
          <w:sz w:val="24"/>
          <w:szCs w:val="24"/>
          <w:lang w:val="en-US" w:eastAsia="zh-CN"/>
        </w:rPr>
      </w:pPr>
      <w:r>
        <w:rPr>
          <w:rFonts w:hAnsi="宋体"/>
          <w:b/>
          <w:kern w:val="2"/>
          <w:sz w:val="24"/>
          <w:szCs w:val="24"/>
          <w:lang w:val="en-US" w:eastAsia="zh-CN"/>
        </w:rPr>
        <w:t>标准起草单位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标准起草单位为青岛港（集团）有限公司、青岛</w:t>
      </w:r>
      <w:r>
        <w:rPr>
          <w:rFonts w:ascii="宋体" w:hAnsi="宋体" w:hint="eastAsia"/>
          <w:sz w:val="24"/>
          <w:szCs w:val="24"/>
          <w:lang w:val="en-US" w:eastAsia="zh-CN"/>
        </w:rPr>
        <w:t>前湾西港联合码头有限责任公司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本标准编制过程中开展了</w:t>
      </w:r>
      <w:r>
        <w:rPr>
          <w:rFonts w:ascii="宋体" w:hAnsi="宋体" w:hint="eastAsia"/>
          <w:sz w:val="24"/>
          <w:szCs w:val="24"/>
        </w:rPr>
        <w:t>多家港口和企业</w:t>
      </w:r>
      <w:r>
        <w:rPr>
          <w:rFonts w:ascii="宋体" w:hAnsi="宋体"/>
          <w:sz w:val="24"/>
          <w:szCs w:val="24"/>
        </w:rPr>
        <w:t>的调研工作，多次赴现场调查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组织行业专家专题研讨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得到了相关单位的支持</w:t>
      </w:r>
      <w:r>
        <w:rPr>
          <w:rFonts w:ascii="宋体" w:hAnsi="宋体" w:hint="eastAsia"/>
          <w:sz w:val="24"/>
          <w:szCs w:val="24"/>
        </w:rPr>
        <w:t>和</w:t>
      </w:r>
      <w:r>
        <w:rPr>
          <w:rFonts w:ascii="宋体" w:hAnsi="宋体"/>
          <w:sz w:val="24"/>
          <w:szCs w:val="24"/>
        </w:rPr>
        <w:t>协助，取得了大量具有建设性的意见和建议，保证了本标准的编制质量。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eastAsia="宋体" w:hAnsi="宋体" w:hint="eastAsia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t>整个标准编制过程中，</w:t>
      </w:r>
      <w:r>
        <w:rPr>
          <w:rFonts w:ascii="宋体" w:hAnsi="宋体" w:hint="eastAsia"/>
          <w:sz w:val="24"/>
          <w:szCs w:val="24"/>
        </w:rPr>
        <w:t>青岛港（集团）有限公司负责</w:t>
      </w:r>
      <w:r>
        <w:rPr>
          <w:rFonts w:ascii="宋体" w:hAnsi="宋体"/>
          <w:sz w:val="24"/>
          <w:szCs w:val="24"/>
        </w:rPr>
        <w:t>项目的整体组织与协调，</w:t>
      </w:r>
      <w:r>
        <w:rPr>
          <w:rFonts w:ascii="宋体" w:hAnsi="宋体" w:hint="eastAsia"/>
          <w:sz w:val="24"/>
          <w:szCs w:val="24"/>
        </w:rPr>
        <w:t>推进项目</w:t>
      </w:r>
      <w:r>
        <w:rPr>
          <w:rFonts w:ascii="宋体" w:hAnsi="宋体"/>
          <w:sz w:val="24"/>
          <w:szCs w:val="24"/>
        </w:rPr>
        <w:t>阶段性成果的计划、落实与总结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负责项目研究工作大纲及</w:t>
      </w:r>
      <w:r>
        <w:rPr>
          <w:rFonts w:ascii="宋体" w:hAnsi="宋体" w:hint="eastAsia"/>
          <w:sz w:val="24"/>
          <w:szCs w:val="24"/>
        </w:rPr>
        <w:t>标准</w:t>
      </w:r>
      <w:r>
        <w:rPr>
          <w:rFonts w:ascii="宋体" w:hAnsi="宋体"/>
          <w:sz w:val="24"/>
          <w:szCs w:val="24"/>
        </w:rPr>
        <w:t>的编写工作</w:t>
      </w:r>
      <w:r>
        <w:rPr>
          <w:rFonts w:ascii="宋体" w:hAnsi="宋体" w:hint="eastAsia"/>
          <w:sz w:val="24"/>
          <w:szCs w:val="24"/>
        </w:rPr>
        <w:t>；青岛</w:t>
      </w:r>
      <w:r>
        <w:rPr>
          <w:rFonts w:ascii="宋体" w:hAnsi="宋体" w:hint="eastAsia"/>
          <w:sz w:val="24"/>
          <w:szCs w:val="24"/>
          <w:lang w:val="en-US" w:eastAsia="zh-CN"/>
        </w:rPr>
        <w:t>前湾西港联合码头有限责任公司</w:t>
      </w:r>
      <w:r>
        <w:rPr>
          <w:rFonts w:ascii="宋体" w:hAnsi="宋体" w:hint="eastAsia"/>
          <w:sz w:val="24"/>
          <w:szCs w:val="24"/>
        </w:rPr>
        <w:t>负责标准的系统构成和</w:t>
      </w:r>
      <w:r>
        <w:rPr>
          <w:rFonts w:ascii="宋体" w:hAnsi="宋体"/>
          <w:sz w:val="24"/>
          <w:szCs w:val="24"/>
        </w:rPr>
        <w:t>基本参数等相关</w:t>
      </w:r>
      <w:r>
        <w:rPr>
          <w:rFonts w:ascii="宋体" w:hAnsi="宋体" w:hint="eastAsia"/>
          <w:sz w:val="24"/>
          <w:szCs w:val="24"/>
        </w:rPr>
        <w:t>标准内容的</w:t>
      </w:r>
      <w:r>
        <w:rPr>
          <w:rFonts w:ascii="宋体" w:hAnsi="宋体"/>
          <w:sz w:val="24"/>
          <w:szCs w:val="24"/>
        </w:rPr>
        <w:t>研究</w:t>
      </w:r>
      <w:r>
        <w:rPr>
          <w:rFonts w:ascii="宋体" w:hAnsi="宋体" w:hint="eastAsia"/>
          <w:sz w:val="24"/>
          <w:szCs w:val="24"/>
        </w:rPr>
        <w:t>与编写工作</w:t>
      </w:r>
      <w:r>
        <w:rPr>
          <w:rFonts w:ascii="宋体" w:hAnsi="宋体" w:hint="eastAsia"/>
          <w:sz w:val="24"/>
          <w:szCs w:val="24"/>
          <w:lang w:eastAsia="zh-CN"/>
        </w:rPr>
        <w:t>。</w:t>
      </w:r>
    </w:p>
    <w:p>
      <w:pPr>
        <w:pStyle w:val="style4097"/>
        <w:numPr>
          <w:ilvl w:val="3"/>
          <w:numId w:val="2"/>
        </w:numPr>
        <w:tabs>
          <w:tab w:val="clear" w:pos="4201"/>
          <w:tab w:val="clear" w:pos="9298"/>
        </w:tabs>
        <w:spacing w:lineRule="auto" w:line="360"/>
        <w:ind w:left="0" w:firstLine="480"/>
        <w:jc w:val="left"/>
        <w:rPr>
          <w:rFonts w:hAnsi="宋体"/>
          <w:b/>
          <w:kern w:val="2"/>
          <w:sz w:val="24"/>
          <w:szCs w:val="24"/>
          <w:lang w:val="en-US" w:eastAsia="zh-CN"/>
        </w:rPr>
      </w:pPr>
      <w:r>
        <w:rPr>
          <w:rFonts w:hAnsi="宋体"/>
          <w:b/>
          <w:kern w:val="2"/>
          <w:sz w:val="24"/>
          <w:szCs w:val="24"/>
          <w:lang w:val="en-US" w:eastAsia="zh-CN"/>
        </w:rPr>
        <w:t>起草人员所做的工作</w:t>
      </w:r>
    </w:p>
    <w:p>
      <w:pPr>
        <w:pStyle w:val="style0"/>
        <w:widowControl/>
        <w:spacing w:after="156" w:afterLines="50"/>
        <w:jc w:val="center"/>
        <w:rPr>
          <w:rFonts w:hint="eastAsia"/>
        </w:rPr>
      </w:pPr>
      <w:r>
        <w:rPr>
          <w:rStyle w:val="style4098"/>
          <w:rFonts w:cs="宋体" w:hint="default"/>
        </w:rPr>
        <w:t>表 1 主要起草人、 单位及承担工作</w:t>
      </w:r>
    </w:p>
    <w:tbl>
      <w:tblPr>
        <w:tblStyle w:val="style105"/>
        <w:tblW w:w="9074" w:type="dxa"/>
        <w:jc w:val="center"/>
        <w:tblInd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992"/>
        <w:gridCol w:w="2268"/>
        <w:gridCol w:w="5103"/>
      </w:tblGrid>
      <w:tr>
        <w:trPr>
          <w:trHeight w:val="567" w:hRule="atLeast"/>
          <w:jc w:val="center"/>
        </w:trPr>
        <w:tc>
          <w:tcPr>
            <w:tcW w:w="711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style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承担工作</w:t>
            </w:r>
          </w:p>
        </w:tc>
      </w:tr>
      <w:tr>
        <w:tblPrEx/>
        <w:trPr>
          <w:trHeight w:val="567" w:hRule="atLeast"/>
          <w:jc w:val="center"/>
        </w:trPr>
        <w:tc>
          <w:tcPr>
            <w:tcW w:w="711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hint="eastAsia"/>
              </w:rPr>
              <w:t>杨佩军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青岛</w:t>
            </w: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前湾西港联合码头有限责任</w:t>
            </w:r>
            <w:r>
              <w:rPr>
                <w:rFonts w:ascii="宋体" w:cs="宋体" w:hAnsi="宋体"/>
                <w:sz w:val="24"/>
                <w:szCs w:val="24"/>
              </w:rPr>
              <w:t>公司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负责标准的组织、协调工作、需求分析及标准1</w:t>
            </w:r>
            <w:r>
              <w:rPr>
                <w:rFonts w:ascii="宋体" w:cs="宋体" w:hAnsi="宋体"/>
                <w:sz w:val="24"/>
                <w:szCs w:val="24"/>
              </w:rPr>
              <w:t>-</w:t>
            </w: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8</w:t>
            </w:r>
            <w:r>
              <w:rPr>
                <w:rFonts w:ascii="宋体" w:cs="宋体" w:hAnsi="宋体" w:hint="eastAsia"/>
                <w:sz w:val="24"/>
                <w:szCs w:val="24"/>
              </w:rPr>
              <w:t>章内容的技术研讨与编写指导</w:t>
            </w:r>
          </w:p>
        </w:tc>
      </w:tr>
      <w:tr>
        <w:tblPrEx/>
        <w:trPr>
          <w:trHeight w:val="1246" w:hRule="atLeast"/>
          <w:jc w:val="center"/>
        </w:trPr>
        <w:tc>
          <w:tcPr>
            <w:tcW w:w="711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hint="eastAsia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张  蕾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青岛港国际股份有限公司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负责标准总体技术内容的确定；</w:t>
            </w:r>
          </w:p>
        </w:tc>
      </w:tr>
      <w:tr>
        <w:tblPrEx/>
        <w:trPr>
          <w:trHeight w:val="1246" w:hRule="atLeast"/>
          <w:jc w:val="center"/>
        </w:trPr>
        <w:tc>
          <w:tcPr>
            <w:tcW w:w="711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default"/>
                <w:sz w:val="24"/>
                <w:szCs w:val="24"/>
                <w:lang w:val="en-US" w:eastAsia="zh-CN"/>
              </w:rPr>
            </w:pP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徐  斌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青岛港国际股份有限公司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</w:p>
        </w:tc>
      </w:tr>
      <w:tr>
        <w:tblPrEx/>
        <w:trPr>
          <w:trHeight w:val="1246" w:hRule="atLeast"/>
          <w:jc w:val="center"/>
        </w:trPr>
        <w:tc>
          <w:tcPr>
            <w:tcW w:w="711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default"/>
                <w:sz w:val="24"/>
                <w:szCs w:val="24"/>
                <w:lang w:val="en-US" w:eastAsia="zh-CN"/>
              </w:rPr>
            </w:pP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王宝君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青岛</w:t>
            </w: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前湾西港联合码头有限责任</w:t>
            </w:r>
            <w:r>
              <w:rPr>
                <w:rFonts w:ascii="宋体" w:cs="宋体" w:hAnsi="宋体"/>
                <w:sz w:val="24"/>
                <w:szCs w:val="24"/>
              </w:rPr>
              <w:t>公司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</w:p>
        </w:tc>
      </w:tr>
      <w:tr>
        <w:tblPrEx/>
        <w:trPr>
          <w:trHeight w:val="1246" w:hRule="atLeast"/>
          <w:jc w:val="center"/>
        </w:trPr>
        <w:tc>
          <w:tcPr>
            <w:tcW w:w="711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default"/>
                <w:sz w:val="24"/>
                <w:szCs w:val="24"/>
                <w:lang w:val="en-US" w:eastAsia="zh-CN"/>
              </w:rPr>
            </w:pP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郭传勇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青岛</w:t>
            </w: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前湾西港联合码头有限责任</w:t>
            </w:r>
            <w:r>
              <w:rPr>
                <w:rFonts w:ascii="宋体" w:cs="宋体" w:hAnsi="宋体"/>
                <w:sz w:val="24"/>
                <w:szCs w:val="24"/>
              </w:rPr>
              <w:t>公司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</w:p>
        </w:tc>
      </w:tr>
      <w:tr>
        <w:tblPrEx/>
        <w:trPr>
          <w:trHeight w:val="1246" w:hRule="atLeast"/>
          <w:jc w:val="center"/>
        </w:trPr>
        <w:tc>
          <w:tcPr>
            <w:tcW w:w="711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default"/>
                <w:sz w:val="24"/>
                <w:szCs w:val="24"/>
                <w:lang w:val="en-US" w:eastAsia="zh-CN"/>
              </w:rPr>
            </w:pP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滕晓佳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青岛</w:t>
            </w: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前湾西港联合码头有限责任</w:t>
            </w:r>
            <w:r>
              <w:rPr>
                <w:rFonts w:ascii="宋体" w:cs="宋体" w:hAnsi="宋体"/>
                <w:sz w:val="24"/>
                <w:szCs w:val="24"/>
              </w:rPr>
              <w:t>公司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</w:p>
        </w:tc>
      </w:tr>
      <w:tr>
        <w:tblPrEx/>
        <w:trPr>
          <w:trHeight w:val="1246" w:hRule="atLeast"/>
          <w:jc w:val="center"/>
        </w:trPr>
        <w:tc>
          <w:tcPr>
            <w:tcW w:w="711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default"/>
                <w:sz w:val="24"/>
                <w:szCs w:val="24"/>
                <w:lang w:val="en-US" w:eastAsia="zh-CN"/>
              </w:rPr>
            </w:pP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潘建军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青岛</w:t>
            </w: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前湾西港联合码头有限责任</w:t>
            </w:r>
            <w:r>
              <w:rPr>
                <w:rFonts w:ascii="宋体" w:cs="宋体" w:hAnsi="宋体"/>
                <w:sz w:val="24"/>
                <w:szCs w:val="24"/>
              </w:rPr>
              <w:t>公司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</w:p>
        </w:tc>
      </w:tr>
      <w:tr>
        <w:tblPrEx/>
        <w:trPr>
          <w:trHeight w:val="1246" w:hRule="atLeast"/>
          <w:jc w:val="center"/>
        </w:trPr>
        <w:tc>
          <w:tcPr>
            <w:tcW w:w="711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default"/>
                <w:sz w:val="24"/>
                <w:szCs w:val="24"/>
                <w:lang w:val="en-US" w:eastAsia="zh-CN"/>
              </w:rPr>
            </w:pP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曹广宣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青岛港国际物流有限公</w:t>
            </w:r>
            <w:bookmarkStart w:id="14" w:name="_GoBack"/>
            <w:bookmarkEnd w:id="14"/>
            <w:r>
              <w:rPr>
                <w:rFonts w:ascii="宋体" w:cs="宋体" w:hAnsi="宋体" w:hint="eastAsia"/>
                <w:sz w:val="24"/>
                <w:szCs w:val="24"/>
              </w:rPr>
              <w:t>司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711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秦伟伟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青岛</w:t>
            </w: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前湾西港联合码头有限责任</w:t>
            </w:r>
            <w:r>
              <w:rPr>
                <w:rFonts w:ascii="宋体" w:cs="宋体" w:hAnsi="宋体"/>
                <w:sz w:val="24"/>
                <w:szCs w:val="24"/>
              </w:rPr>
              <w:t>公司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/>
                <w:sz w:val="24"/>
                <w:szCs w:val="24"/>
              </w:rPr>
            </w:pPr>
          </w:p>
        </w:tc>
      </w:tr>
      <w:tr>
        <w:tblPrEx/>
        <w:trPr>
          <w:trHeight w:val="567" w:hRule="atLeast"/>
          <w:jc w:val="center"/>
        </w:trPr>
        <w:tc>
          <w:tcPr>
            <w:tcW w:w="711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eastAsia="宋体" w:hAnsi="宋体" w:hint="default"/>
                <w:sz w:val="24"/>
                <w:szCs w:val="24"/>
                <w:lang w:val="en-US" w:eastAsia="zh-CN"/>
              </w:rPr>
            </w:pP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 w:hint="eastAsia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梁  国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/>
                <w:sz w:val="24"/>
                <w:szCs w:val="24"/>
              </w:rPr>
            </w:pPr>
            <w:r>
              <w:rPr>
                <w:rFonts w:ascii="宋体" w:cs="宋体" w:hAnsi="宋体" w:hint="eastAsia"/>
                <w:sz w:val="24"/>
                <w:szCs w:val="24"/>
              </w:rPr>
              <w:t>青岛</w:t>
            </w:r>
            <w:r>
              <w:rPr>
                <w:rFonts w:ascii="宋体" w:cs="宋体" w:hAnsi="宋体" w:hint="eastAsia"/>
                <w:sz w:val="24"/>
                <w:szCs w:val="24"/>
                <w:lang w:val="en-US" w:eastAsia="zh-CN"/>
              </w:rPr>
              <w:t>前湾西港联合码头有限责任</w:t>
            </w:r>
            <w:r>
              <w:rPr>
                <w:rFonts w:ascii="宋体" w:cs="宋体" w:hAnsi="宋体"/>
                <w:sz w:val="24"/>
                <w:szCs w:val="24"/>
              </w:rPr>
              <w:t>公司</w:t>
            </w:r>
          </w:p>
        </w:tc>
        <w:tc>
          <w:tcPr>
            <w:tcW w:w="5103" w:type="dxa"/>
            <w:tcBorders/>
            <w:vAlign w:val="center"/>
          </w:tcPr>
          <w:p>
            <w:pPr>
              <w:pStyle w:val="style4099"/>
              <w:adjustRightInd/>
              <w:snapToGrid/>
              <w:spacing w:after="0" w:lineRule="auto" w:line="240"/>
              <w:rPr>
                <w:rFonts w:ascii="宋体" w:cs="宋体" w:hAnsi="宋体"/>
                <w:sz w:val="24"/>
                <w:szCs w:val="24"/>
              </w:rPr>
            </w:pPr>
          </w:p>
        </w:tc>
      </w:tr>
    </w:tbl>
    <w:p>
      <w:pPr>
        <w:pStyle w:val="style0"/>
        <w:spacing w:lineRule="auto" w:line="360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（三）主要工作</w:t>
      </w:r>
      <w:r>
        <w:rPr>
          <w:rFonts w:ascii="宋体" w:hAnsi="宋体"/>
          <w:b/>
          <w:sz w:val="24"/>
          <w:szCs w:val="24"/>
        </w:rPr>
        <w:t>过</w:t>
      </w:r>
      <w:r>
        <w:rPr>
          <w:rFonts w:ascii="宋体" w:hAnsi="宋体" w:hint="eastAsia"/>
          <w:b/>
          <w:sz w:val="24"/>
          <w:szCs w:val="24"/>
        </w:rPr>
        <w:t>程</w:t>
      </w:r>
    </w:p>
    <w:p>
      <w:pPr>
        <w:pStyle w:val="style0"/>
        <w:numPr>
          <w:ilvl w:val="0"/>
          <w:numId w:val="3"/>
        </w:numPr>
        <w:spacing w:lineRule="auto" w:line="360"/>
        <w:ind w:left="0" w:firstLine="567"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  <w:lang w:val="en-US" w:eastAsia="zh-CN"/>
        </w:rPr>
        <w:t>**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  <w:lang w:val="en-US" w:eastAsia="zh-CN"/>
        </w:rPr>
        <w:t>*</w:t>
      </w:r>
      <w:r>
        <w:rPr>
          <w:rFonts w:ascii="宋体" w:hAnsi="宋体" w:hint="eastAsia"/>
          <w:sz w:val="24"/>
          <w:szCs w:val="24"/>
        </w:rPr>
        <w:t>月项目承担单位根据中国港口协会标准化专业委员会工作会议要求，成立标准编写组，明确标准编写任务分工和时间进度安排，组织开展标准制定工作。</w:t>
      </w:r>
    </w:p>
    <w:p>
      <w:pPr>
        <w:pStyle w:val="style0"/>
        <w:numPr>
          <w:ilvl w:val="0"/>
          <w:numId w:val="3"/>
        </w:numPr>
        <w:spacing w:lineRule="auto" w:line="360"/>
        <w:ind w:left="0" w:firstLine="567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  <w:lang w:val="en-US" w:eastAsia="zh-CN"/>
        </w:rPr>
        <w:t>**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  <w:lang w:val="en-US" w:eastAsia="zh-CN"/>
        </w:rPr>
        <w:t>*</w:t>
      </w:r>
      <w:r>
        <w:rPr>
          <w:rFonts w:ascii="宋体" w:hAnsi="宋体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  <w:lang w:val="en-US" w:eastAsia="zh-CN"/>
        </w:rPr>
        <w:t>*</w:t>
      </w:r>
      <w:r>
        <w:rPr>
          <w:rFonts w:ascii="宋体" w:hAnsi="宋体" w:hint="eastAsia"/>
          <w:sz w:val="24"/>
          <w:szCs w:val="24"/>
        </w:rPr>
        <w:t>月，通过实地考察、走访调研收集相关资料，通过技术研讨、学术交流等方式对国内外</w:t>
      </w:r>
      <w:r>
        <w:rPr>
          <w:rFonts w:ascii="宋体" w:hAnsi="宋体" w:hint="eastAsia"/>
          <w:sz w:val="24"/>
          <w:szCs w:val="24"/>
          <w:lang w:val="en-US" w:eastAsia="zh-CN"/>
        </w:rPr>
        <w:t>纸浆装卸作业</w:t>
      </w:r>
      <w:r>
        <w:rPr>
          <w:rFonts w:ascii="宋体" w:hAnsi="宋体" w:hint="eastAsia"/>
          <w:sz w:val="24"/>
          <w:szCs w:val="24"/>
        </w:rPr>
        <w:t>现状和存在问题进行分析研究，充分调研国内</w:t>
      </w:r>
      <w:r>
        <w:rPr>
          <w:rFonts w:ascii="宋体" w:hAnsi="宋体" w:hint="eastAsia"/>
          <w:sz w:val="24"/>
          <w:szCs w:val="24"/>
          <w:lang w:val="en-US" w:eastAsia="zh-CN"/>
        </w:rPr>
        <w:t>纸浆装卸作业方式</w:t>
      </w:r>
      <w:r>
        <w:rPr>
          <w:rFonts w:ascii="宋体" w:hAnsi="宋体" w:hint="eastAsia"/>
          <w:sz w:val="24"/>
          <w:szCs w:val="24"/>
        </w:rPr>
        <w:t>，收集山东港口青岛港</w:t>
      </w:r>
      <w:r>
        <w:rPr>
          <w:rFonts w:ascii="宋体" w:hAnsi="宋体" w:hint="eastAsia"/>
          <w:sz w:val="24"/>
          <w:szCs w:val="24"/>
          <w:lang w:val="en-US" w:eastAsia="zh-CN"/>
        </w:rPr>
        <w:t>纸浆装卸作业</w:t>
      </w:r>
      <w:r>
        <w:rPr>
          <w:rFonts w:ascii="宋体" w:hAnsi="宋体" w:hint="eastAsia"/>
          <w:sz w:val="24"/>
          <w:szCs w:val="24"/>
        </w:rPr>
        <w:t>数据，整理、量化系统各项需求和指标；标准编写组编写标准的研究大纲，明确标准编写框架、任务分工、时间进度安排，于20</w:t>
      </w:r>
      <w:r>
        <w:rPr>
          <w:rFonts w:ascii="宋体" w:hAnsi="宋体" w:hint="eastAsia"/>
          <w:sz w:val="24"/>
          <w:szCs w:val="24"/>
          <w:lang w:val="en-US" w:eastAsia="zh-CN"/>
        </w:rPr>
        <w:t>**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  <w:lang w:val="en-US" w:eastAsia="zh-CN"/>
        </w:rPr>
        <w:t>**</w:t>
      </w:r>
      <w:r>
        <w:rPr>
          <w:rFonts w:ascii="宋体" w:hAnsi="宋体" w:hint="eastAsia"/>
          <w:sz w:val="24"/>
          <w:szCs w:val="24"/>
        </w:rPr>
        <w:t>月完成大纲编写。</w:t>
      </w:r>
    </w:p>
    <w:p>
      <w:pPr>
        <w:pStyle w:val="style0"/>
        <w:numPr>
          <w:ilvl w:val="0"/>
          <w:numId w:val="3"/>
        </w:numPr>
        <w:spacing w:lineRule="auto" w:line="360"/>
        <w:ind w:left="0" w:firstLine="567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20</w:t>
      </w:r>
      <w:r>
        <w:rPr>
          <w:rFonts w:ascii="宋体" w:hAnsi="宋体" w:hint="eastAsia"/>
          <w:sz w:val="24"/>
          <w:szCs w:val="24"/>
          <w:lang w:val="en-US" w:eastAsia="zh-CN"/>
        </w:rPr>
        <w:t>**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  <w:lang w:val="en-US" w:eastAsia="zh-CN"/>
        </w:rPr>
        <w:t>*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  <w:lang w:val="en-US" w:eastAsia="zh-CN"/>
        </w:rPr>
        <w:t>*</w:t>
      </w:r>
      <w:r>
        <w:rPr>
          <w:rFonts w:ascii="宋体" w:hAnsi="宋体" w:hint="eastAsia"/>
          <w:sz w:val="24"/>
          <w:szCs w:val="24"/>
        </w:rPr>
        <w:t>日由中国港口协会组织召开标准大纲审查会，与会专家对大纲提出修改意见。编写组按照专家意见修改大纲，系统组织开展标准制定工作。</w:t>
      </w:r>
    </w:p>
    <w:p>
      <w:pPr>
        <w:pStyle w:val="style4097"/>
        <w:numPr>
          <w:ilvl w:val="0"/>
          <w:numId w:val="3"/>
        </w:numPr>
        <w:tabs>
          <w:tab w:val="clear" w:pos="4201"/>
          <w:tab w:val="clear" w:pos="9298"/>
        </w:tabs>
        <w:spacing w:lineRule="auto" w:line="360"/>
        <w:ind w:left="0" w:firstLine="567" w:firstLineChars="0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查阅国内外相关标准文献资料，标准编写组对相关国家和行业标准的起草背景、状态进度、生效与否、相互关联进行调研和分析，研究</w:t>
      </w:r>
      <w:r>
        <w:rPr>
          <w:rFonts w:hAnsi="宋体" w:hint="eastAsia"/>
          <w:sz w:val="24"/>
          <w:szCs w:val="24"/>
          <w:lang w:val="en-US" w:eastAsia="zh-CN"/>
        </w:rPr>
        <w:t>纸浆装卸作业的</w:t>
      </w:r>
      <w:r>
        <w:rPr>
          <w:rFonts w:hAnsi="宋体" w:hint="eastAsia"/>
          <w:sz w:val="24"/>
          <w:szCs w:val="24"/>
        </w:rPr>
        <w:t>现状，明确标准结构和要素，形成标准初稿。</w:t>
      </w:r>
    </w:p>
    <w:p>
      <w:pPr>
        <w:pStyle w:val="style4097"/>
        <w:numPr>
          <w:ilvl w:val="0"/>
          <w:numId w:val="3"/>
        </w:numPr>
        <w:tabs>
          <w:tab w:val="clear" w:pos="4201"/>
          <w:tab w:val="clear" w:pos="9298"/>
        </w:tabs>
        <w:spacing w:lineRule="auto" w:line="360"/>
        <w:ind w:left="0" w:firstLine="567" w:firstLineChars="0"/>
        <w:rPr>
          <w:rFonts w:hAnsi="宋体" w:hint="eastAsia"/>
          <w:sz w:val="24"/>
          <w:szCs w:val="24"/>
        </w:rPr>
      </w:pPr>
      <w:r>
        <w:rPr>
          <w:rFonts w:hAnsi="宋体"/>
          <w:sz w:val="24"/>
          <w:szCs w:val="24"/>
        </w:rPr>
        <w:t>2</w:t>
      </w:r>
      <w:r>
        <w:rPr>
          <w:rFonts w:hAnsi="宋体" w:hint="eastAsia"/>
          <w:sz w:val="24"/>
          <w:szCs w:val="24"/>
        </w:rPr>
        <w:t>0</w:t>
      </w:r>
      <w:r>
        <w:rPr>
          <w:rFonts w:hAnsi="宋体" w:hint="eastAsia"/>
          <w:sz w:val="24"/>
          <w:szCs w:val="24"/>
          <w:lang w:val="en-US" w:eastAsia="zh-CN"/>
        </w:rPr>
        <w:t>**</w:t>
      </w:r>
      <w:r>
        <w:rPr>
          <w:rFonts w:hAnsi="宋体" w:hint="eastAsia"/>
          <w:sz w:val="24"/>
          <w:szCs w:val="24"/>
        </w:rPr>
        <w:t>年</w:t>
      </w:r>
      <w:r>
        <w:rPr>
          <w:rFonts w:hAnsi="宋体" w:hint="eastAsia"/>
          <w:sz w:val="24"/>
          <w:szCs w:val="24"/>
          <w:lang w:val="en-US" w:eastAsia="zh-CN"/>
        </w:rPr>
        <w:t>*</w:t>
      </w:r>
      <w:r>
        <w:rPr>
          <w:rFonts w:hAnsi="宋体" w:hint="eastAsia"/>
          <w:sz w:val="24"/>
          <w:szCs w:val="24"/>
        </w:rPr>
        <w:t>月</w:t>
      </w:r>
      <w:r>
        <w:rPr>
          <w:rFonts w:hAnsi="宋体" w:hint="eastAsia"/>
          <w:sz w:val="24"/>
          <w:szCs w:val="24"/>
          <w:lang w:val="en-US" w:eastAsia="zh-CN"/>
        </w:rPr>
        <w:t>*</w:t>
      </w:r>
      <w:r>
        <w:rPr>
          <w:rFonts w:hAnsi="宋体" w:hint="eastAsia"/>
          <w:sz w:val="24"/>
          <w:szCs w:val="24"/>
        </w:rPr>
        <w:t>日，中国港口协会集合专家及编写小组召开《</w:t>
      </w:r>
      <w:r>
        <w:rPr>
          <w:rFonts w:hAnsi="宋体" w:hint="eastAsia"/>
          <w:sz w:val="24"/>
          <w:szCs w:val="24"/>
          <w:lang w:val="en-US" w:eastAsia="zh-CN"/>
        </w:rPr>
        <w:t>纸浆装卸作业规程</w:t>
      </w:r>
      <w:r>
        <w:rPr>
          <w:rFonts w:hAnsi="宋体" w:hint="eastAsia"/>
          <w:sz w:val="24"/>
          <w:szCs w:val="24"/>
        </w:rPr>
        <w:t>》工作大纲评审会议，逐条审核并成功通过了工作大纲；对标准初稿各章节细节进行通稿协调，提出修改意见。</w:t>
      </w:r>
    </w:p>
    <w:p>
      <w:pPr>
        <w:pStyle w:val="style4097"/>
        <w:numPr>
          <w:ilvl w:val="0"/>
          <w:numId w:val="3"/>
        </w:numPr>
        <w:tabs>
          <w:tab w:val="clear" w:pos="4201"/>
          <w:tab w:val="clear" w:pos="9298"/>
        </w:tabs>
        <w:spacing w:lineRule="auto" w:line="360"/>
        <w:ind w:left="0" w:firstLine="567" w:firstLineChars="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20</w:t>
      </w:r>
      <w:r>
        <w:rPr>
          <w:rFonts w:hAnsi="宋体" w:hint="eastAsia"/>
          <w:sz w:val="24"/>
          <w:szCs w:val="24"/>
          <w:lang w:val="en-US" w:eastAsia="zh-CN"/>
        </w:rPr>
        <w:t>**</w:t>
      </w:r>
      <w:r>
        <w:rPr>
          <w:rFonts w:hAnsi="宋体" w:hint="eastAsia"/>
          <w:sz w:val="24"/>
          <w:szCs w:val="24"/>
        </w:rPr>
        <w:t>年</w:t>
      </w:r>
      <w:r>
        <w:rPr>
          <w:rFonts w:hAnsi="宋体" w:hint="eastAsia"/>
          <w:sz w:val="24"/>
          <w:szCs w:val="24"/>
          <w:lang w:val="en-US" w:eastAsia="zh-CN"/>
        </w:rPr>
        <w:t>*</w:t>
      </w:r>
      <w:r>
        <w:rPr>
          <w:rFonts w:hAnsi="宋体"/>
          <w:sz w:val="24"/>
          <w:szCs w:val="24"/>
        </w:rPr>
        <w:t>-</w:t>
      </w:r>
      <w:r>
        <w:rPr>
          <w:rFonts w:hAnsi="宋体" w:hint="eastAsia"/>
          <w:sz w:val="24"/>
          <w:szCs w:val="24"/>
          <w:lang w:val="en-US" w:eastAsia="zh-CN"/>
        </w:rPr>
        <w:t>*</w:t>
      </w:r>
      <w:r>
        <w:rPr>
          <w:rFonts w:hAnsi="宋体" w:hint="eastAsia"/>
          <w:sz w:val="24"/>
          <w:szCs w:val="24"/>
        </w:rPr>
        <w:t>月，根据工作大纲评审会议提出的标准初稿修改意见，详细修改完善标准的章节、主线、图表等内容，形成征求意见稿初稿。</w:t>
      </w:r>
    </w:p>
    <w:p>
      <w:pPr>
        <w:pStyle w:val="style4097"/>
        <w:numPr>
          <w:ilvl w:val="0"/>
          <w:numId w:val="3"/>
        </w:numPr>
        <w:tabs>
          <w:tab w:val="clear" w:pos="4201"/>
          <w:tab w:val="clear" w:pos="9298"/>
        </w:tabs>
        <w:spacing w:lineRule="auto" w:line="360"/>
        <w:ind w:left="0" w:firstLine="567" w:firstLineChars="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20</w:t>
      </w:r>
      <w:r>
        <w:rPr>
          <w:rFonts w:hAnsi="宋体" w:hint="eastAsia"/>
          <w:sz w:val="24"/>
          <w:szCs w:val="24"/>
          <w:lang w:val="en-US" w:eastAsia="zh-CN"/>
        </w:rPr>
        <w:t>**</w:t>
      </w:r>
      <w:r>
        <w:rPr>
          <w:rFonts w:hAnsi="宋体" w:hint="eastAsia"/>
          <w:sz w:val="24"/>
          <w:szCs w:val="24"/>
        </w:rPr>
        <w:t>年</w:t>
      </w:r>
      <w:r>
        <w:rPr>
          <w:rFonts w:hAnsi="宋体" w:hint="eastAsia"/>
          <w:sz w:val="24"/>
          <w:szCs w:val="24"/>
          <w:lang w:val="en-US" w:eastAsia="zh-CN"/>
        </w:rPr>
        <w:t>*</w:t>
      </w:r>
      <w:r>
        <w:rPr>
          <w:rFonts w:hAnsi="宋体" w:hint="eastAsia"/>
          <w:sz w:val="24"/>
          <w:szCs w:val="24"/>
        </w:rPr>
        <w:t>月</w:t>
      </w:r>
      <w:r>
        <w:rPr>
          <w:rFonts w:hAnsi="宋体" w:hint="eastAsia"/>
          <w:sz w:val="24"/>
          <w:szCs w:val="24"/>
          <w:lang w:val="en-US" w:eastAsia="zh-CN"/>
        </w:rPr>
        <w:t>*</w:t>
      </w:r>
      <w:r>
        <w:rPr>
          <w:rFonts w:hAnsi="宋体" w:hint="eastAsia"/>
          <w:sz w:val="24"/>
          <w:szCs w:val="24"/>
        </w:rPr>
        <w:t>日，编写小组召开会议，详细讨论标准征求意见稿初稿，进一步优化完善征求意见稿。</w:t>
      </w:r>
    </w:p>
    <w:p>
      <w:pPr>
        <w:pStyle w:val="style4097"/>
        <w:numPr>
          <w:ilvl w:val="0"/>
          <w:numId w:val="3"/>
        </w:numPr>
        <w:tabs>
          <w:tab w:val="clear" w:pos="4201"/>
          <w:tab w:val="clear" w:pos="9298"/>
        </w:tabs>
        <w:spacing w:lineRule="auto" w:line="360"/>
        <w:ind w:left="0" w:firstLine="567" w:firstLineChars="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</w:t>
      </w:r>
      <w:r>
        <w:rPr>
          <w:rFonts w:hAnsi="宋体"/>
          <w:sz w:val="24"/>
          <w:szCs w:val="24"/>
        </w:rPr>
        <w:t>0</w:t>
      </w:r>
      <w:r>
        <w:rPr>
          <w:rFonts w:hAnsi="宋体" w:hint="eastAsia"/>
          <w:sz w:val="24"/>
          <w:szCs w:val="24"/>
          <w:lang w:val="en-US" w:eastAsia="zh-CN"/>
        </w:rPr>
        <w:t>**</w:t>
      </w:r>
      <w:r>
        <w:rPr>
          <w:rFonts w:hAnsi="宋体" w:hint="eastAsia"/>
          <w:sz w:val="24"/>
          <w:szCs w:val="24"/>
        </w:rPr>
        <w:t>年</w:t>
      </w:r>
      <w:r>
        <w:rPr>
          <w:rFonts w:hAnsi="宋体" w:hint="eastAsia"/>
          <w:sz w:val="24"/>
          <w:szCs w:val="24"/>
          <w:lang w:val="en-US" w:eastAsia="zh-CN"/>
        </w:rPr>
        <w:t>**</w:t>
      </w:r>
      <w:r>
        <w:rPr>
          <w:rFonts w:hAnsi="宋体" w:hint="eastAsia"/>
          <w:sz w:val="24"/>
          <w:szCs w:val="24"/>
        </w:rPr>
        <w:t>月，向港口协会、相关单位征求意见和建议，完善征求意见稿。</w:t>
      </w:r>
    </w:p>
    <w:bookmarkStart w:id="15" w:name="_Toc483660125"/>
    <w:bookmarkStart w:id="16" w:name="_Toc69999679"/>
    <w:bookmarkStart w:id="17" w:name="_Toc26709_WPSOffice_Level1"/>
    <w:p>
      <w:pPr>
        <w:pStyle w:val="style1"/>
        <w:numPr>
          <w:ilvl w:val="0"/>
          <w:numId w:val="0"/>
        </w:numPr>
        <w:spacing w:before="200" w:after="200" w:lineRule="auto" w:line="360"/>
        <w:ind w:left="431" w:hanging="431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二、</w:t>
      </w:r>
      <w:r>
        <w:rPr>
          <w:rFonts w:ascii="宋体" w:hAnsi="宋体"/>
          <w:sz w:val="24"/>
          <w:szCs w:val="24"/>
        </w:rPr>
        <w:t>标准编制原则和确定标准主要内容</w:t>
      </w:r>
      <w:bookmarkEnd w:id="15"/>
      <w:r>
        <w:rPr>
          <w:rFonts w:ascii="宋体" w:hAnsi="宋体" w:hint="eastAsia"/>
          <w:sz w:val="24"/>
          <w:szCs w:val="24"/>
        </w:rPr>
        <w:t>的依据</w:t>
      </w:r>
      <w:bookmarkEnd w:id="16"/>
      <w:bookmarkEnd w:id="17"/>
    </w:p>
    <w:bookmarkStart w:id="18" w:name="_Toc483660126"/>
    <w:p>
      <w:pPr>
        <w:pStyle w:val="style0"/>
        <w:spacing w:lineRule="auto" w:line="360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（一）</w:t>
      </w:r>
      <w:r>
        <w:rPr>
          <w:rFonts w:ascii="宋体" w:hAnsi="宋体"/>
          <w:b/>
          <w:sz w:val="24"/>
          <w:szCs w:val="24"/>
        </w:rPr>
        <w:t>编制原则</w:t>
      </w:r>
      <w:bookmarkEnd w:id="18"/>
    </w:p>
    <w:p>
      <w:pPr>
        <w:pStyle w:val="style0"/>
        <w:spacing w:lineRule="auto" w:line="360"/>
        <w:ind w:left="525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标准编写按GB/T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1.1—2</w:t>
      </w:r>
      <w:r>
        <w:rPr>
          <w:rFonts w:ascii="宋体" w:hAnsi="宋体"/>
          <w:sz w:val="24"/>
          <w:szCs w:val="24"/>
        </w:rPr>
        <w:t>020</w:t>
      </w:r>
      <w:r>
        <w:rPr>
          <w:rFonts w:ascii="宋体" w:hAnsi="宋体" w:hint="eastAsia"/>
          <w:sz w:val="24"/>
          <w:szCs w:val="24"/>
        </w:rPr>
        <w:t>给出的规则起草。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适用性原则：标准制定的相关内容应便于使用，一方面应适于直接使用，另一方面也应考虑便于被其它文件引用。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协调性原则：应考虑标准之间的整体协调，在制定标准时应注意和已经发布的标准进行协调，遵守基础标准和采取引用的方式是保证标准协调的有效途径。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规范性原则：起草标准时遵守与标准制定有关的基础标准和相关法律法规。</w:t>
      </w:r>
    </w:p>
    <w:bookmarkStart w:id="19" w:name="_Toc483660127"/>
    <w:p>
      <w:pPr>
        <w:pStyle w:val="style0"/>
        <w:spacing w:lineRule="auto" w:line="360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（二）</w:t>
      </w:r>
      <w:r>
        <w:rPr>
          <w:rFonts w:ascii="宋体" w:hAnsi="宋体"/>
          <w:b/>
          <w:sz w:val="24"/>
          <w:szCs w:val="24"/>
        </w:rPr>
        <w:t>标准主要内容的</w:t>
      </w:r>
      <w:bookmarkEnd w:id="19"/>
      <w:r>
        <w:rPr>
          <w:rFonts w:ascii="宋体" w:hAnsi="宋体" w:hint="eastAsia"/>
          <w:b/>
          <w:sz w:val="24"/>
          <w:szCs w:val="24"/>
        </w:rPr>
        <w:t>确定依据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本文件规定了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>纸浆装卸作业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的一般要求、作业前、作业中、作业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>结束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、安全应急等要求。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本文件适用于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>纸浆装卸作业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本文件主要内容：第一章 范围；第二章 规范性引用文件；第三章 术语和定义；第四章 一般要求；第五章 作业前；第六章 作业中；第七章 作业后； 第八章 安全应急。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本文件编制的内容包括如下：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——第1章 范围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本文件规定了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>纸浆装卸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作业的一般要求、作业前、作业中、作业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>结束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、安全应急等要求。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本文件适用于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>纸浆装卸作业。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依据：基于标准编写的主要目的出发界定本文件的范围。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——第2章 规范性引用文件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本文件引用了如下标准：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GB 6067.1起重机械安全规程 第1部分：总则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GB 16993    防止船舶货舱及封闭舱缺氧危险作业安全规程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GB 50016    建筑设计防火规范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GB/T 3608   高处作业分级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GB/T 8487   港口装卸术语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GB/T 29510  个体防护装备配备基本要求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GB/T 29639  生产经营单位生产安全事故应急预案编制导则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 xml:space="preserve">GB/T 18026 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纸品装卸、储运安全要求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 xml:space="preserve">JT/T 562 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港口轮胎起重机安全规程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 xml:space="preserve">JT/T 706 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 xml:space="preserve">   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港口货物堆垛要求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 xml:space="preserve">JT/T 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>557    港口装卸区域照明照度及测量方法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——第3章 术语和定义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本文件给出了叉车（圆抱、抱夹）</w:t>
      </w:r>
      <w:r>
        <w:rPr>
          <w:rFonts w:ascii="宋体" w:hAnsi="宋体" w:hint="eastAsia"/>
          <w:sz w:val="24"/>
          <w:szCs w:val="24"/>
          <w:lang w:eastAsia="zh-CN"/>
        </w:rPr>
        <w:t>、</w:t>
      </w:r>
      <w:r>
        <w:rPr>
          <w:rFonts w:ascii="宋体" w:hAnsi="宋体" w:hint="eastAsia"/>
          <w:sz w:val="24"/>
          <w:szCs w:val="24"/>
          <w:lang w:val="en-US" w:eastAsia="zh-CN"/>
        </w:rPr>
        <w:t>纸浆专用船、</w:t>
      </w:r>
      <w:r>
        <w:rPr>
          <w:rFonts w:ascii="宋体" w:hAnsi="宋体" w:hint="eastAsia"/>
          <w:sz w:val="24"/>
          <w:szCs w:val="24"/>
        </w:rPr>
        <w:t>标准件数等术语及其定义。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hAnsi="宋体" w:hint="eastAsia"/>
          <w:sz w:val="24"/>
          <w:szCs w:val="24"/>
          <w:lang w:val="en-US" w:eastAsia="zh-CN"/>
        </w:rPr>
      </w:pPr>
      <w:r>
        <w:rPr>
          <w:rFonts w:ascii="宋体" w:hAnsi="宋体" w:hint="eastAsia"/>
          <w:sz w:val="24"/>
          <w:szCs w:val="24"/>
        </w:rPr>
        <w:t>依据：其中叉车（圆抱、抱夹）</w:t>
      </w:r>
      <w:r>
        <w:rPr>
          <w:rFonts w:ascii="宋体" w:hAnsi="宋体" w:hint="eastAsia"/>
          <w:sz w:val="24"/>
          <w:szCs w:val="24"/>
          <w:lang w:eastAsia="zh-CN"/>
        </w:rPr>
        <w:t>、</w:t>
      </w:r>
      <w:r>
        <w:rPr>
          <w:rFonts w:ascii="宋体" w:hAnsi="宋体" w:hint="eastAsia"/>
          <w:sz w:val="24"/>
          <w:szCs w:val="24"/>
          <w:lang w:val="en-US" w:eastAsia="zh-CN"/>
        </w:rPr>
        <w:t>纸浆专用船</w:t>
      </w:r>
      <w:r>
        <w:rPr>
          <w:rFonts w:ascii="宋体" w:hAnsi="宋体" w:hint="eastAsia"/>
          <w:sz w:val="24"/>
          <w:szCs w:val="24"/>
          <w:lang w:eastAsia="zh-CN"/>
        </w:rPr>
        <w:t>，</w:t>
      </w:r>
      <w:r>
        <w:rPr>
          <w:rFonts w:ascii="宋体" w:hAnsi="宋体" w:hint="eastAsia"/>
          <w:sz w:val="24"/>
          <w:szCs w:val="24"/>
        </w:rPr>
        <w:t>是为了说明</w:t>
      </w:r>
      <w:r>
        <w:rPr>
          <w:rFonts w:ascii="宋体" w:hAnsi="宋体" w:hint="eastAsia"/>
          <w:sz w:val="24"/>
          <w:szCs w:val="24"/>
          <w:lang w:val="en-US" w:eastAsia="zh-CN"/>
        </w:rPr>
        <w:t>纸浆装卸作业配备的机械设备和纸浆运输的船舶，这也是纸浆装卸作业与其他件杂货作业相区别的地方。标准件数，因货物规格不同，统一按照标准件数（UNIT）作为计量单位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——第4章 一般要求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从作业人员、装卸设备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>作业环境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等多个角度阐述了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>纸浆装卸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作业的普适性要求。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依据：人的要求主要包括技能和劳防用品，确保合适作业并具备安全作业的基本穿戴保障。设备安全主要说明设备本身、设备的技术状态等要求。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>作业环境</w:t>
      </w:r>
      <w:r>
        <w:rPr>
          <w:rFonts w:ascii="宋体" w:cs="宋体" w:hAnsi="宋体" w:hint="eastAsia"/>
          <w:i w:val="false"/>
          <w:color w:val="000000"/>
          <w:sz w:val="24"/>
          <w:szCs w:val="24"/>
          <w:lang w:val="en-US" w:eastAsia="zh-CN"/>
        </w:rPr>
        <w:t>层面，也是凸显纸浆装卸作业特色的内容，对船舶舱内作业、铁路线作业及恶劣天气和夜间作业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等方面做了约束</w:t>
      </w:r>
      <w:r>
        <w:rPr>
          <w:rFonts w:ascii="宋体" w:cs="宋体" w:hAnsi="宋体" w:hint="eastAsia"/>
          <w:i w:val="false"/>
          <w:color w:val="000000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——第5章 作业前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default"/>
          <w:i w:val="false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阐述了</w:t>
      </w:r>
      <w:r>
        <w:rPr>
          <w:rFonts w:ascii="宋体" w:cs="宋体" w:hAnsi="宋体" w:hint="eastAsia"/>
          <w:i w:val="false"/>
          <w:color w:val="000000"/>
          <w:sz w:val="24"/>
          <w:szCs w:val="24"/>
          <w:lang w:val="en-US" w:eastAsia="zh-CN"/>
        </w:rPr>
        <w:t>纸浆装卸作业工属具配备、货物信息、货垛堆码等要求。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hAnsi="宋体" w:hint="eastAsia"/>
          <w:i w:val="false"/>
          <w:color w:val="000000"/>
          <w:sz w:val="24"/>
          <w:szCs w:val="24"/>
          <w:lang w:val="en-US" w:eastAsia="zh-CN"/>
        </w:rPr>
      </w:pPr>
      <w:r>
        <w:rPr>
          <w:rFonts w:ascii="宋体" w:cs="宋体" w:hAnsi="宋体" w:hint="eastAsia"/>
          <w:i w:val="false"/>
          <w:color w:val="000000"/>
          <w:sz w:val="24"/>
          <w:szCs w:val="24"/>
          <w:lang w:val="en-US" w:eastAsia="zh-CN"/>
        </w:rPr>
        <w:t>依据：从库场队（货物的性质、件重、数量、作业标准）、岸边（作业封闭区域、专用吊具调整）、船舱内（进出舱、使用防坠器）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等方面阐述，才能确保作业前的安全操作。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hAnsi="宋体" w:hint="eastAsia"/>
          <w:i w:val="false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——第6章 作业中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default"/>
          <w:i w:val="false"/>
          <w:color w:val="000000"/>
          <w:sz w:val="24"/>
          <w:szCs w:val="24"/>
          <w:lang w:val="en-US" w:eastAsia="zh-CN"/>
        </w:rPr>
      </w:pPr>
      <w:r>
        <w:rPr>
          <w:rFonts w:ascii="宋体" w:cs="宋体" w:hAnsi="宋体" w:hint="eastAsia"/>
          <w:i w:val="false"/>
          <w:color w:val="000000"/>
          <w:sz w:val="24"/>
          <w:szCs w:val="24"/>
          <w:lang w:val="en-US" w:eastAsia="zh-CN"/>
        </w:rPr>
        <w:t>从库场、岸边、船舱内、水平运输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等几方面展开阐述</w:t>
      </w:r>
      <w:r>
        <w:rPr>
          <w:rFonts w:ascii="宋体" w:cs="宋体" w:hAnsi="宋体" w:hint="eastAsia"/>
          <w:i w:val="false"/>
          <w:color w:val="000000"/>
          <w:sz w:val="24"/>
          <w:szCs w:val="24"/>
          <w:lang w:val="en-US" w:eastAsia="zh-CN"/>
        </w:rPr>
        <w:t>。其中，库场，围绕堆场纸浆装卸作业；岸边，围绕岸边大型机械作业、机械司机操作；船舱内，围绕船舶积载平衡、舱内装卸作业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；水平运输，主要围绕</w:t>
      </w:r>
      <w:r>
        <w:rPr>
          <w:rFonts w:ascii="宋体" w:cs="宋体" w:hAnsi="宋体" w:hint="eastAsia"/>
          <w:i w:val="false"/>
          <w:color w:val="000000"/>
          <w:sz w:val="24"/>
          <w:szCs w:val="24"/>
          <w:lang w:val="en-US" w:eastAsia="zh-CN"/>
        </w:rPr>
        <w:t>现场通行车速、进出仓库开展。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default"/>
          <w:i w:val="false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依据：主要阐述上述</w:t>
      </w:r>
      <w:r>
        <w:rPr>
          <w:rFonts w:ascii="宋体" w:cs="宋体" w:hAnsi="宋体" w:hint="eastAsia"/>
          <w:i w:val="false"/>
          <w:color w:val="000000"/>
          <w:sz w:val="24"/>
          <w:szCs w:val="24"/>
          <w:lang w:val="en-US" w:eastAsia="zh-CN"/>
        </w:rPr>
        <w:t>四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个环节中的安全作业要求。由于是</w:t>
      </w:r>
      <w:r>
        <w:rPr>
          <w:rFonts w:ascii="宋体" w:cs="宋体" w:hAnsi="宋体" w:hint="eastAsia"/>
          <w:i w:val="false"/>
          <w:color w:val="000000"/>
          <w:sz w:val="24"/>
          <w:szCs w:val="24"/>
          <w:lang w:val="en-US" w:eastAsia="zh-CN"/>
        </w:rPr>
        <w:t>纸浆装卸作业，特别强调船舶、库场、水平运输，以及作业过程中的“人机配合”具体要求。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——第7章 作业</w:t>
      </w:r>
      <w:r>
        <w:rPr>
          <w:rFonts w:ascii="宋体" w:cs="宋体" w:hAnsi="宋体" w:hint="eastAsia"/>
          <w:i w:val="false"/>
          <w:color w:val="000000"/>
          <w:sz w:val="24"/>
          <w:szCs w:val="24"/>
          <w:lang w:val="en-US" w:eastAsia="zh-CN"/>
        </w:rPr>
        <w:t>结束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default"/>
          <w:i w:val="false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阐述了</w:t>
      </w:r>
      <w:r>
        <w:rPr>
          <w:rFonts w:ascii="宋体" w:cs="宋体" w:hAnsi="宋体" w:hint="eastAsia"/>
          <w:i w:val="false"/>
          <w:color w:val="000000"/>
          <w:sz w:val="24"/>
          <w:szCs w:val="24"/>
          <w:lang w:val="en-US" w:eastAsia="zh-CN"/>
        </w:rPr>
        <w:t>纸浆装卸作业的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最后一个任务后进行的一系列安全规程。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依据：这里再次是从人、设备、系统等角度对作业后影响安全的操作进行阐述。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——第8章 安全应急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</w:rPr>
        <w:t>阐述了</w:t>
      </w: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>应急管理机构、防范措施、应急器材的要求，以及在发生自然灾害、事故灾难时应采取的要求和措施。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default"/>
          <w:i w:val="false"/>
          <w:color w:val="000000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  <w:t>依据：这里着重说明事故风险、安全隐患等进行辨识，并制定相关防范措施。并在发生自然灾害、事故灾难时，应立即启动相应的应急预案和现场处置方案。</w:t>
      </w:r>
    </w:p>
    <w:bookmarkStart w:id="20" w:name="_Toc12512_WPSOffice_Level1"/>
    <w:bookmarkStart w:id="21" w:name="_Toc69999680"/>
    <w:p>
      <w:pPr>
        <w:pStyle w:val="style1"/>
        <w:numPr>
          <w:ilvl w:val="0"/>
          <w:numId w:val="0"/>
        </w:numPr>
        <w:spacing w:before="200" w:after="200" w:lineRule="auto" w:line="360"/>
        <w:ind w:left="431" w:hanging="431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三、</w:t>
      </w:r>
      <w:r>
        <w:rPr>
          <w:rFonts w:ascii="宋体" w:hAnsi="宋体"/>
          <w:sz w:val="24"/>
          <w:szCs w:val="24"/>
        </w:rPr>
        <w:t>预期的经济效果</w:t>
      </w:r>
      <w:bookmarkEnd w:id="20"/>
      <w:bookmarkEnd w:id="21"/>
    </w:p>
    <w:p>
      <w:pPr>
        <w:pStyle w:val="style0"/>
        <w:spacing w:lineRule="auto" w:line="360"/>
        <w:ind w:firstLine="484" w:firstLineChars="202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本标准的制定及未来应用，可有效提高</w:t>
      </w:r>
      <w:r>
        <w:rPr>
          <w:rFonts w:ascii="宋体" w:hAnsi="宋体" w:hint="eastAsia"/>
          <w:sz w:val="24"/>
          <w:szCs w:val="24"/>
          <w:lang w:val="en-US" w:eastAsia="zh-CN"/>
        </w:rPr>
        <w:t>纸浆装卸作业的安全性、</w:t>
      </w:r>
      <w:r>
        <w:rPr>
          <w:rFonts w:ascii="宋体" w:hAnsi="宋体" w:hint="eastAsia"/>
          <w:sz w:val="24"/>
          <w:szCs w:val="24"/>
        </w:rPr>
        <w:t>可靠性、经济性与作业效率，形成可复制推广的中国技术方案，向“一带一路”国家输出，</w:t>
      </w:r>
      <w:r>
        <w:rPr>
          <w:rFonts w:ascii="宋体" w:hAnsi="宋体"/>
          <w:sz w:val="24"/>
          <w:szCs w:val="24"/>
        </w:rPr>
        <w:t>主导</w:t>
      </w:r>
      <w:r>
        <w:rPr>
          <w:rFonts w:ascii="宋体" w:hAnsi="宋体" w:hint="eastAsia"/>
          <w:sz w:val="24"/>
          <w:szCs w:val="24"/>
        </w:rPr>
        <w:t>或</w:t>
      </w:r>
      <w:r>
        <w:rPr>
          <w:rFonts w:ascii="宋体" w:hAnsi="宋体"/>
          <w:sz w:val="24"/>
          <w:szCs w:val="24"/>
        </w:rPr>
        <w:t>参与</w:t>
      </w:r>
      <w:r>
        <w:rPr>
          <w:rFonts w:ascii="宋体" w:hAnsi="宋体" w:hint="eastAsia"/>
          <w:sz w:val="24"/>
          <w:szCs w:val="24"/>
        </w:rPr>
        <w:t>国际</w:t>
      </w:r>
      <w:r>
        <w:rPr>
          <w:rFonts w:ascii="宋体" w:hAnsi="宋体"/>
          <w:sz w:val="24"/>
          <w:szCs w:val="24"/>
        </w:rPr>
        <w:t>技术标准的制修</w:t>
      </w:r>
      <w:r>
        <w:rPr>
          <w:rFonts w:ascii="宋体" w:hAnsi="宋体" w:hint="eastAsia"/>
          <w:sz w:val="24"/>
          <w:szCs w:val="24"/>
        </w:rPr>
        <w:t>订工作，推动我国标准走出去，助力提升我国标准话语权。</w:t>
      </w:r>
    </w:p>
    <w:bookmarkStart w:id="22" w:name="_Toc483660129"/>
    <w:bookmarkStart w:id="23" w:name="_Toc2692_WPSOffice_Level1"/>
    <w:bookmarkStart w:id="24" w:name="_Toc69999681"/>
    <w:p>
      <w:pPr>
        <w:pStyle w:val="style1"/>
        <w:numPr>
          <w:ilvl w:val="0"/>
          <w:numId w:val="0"/>
        </w:numPr>
        <w:spacing w:before="200" w:after="200" w:lineRule="auto" w:line="360"/>
        <w:ind w:left="431" w:hanging="431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四、</w:t>
      </w:r>
      <w:r>
        <w:rPr>
          <w:rFonts w:ascii="宋体" w:hAnsi="宋体"/>
          <w:sz w:val="24"/>
          <w:szCs w:val="24"/>
        </w:rPr>
        <w:t>采用国际标准和国外先进标准的程度</w:t>
      </w:r>
      <w:bookmarkEnd w:id="22"/>
      <w:bookmarkEnd w:id="23"/>
      <w:bookmarkEnd w:id="24"/>
    </w:p>
    <w:p>
      <w:pPr>
        <w:pStyle w:val="style0"/>
        <w:spacing w:lineRule="auto" w:line="360"/>
        <w:ind w:firstLine="480" w:firstLineChars="20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标准在编写过程中，没有采用国际标准。</w:t>
      </w:r>
    </w:p>
    <w:bookmarkStart w:id="25" w:name="_Toc69999682"/>
    <w:bookmarkStart w:id="26" w:name="_Toc24314_WPSOffice_Level1"/>
    <w:bookmarkStart w:id="27" w:name="_Toc483660131"/>
    <w:p>
      <w:pPr>
        <w:pStyle w:val="style1"/>
        <w:numPr>
          <w:ilvl w:val="0"/>
          <w:numId w:val="0"/>
        </w:numPr>
        <w:spacing w:before="200" w:after="200" w:lineRule="auto" w:line="360"/>
        <w:ind w:left="431" w:hanging="431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五、</w:t>
      </w:r>
      <w:r>
        <w:rPr>
          <w:rFonts w:ascii="宋体" w:hAnsi="宋体"/>
          <w:sz w:val="24"/>
          <w:szCs w:val="24"/>
        </w:rPr>
        <w:t>与有关的现行法律、法规和强制性标准的关系</w:t>
      </w:r>
      <w:bookmarkStart w:id="28" w:name="_Toc483660130"/>
      <w:bookmarkEnd w:id="25"/>
      <w:bookmarkEnd w:id="26"/>
      <w:bookmarkEnd w:id="27"/>
    </w:p>
    <w:p>
      <w:pPr>
        <w:pStyle w:val="style0"/>
        <w:spacing w:lineRule="auto" w:line="360"/>
        <w:ind w:firstLine="484" w:firstLineChars="202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标准在编写过程中，充分研究了相关的现行法律、法规和国家、行业标准。标准与既有法律、法规及标准体系不冲突，与现行有效的国家标准和行业标准不矛盾，保持协调一致。</w:t>
      </w:r>
    </w:p>
    <w:p>
      <w:pPr>
        <w:pStyle w:val="style1"/>
        <w:numPr>
          <w:ilvl w:val="0"/>
          <w:numId w:val="0"/>
        </w:numPr>
        <w:spacing w:before="200" w:after="200" w:lineRule="auto" w:line="360"/>
        <w:ind w:left="431" w:hanging="431"/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</w:t>
      </w:r>
      <w:bookmarkStart w:id="29" w:name="_Toc69999683"/>
      <w:bookmarkStart w:id="30" w:name="_Toc3047_WPSOffice_Level1"/>
      <w:r>
        <w:rPr>
          <w:rFonts w:ascii="宋体" w:hAnsi="宋体" w:hint="eastAsia"/>
          <w:sz w:val="24"/>
          <w:szCs w:val="24"/>
        </w:rPr>
        <w:t>六、</w:t>
      </w:r>
      <w:r>
        <w:rPr>
          <w:rFonts w:ascii="宋体" w:hAnsi="宋体"/>
          <w:sz w:val="24"/>
          <w:szCs w:val="24"/>
        </w:rPr>
        <w:t>重大分歧意见的处理经过和依据</w:t>
      </w:r>
      <w:bookmarkEnd w:id="28"/>
      <w:bookmarkEnd w:id="29"/>
      <w:bookmarkEnd w:id="30"/>
    </w:p>
    <w:p>
      <w:pPr>
        <w:pStyle w:val="style0"/>
        <w:spacing w:lineRule="auto" w:line="360"/>
        <w:ind w:firstLine="480" w:firstLineChars="20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无</w:t>
      </w:r>
    </w:p>
    <w:bookmarkStart w:id="31" w:name="_Toc23272_WPSOffice_Level1"/>
    <w:bookmarkStart w:id="32" w:name="_Toc69999684"/>
    <w:p>
      <w:pPr>
        <w:pStyle w:val="style1"/>
        <w:numPr>
          <w:ilvl w:val="0"/>
          <w:numId w:val="0"/>
        </w:numPr>
        <w:spacing w:before="200" w:after="200" w:lineRule="auto" w:line="360"/>
        <w:ind w:left="431" w:hanging="431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七、废止现行有关标准的建议</w:t>
      </w:r>
      <w:bookmarkEnd w:id="31"/>
      <w:bookmarkEnd w:id="32"/>
    </w:p>
    <w:p>
      <w:pPr>
        <w:pStyle w:val="style0"/>
        <w:spacing w:lineRule="auto" w:line="360"/>
        <w:ind w:firstLine="480" w:firstLineChars="20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无</w:t>
      </w:r>
    </w:p>
    <w:bookmarkStart w:id="33" w:name="_Toc483660132"/>
    <w:bookmarkStart w:id="34" w:name="_Toc11902_WPSOffice_Level1"/>
    <w:bookmarkStart w:id="35" w:name="_Toc69999685"/>
    <w:p>
      <w:pPr>
        <w:pStyle w:val="style1"/>
        <w:numPr>
          <w:ilvl w:val="0"/>
          <w:numId w:val="0"/>
        </w:numPr>
        <w:spacing w:before="200" w:after="200" w:lineRule="auto" w:line="360"/>
        <w:ind w:left="431" w:hanging="431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八、</w:t>
      </w:r>
      <w:r>
        <w:rPr>
          <w:rFonts w:ascii="宋体" w:hAnsi="宋体"/>
          <w:sz w:val="24"/>
          <w:szCs w:val="24"/>
        </w:rPr>
        <w:t>其他应予说明的事项</w:t>
      </w:r>
      <w:bookmarkEnd w:id="33"/>
      <w:bookmarkEnd w:id="34"/>
      <w:bookmarkEnd w:id="35"/>
    </w:p>
    <w:p>
      <w:pPr>
        <w:pStyle w:val="style0"/>
        <w:spacing w:lineRule="auto" w:line="360"/>
        <w:ind w:firstLine="480" w:firstLineChars="200"/>
        <w:rPr>
          <w:rFonts w:ascii="宋体" w:hAnsi="宋体" w:hint="eastAsia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无</w:t>
      </w: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</w:pP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eastAsia"/>
          <w:i w:val="false"/>
          <w:color w:val="000000"/>
          <w:sz w:val="24"/>
          <w:szCs w:val="24"/>
          <w:lang w:val="en-US" w:eastAsia="zh-CN"/>
        </w:rPr>
      </w:pPr>
    </w:p>
    <w:p>
      <w:pPr>
        <w:pStyle w:val="style0"/>
        <w:spacing w:lineRule="auto" w:line="360"/>
        <w:ind w:firstLine="484" w:firstLineChars="202"/>
        <w:jc w:val="left"/>
        <w:rPr>
          <w:rFonts w:ascii="宋体" w:cs="宋体" w:eastAsia="宋体" w:hAnsi="宋体" w:hint="default"/>
          <w:i w:val="false"/>
          <w:color w:val="000000"/>
          <w:sz w:val="24"/>
          <w:szCs w:val="24"/>
          <w:lang w:val="en-US" w:eastAsia="zh-CN"/>
        </w:rPr>
      </w:pPr>
    </w:p>
    <w:sectPr>
      <w:footerReference w:type="default" r:id="rId2"/>
      <w:pgSz w:w="11906" w:h="16838" w:orient="portrait"/>
      <w:pgMar w:top="1440" w:right="1134" w:bottom="1440" w:left="141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7a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0" distR="0" simplePos="false" relativeHeight="2" behindDoc="false" locked="false" layoutInCell="true" allowOverlap="tru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828800" cy="1828800"/>
                      </a:xfrm>
                      <a:prstGeom prst="rect"/>
                      <a:ln>
                        <a:noFill/>
                      </a:ln>
                    </wps:spPr>
                    <wps:txbx id="4097">
                      <w:txbxContent>
                        <w:p>
                          <w:pPr>
                            <w:pStyle w:val="style32"/>
                            <w:jc w:val="center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vert="horz" anchor="t" wrap="none" upright="false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4097" filled="f" stroked="f" style="position:absolute;margin-left:0.0pt;margin-top:0.0pt;width:144.0pt;height:144.0pt;z-index:2;mso-position-horizontal:center;mso-position-horizontal-relative:margin;mso-position-vertical-relative:text;mso-width-relative:page;mso-height-relative:page;mso-wrap-distance-left:0.0pt;mso-wrap-distance-right:0.0pt;visibility:visible;mso-wrap-style:none;">
              <v:stroke on="f" weight="0.5pt"/>
              <v:fill/>
              <v:textbox inset="0.0pt,0.0pt,0.0pt,0.0pt" style="mso-fit-shape-to-text:true;">
                <w:txbxContent>
                  <w:p>
                    <w:pPr>
                      <w:pStyle w:val="style32"/>
                      <w:jc w:val="center"/>
                      <w:rPr/>
                    </w:pPr>
                    <w:r>
                      <w:rPr/>
                      <w:fldChar w:fldCharType="begin"/>
                    </w:r>
                    <w:r>
                      <w:instrText>PAGE   \* MERGEFORMAT</w:instrText>
                    </w:r>
                    <w:r>
                      <w:rPr/>
                      <w:fldChar w:fldCharType="separate"/>
                    </w:r>
                    <w:r>
                      <w:rPr>
                        <w:lang w:val="zh-CN"/>
                      </w:rPr>
                      <w:t>6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1"/>
    <w:lvl w:ilvl="0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39" w:hanging="420"/>
      </w:pPr>
    </w:lvl>
    <w:lvl w:ilvl="2">
      <w:start w:val="1"/>
      <w:numFmt w:val="lowerRoman"/>
      <w:lvlText w:val="%3."/>
      <w:lvlJc w:val="right"/>
      <w:pPr>
        <w:ind w:left="1359" w:hanging="420"/>
      </w:pPr>
    </w:lvl>
    <w:lvl w:ilvl="3">
      <w:start w:val="1"/>
      <w:numFmt w:val="decimal"/>
      <w:lvlText w:val="%4."/>
      <w:lvlJc w:val="left"/>
      <w:pPr>
        <w:ind w:left="1779" w:hanging="420"/>
      </w:pPr>
    </w:lvl>
    <w:lvl w:ilvl="4">
      <w:start w:val="1"/>
      <w:numFmt w:val="lowerLetter"/>
      <w:lvlText w:val="%5)"/>
      <w:lvlJc w:val="left"/>
      <w:pPr>
        <w:ind w:left="2199" w:hanging="420"/>
      </w:pPr>
    </w:lvl>
    <w:lvl w:ilvl="5">
      <w:start w:val="1"/>
      <w:numFmt w:val="lowerRoman"/>
      <w:lvlText w:val="%6."/>
      <w:lvlJc w:val="right"/>
      <w:pPr>
        <w:ind w:left="2619" w:hanging="420"/>
      </w:pPr>
    </w:lvl>
    <w:lvl w:ilvl="6">
      <w:start w:val="1"/>
      <w:numFmt w:val="decimal"/>
      <w:lvlText w:val="%7."/>
      <w:lvlJc w:val="left"/>
      <w:pPr>
        <w:ind w:left="3039" w:hanging="420"/>
      </w:pPr>
    </w:lvl>
    <w:lvl w:ilvl="7">
      <w:start w:val="1"/>
      <w:numFmt w:val="lowerLetter"/>
      <w:lvlText w:val="%8)"/>
      <w:lvlJc w:val="left"/>
      <w:pPr>
        <w:ind w:left="3459" w:hanging="420"/>
      </w:pPr>
    </w:lvl>
    <w:lvl w:ilvl="8">
      <w:start w:val="1"/>
      <w:numFmt w:val="lowerRoman"/>
      <w:lvlText w:val="%9."/>
      <w:lvlJc w:val="right"/>
      <w:pPr>
        <w:ind w:left="3879" w:hanging="420"/>
      </w:pPr>
    </w:lvl>
  </w:abstractNum>
  <w:abstractNum w:abstractNumId="1">
    <w:nsid w:val="00000001"/>
    <w:multiLevelType w:val="multilevel"/>
    <w:tmpl w:val="00000002"/>
    <w:lvl w:ilvl="0">
      <w:start w:val="4"/>
      <w:numFmt w:val="decimal"/>
      <w:pStyle w:val="style1"/>
      <w:lvlText w:val="%1"/>
      <w:lvlJc w:val="left"/>
      <w:pPr>
        <w:tabs>
          <w:tab w:val="left" w:leader="none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left" w:leader="none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leader="none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leader="none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leader="none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leader="none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leader="none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leader="none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leader="none" w:pos="1584"/>
        </w:tabs>
        <w:ind w:left="1584" w:hanging="1584"/>
      </w:pPr>
      <w:rPr>
        <w:rFonts w:hint="eastAsia"/>
      </w:rPr>
    </w:lvl>
  </w:abstractNum>
  <w:abstractNum w:abstractNumId="2">
    <w:nsid w:val="00000002"/>
    <w:multiLevelType w:val="multilevel"/>
    <w:tmpl w:val="6DB514A8"/>
    <w:lvl w:ilvl="0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39" w:hanging="420"/>
      </w:pPr>
    </w:lvl>
    <w:lvl w:ilvl="2">
      <w:start w:val="1"/>
      <w:numFmt w:val="lowerRoman"/>
      <w:lvlText w:val="%3."/>
      <w:lvlJc w:val="right"/>
      <w:pPr>
        <w:ind w:left="1359" w:hanging="420"/>
      </w:pPr>
    </w:lvl>
    <w:lvl w:ilvl="3">
      <w:start w:val="1"/>
      <w:numFmt w:val="decimal"/>
      <w:lvlText w:val="%4."/>
      <w:lvlJc w:val="left"/>
      <w:pPr>
        <w:ind w:left="1779" w:hanging="420"/>
      </w:pPr>
    </w:lvl>
    <w:lvl w:ilvl="4">
      <w:start w:val="1"/>
      <w:numFmt w:val="lowerLetter"/>
      <w:lvlText w:val="%5)"/>
      <w:lvlJc w:val="left"/>
      <w:pPr>
        <w:ind w:left="2199" w:hanging="420"/>
      </w:pPr>
    </w:lvl>
    <w:lvl w:ilvl="5">
      <w:start w:val="1"/>
      <w:numFmt w:val="lowerRoman"/>
      <w:lvlText w:val="%6."/>
      <w:lvlJc w:val="right"/>
      <w:pPr>
        <w:ind w:left="2619" w:hanging="420"/>
      </w:pPr>
    </w:lvl>
    <w:lvl w:ilvl="6">
      <w:start w:val="1"/>
      <w:numFmt w:val="decimal"/>
      <w:lvlText w:val="%7."/>
      <w:lvlJc w:val="left"/>
      <w:pPr>
        <w:ind w:left="3039" w:hanging="420"/>
      </w:pPr>
    </w:lvl>
    <w:lvl w:ilvl="7">
      <w:start w:val="1"/>
      <w:numFmt w:val="lowerLetter"/>
      <w:lvlText w:val="%8)"/>
      <w:lvlJc w:val="left"/>
      <w:pPr>
        <w:ind w:left="3459" w:hanging="420"/>
      </w:pPr>
    </w:lvl>
    <w:lvl w:ilvl="8">
      <w:start w:val="1"/>
      <w:numFmt w:val="lowerRoman"/>
      <w:lvlText w:val="%9."/>
      <w:lvlJc w:val="right"/>
      <w:pPr>
        <w:ind w:left="3879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3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lang w:val="en-US" w:bidi="ar-SA" w:eastAsia="zh-CN"/>
    </w:rPr>
  </w:style>
  <w:style w:type="paragraph" w:styleId="style1">
    <w:name w:val="heading 1"/>
    <w:basedOn w:val="style0"/>
    <w:next w:val="style0"/>
    <w:qFormat/>
    <w:uiPriority w:val="0"/>
    <w:pPr>
      <w:keepNext/>
      <w:keepLines/>
      <w:numPr>
        <w:ilvl w:val="0"/>
        <w:numId w:val="1"/>
      </w:numPr>
      <w:spacing w:before="340" w:after="330" w:lineRule="auto" w:line="578"/>
      <w:outlineLvl w:val="0"/>
    </w:pPr>
    <w:rPr>
      <w:rFonts w:ascii="Times New Roman" w:cs="Times New Roman" w:eastAsia="宋体" w:hAnsi="Times New Roman"/>
      <w:b/>
      <w:bCs/>
      <w:kern w:val="44"/>
      <w:sz w:val="44"/>
      <w:szCs w:val="44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0">
    <w:name w:val="annotation text"/>
    <w:basedOn w:val="style0"/>
    <w:next w:val="style30"/>
    <w:qFormat/>
    <w:uiPriority w:val="99"/>
    <w:pPr>
      <w:jc w:val="left"/>
    </w:pPr>
    <w:rPr/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19">
    <w:name w:val="toc 1"/>
    <w:basedOn w:val="style0"/>
    <w:next w:val="style0"/>
    <w:qFormat/>
    <w:uiPriority w:val="39"/>
    <w:pPr>
      <w:tabs>
        <w:tab w:val="left" w:leader="none" w:pos="315"/>
        <w:tab w:val="right" w:leader="dot" w:pos="8720"/>
      </w:tabs>
      <w:adjustRightInd w:val="false"/>
      <w:snapToGrid w:val="false"/>
      <w:spacing w:before="156" w:beforeLines="50" w:lineRule="auto" w:line="360"/>
      <w:jc w:val="center"/>
    </w:pPr>
    <w:rPr>
      <w:rFonts w:ascii="宋体" w:cs="Times New Roman" w:eastAsia="宋体" w:hAnsi="宋体"/>
      <w:b/>
      <w:bCs/>
      <w:caps/>
      <w:spacing w:val="28"/>
      <w:sz w:val="48"/>
      <w:szCs w:val="48"/>
    </w:rPr>
  </w:style>
  <w:style w:type="character" w:styleId="style85">
    <w:name w:val="Hyperlink"/>
    <w:next w:val="style85"/>
    <w:qFormat/>
    <w:uiPriority w:val="99"/>
    <w:rPr>
      <w:rFonts w:ascii="Times New Roman" w:cs="Times New Roman" w:eastAsia="宋体" w:hAnsi="Times New Roman"/>
      <w:color w:val="0000ff"/>
      <w:u w:val="single"/>
    </w:rPr>
  </w:style>
  <w:style w:type="character" w:styleId="style39">
    <w:name w:val="annotation reference"/>
    <w:next w:val="style39"/>
    <w:qFormat/>
    <w:uiPriority w:val="99"/>
    <w:rPr>
      <w:rFonts w:ascii="Times New Roman" w:cs="Times New Roman" w:eastAsia="宋体" w:hAnsi="Times New Roman"/>
      <w:sz w:val="21"/>
      <w:szCs w:val="21"/>
    </w:rPr>
  </w:style>
  <w:style w:type="paragraph" w:customStyle="1" w:styleId="style4097">
    <w:name w:val="段"/>
    <w:next w:val="style4097"/>
    <w:qFormat/>
    <w:uiPriority w:val="0"/>
    <w:pPr>
      <w:tabs>
        <w:tab w:val="center" w:leader="none" w:pos="4201"/>
        <w:tab w:val="right" w:leader="dot" w:pos="9298"/>
      </w:tabs>
      <w:autoSpaceDE w:val="false"/>
      <w:autoSpaceDN w:val="false"/>
      <w:ind w:firstLine="420" w:firstLineChars="200"/>
      <w:jc w:val="both"/>
    </w:pPr>
    <w:rPr>
      <w:rFonts w:ascii="宋体" w:cs="Times New Roman" w:eastAsia="宋体" w:hAnsi="Times New Roman"/>
      <w:sz w:val="21"/>
      <w:lang w:val="en-US" w:bidi="ar-SA" w:eastAsia="zh-CN"/>
    </w:rPr>
  </w:style>
  <w:style w:type="character" w:customStyle="1" w:styleId="style4098">
    <w:name w:val="fontstyle01"/>
    <w:next w:val="style4098"/>
    <w:qFormat/>
    <w:uiPriority w:val="0"/>
    <w:rPr>
      <w:rFonts w:ascii="宋体" w:cs="Times New Roman" w:eastAsia="宋体" w:hAnsi="宋体" w:hint="eastAsia"/>
      <w:color w:val="000000"/>
      <w:sz w:val="24"/>
      <w:szCs w:val="24"/>
    </w:rPr>
  </w:style>
  <w:style w:type="paragraph" w:customStyle="1" w:styleId="style4099">
    <w:name w:val="表格"/>
    <w:basedOn w:val="style0"/>
    <w:next w:val="style4099"/>
    <w:qFormat/>
    <w:uiPriority w:val="0"/>
    <w:pPr>
      <w:adjustRightInd w:val="false"/>
      <w:snapToGrid w:val="false"/>
      <w:spacing w:after="60" w:lineRule="atLeast" w:line="400"/>
      <w:jc w:val="center"/>
      <w:textAlignment w:val="center"/>
    </w:pPr>
    <w:rPr>
      <w:rFonts w:ascii="Times New Roman" w:cs="Times New Roman" w:eastAsia="宋体" w:hAnsi="Times New Roman"/>
      <w:kern w:val="0"/>
    </w:rPr>
  </w:style>
  <w:style w:type="paragraph" w:customStyle="1" w:styleId="style4100">
    <w:name w:val="封面标准英文名称"/>
    <w:basedOn w:val="style4101"/>
    <w:next w:val="style4100"/>
    <w:qFormat/>
    <w:uiPriority w:val="0"/>
    <w:pPr>
      <w:spacing w:before="370" w:lineRule="exact" w:line="400"/>
    </w:pPr>
    <w:rPr>
      <w:rFonts w:ascii="Times New Roman"/>
      <w:sz w:val="28"/>
      <w:szCs w:val="28"/>
    </w:rPr>
  </w:style>
  <w:style w:type="paragraph" w:customStyle="1" w:styleId="style4101">
    <w:name w:val="封面标准名称"/>
    <w:next w:val="style4101"/>
    <w:qFormat/>
    <w:uiPriority w:val="0"/>
    <w:pPr>
      <w:framePr w:h="6917" w:hRule="exact" w:w="9639" w:wrap="around" w:hAnchor="page" w:vAnchor="page" w:xAlign="center" w:y="6408" w:anchorLock="true"/>
      <w:widowControl w:val="false"/>
      <w:spacing w:lineRule="exact" w:line="680"/>
      <w:jc w:val="center"/>
      <w:textAlignment w:val="center"/>
    </w:pPr>
    <w:rPr>
      <w:rFonts w:ascii="黑体" w:cs="Times New Roman" w:eastAsia="黑体" w:hAnsi="Times New Roman"/>
      <w:sz w:val="52"/>
      <w:lang w:val="en-US" w:bidi="ar-SA" w:eastAsia="zh-CN"/>
    </w:rPr>
  </w:style>
  <w:style w:type="paragraph" w:customStyle="1" w:styleId="style4102">
    <w:name w:val="WPSOffice手动目录 1"/>
    <w:next w:val="style4102"/>
    <w:qFormat/>
    <w:uiPriority w:val="0"/>
    <w:pPr>
      <w:ind w:leftChars="0"/>
    </w:pPr>
    <w:rPr>
      <w:rFonts w:ascii="Times New Roman" w:cs="Times New Roman" w:eastAsia="宋体" w:hAnsi="Times New Roman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Words>3104</Words>
  <Pages>1</Pages>
  <Characters>3262</Characters>
  <Application>WPS Office</Application>
  <DocSecurity>0</DocSecurity>
  <Paragraphs>181</Paragraphs>
  <ScaleCrop>false</ScaleCrop>
  <LinksUpToDate>false</LinksUpToDate>
  <CharactersWithSpaces>3353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2023-04-04T05:37:00Z</dcterms:created>
  <dc:creator>Administrator</dc:creator>
  <lastModifiedBy>FNE-AN00</lastModifiedBy>
  <dcterms:modified xsi:type="dcterms:W3CDTF">2024-03-02T04:14:53Z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04d318eaf2754718b50b6bbf66822dcf_23</vt:lpwstr>
  </property>
</Properties>
</file>